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6CEF1" w14:textId="77777777" w:rsidR="00B60BE5"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GREEN FINANCE, FIRM SIZE AND FINANCIAL PERFORMANCE OF COMMERCIAL BANKS IN KENYA</w:t>
      </w:r>
    </w:p>
    <w:p w14:paraId="759DB5A2" w14:textId="77777777" w:rsidR="00B60BE5" w:rsidRDefault="00B60BE5">
      <w:pPr>
        <w:spacing w:line="360" w:lineRule="auto"/>
        <w:jc w:val="center"/>
        <w:rPr>
          <w:rFonts w:ascii="Times New Roman" w:hAnsi="Times New Roman" w:cs="Times New Roman"/>
          <w:sz w:val="24"/>
          <w:szCs w:val="24"/>
        </w:rPr>
      </w:pPr>
    </w:p>
    <w:p w14:paraId="3E4E0FFF" w14:textId="77777777" w:rsidR="00B60BE5" w:rsidRDefault="00B60BE5">
      <w:pPr>
        <w:spacing w:line="360" w:lineRule="auto"/>
        <w:jc w:val="center"/>
        <w:rPr>
          <w:rFonts w:ascii="Times New Roman" w:hAnsi="Times New Roman" w:cs="Times New Roman"/>
          <w:sz w:val="24"/>
          <w:szCs w:val="24"/>
        </w:rPr>
      </w:pPr>
    </w:p>
    <w:p w14:paraId="53C88520" w14:textId="77777777" w:rsidR="00B60BE5" w:rsidRDefault="00B60BE5">
      <w:pPr>
        <w:spacing w:line="360" w:lineRule="auto"/>
        <w:jc w:val="center"/>
        <w:rPr>
          <w:rFonts w:ascii="Times New Roman" w:hAnsi="Times New Roman" w:cs="Times New Roman"/>
          <w:sz w:val="24"/>
          <w:szCs w:val="24"/>
        </w:rPr>
      </w:pPr>
    </w:p>
    <w:p w14:paraId="4EA7EE25" w14:textId="77777777" w:rsidR="00B60BE5" w:rsidRDefault="00B60BE5">
      <w:pPr>
        <w:spacing w:line="360" w:lineRule="auto"/>
        <w:jc w:val="center"/>
        <w:rPr>
          <w:rFonts w:ascii="Times New Roman" w:hAnsi="Times New Roman" w:cs="Times New Roman"/>
          <w:sz w:val="24"/>
          <w:szCs w:val="24"/>
        </w:rPr>
      </w:pPr>
    </w:p>
    <w:p w14:paraId="1B67F343" w14:textId="77777777" w:rsidR="00B60BE5"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Faith Leah Anyona</w:t>
      </w:r>
    </w:p>
    <w:p w14:paraId="7DEC0171" w14:textId="1D8466B2" w:rsidR="00B60BE5"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MBA/G/01</w:t>
      </w:r>
      <w:r w:rsidR="00267B07">
        <w:rPr>
          <w:rFonts w:ascii="Times New Roman" w:hAnsi="Times New Roman" w:cs="Times New Roman"/>
          <w:sz w:val="24"/>
          <w:szCs w:val="24"/>
          <w:lang w:val="en-US"/>
        </w:rPr>
        <w:t>-</w:t>
      </w:r>
      <w:r>
        <w:rPr>
          <w:rFonts w:ascii="Times New Roman" w:hAnsi="Times New Roman" w:cs="Times New Roman"/>
          <w:sz w:val="24"/>
          <w:szCs w:val="24"/>
        </w:rPr>
        <w:t>70106/2024</w:t>
      </w:r>
    </w:p>
    <w:p w14:paraId="62003D6A" w14:textId="77777777" w:rsidR="00B60BE5" w:rsidRDefault="00B60BE5">
      <w:pPr>
        <w:spacing w:line="360" w:lineRule="auto"/>
        <w:jc w:val="center"/>
        <w:rPr>
          <w:rFonts w:ascii="Times New Roman" w:hAnsi="Times New Roman" w:cs="Times New Roman"/>
          <w:sz w:val="24"/>
          <w:szCs w:val="24"/>
        </w:rPr>
      </w:pPr>
    </w:p>
    <w:p w14:paraId="3E4104F8" w14:textId="77777777" w:rsidR="00B60BE5" w:rsidRDefault="00B60BE5">
      <w:pPr>
        <w:spacing w:line="360" w:lineRule="auto"/>
        <w:jc w:val="center"/>
        <w:rPr>
          <w:rFonts w:ascii="Times New Roman" w:hAnsi="Times New Roman" w:cs="Times New Roman"/>
          <w:sz w:val="24"/>
          <w:szCs w:val="24"/>
        </w:rPr>
      </w:pPr>
    </w:p>
    <w:p w14:paraId="5F68626D" w14:textId="77777777" w:rsidR="00B60BE5" w:rsidRDefault="00B60BE5">
      <w:pPr>
        <w:spacing w:line="360" w:lineRule="auto"/>
        <w:jc w:val="center"/>
        <w:rPr>
          <w:rFonts w:ascii="Times New Roman" w:hAnsi="Times New Roman" w:cs="Times New Roman"/>
          <w:sz w:val="24"/>
          <w:szCs w:val="24"/>
        </w:rPr>
      </w:pPr>
    </w:p>
    <w:p w14:paraId="4294E29D" w14:textId="77777777" w:rsidR="00B60BE5" w:rsidRDefault="00B60BE5">
      <w:pPr>
        <w:spacing w:line="360" w:lineRule="auto"/>
        <w:jc w:val="center"/>
        <w:rPr>
          <w:rFonts w:ascii="Times New Roman" w:hAnsi="Times New Roman" w:cs="Times New Roman"/>
          <w:sz w:val="24"/>
          <w:szCs w:val="24"/>
        </w:rPr>
      </w:pPr>
    </w:p>
    <w:p w14:paraId="64C673E7" w14:textId="77777777" w:rsidR="00B60BE5"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A Proposal submitted to the School of Business and Economics in partial fulfilment of the requirements of the degree of Masters in Business Administration, Finance of Masinde Muliro University of Science and Technology</w:t>
      </w:r>
    </w:p>
    <w:p w14:paraId="2C596113" w14:textId="77777777" w:rsidR="00B60BE5" w:rsidRDefault="00B60BE5">
      <w:pPr>
        <w:spacing w:line="360" w:lineRule="auto"/>
        <w:jc w:val="center"/>
        <w:rPr>
          <w:rFonts w:ascii="Times New Roman" w:hAnsi="Times New Roman" w:cs="Times New Roman"/>
          <w:sz w:val="24"/>
          <w:szCs w:val="24"/>
        </w:rPr>
      </w:pPr>
    </w:p>
    <w:p w14:paraId="7BEDEEEA" w14:textId="77777777" w:rsidR="00B60BE5" w:rsidRDefault="00B60BE5">
      <w:pPr>
        <w:spacing w:line="360" w:lineRule="auto"/>
        <w:jc w:val="center"/>
        <w:rPr>
          <w:rFonts w:ascii="Times New Roman" w:hAnsi="Times New Roman" w:cs="Times New Roman"/>
          <w:sz w:val="24"/>
          <w:szCs w:val="24"/>
        </w:rPr>
      </w:pPr>
    </w:p>
    <w:p w14:paraId="71F37F1D" w14:textId="77777777" w:rsidR="00B60BE5" w:rsidRDefault="00B60BE5">
      <w:pPr>
        <w:spacing w:line="360" w:lineRule="auto"/>
        <w:jc w:val="center"/>
        <w:rPr>
          <w:rFonts w:ascii="Times New Roman" w:hAnsi="Times New Roman" w:cs="Times New Roman"/>
          <w:sz w:val="24"/>
          <w:szCs w:val="24"/>
        </w:rPr>
      </w:pPr>
    </w:p>
    <w:p w14:paraId="25608255" w14:textId="77777777" w:rsidR="00B60BE5" w:rsidRDefault="00B60BE5">
      <w:pPr>
        <w:spacing w:line="360" w:lineRule="auto"/>
        <w:jc w:val="center"/>
        <w:rPr>
          <w:rFonts w:ascii="Times New Roman" w:hAnsi="Times New Roman" w:cs="Times New Roman"/>
          <w:sz w:val="24"/>
          <w:szCs w:val="24"/>
        </w:rPr>
      </w:pPr>
    </w:p>
    <w:p w14:paraId="0274C808" w14:textId="77777777" w:rsidR="00B60BE5" w:rsidRDefault="00B60BE5">
      <w:pPr>
        <w:spacing w:line="360" w:lineRule="auto"/>
        <w:jc w:val="center"/>
        <w:rPr>
          <w:rFonts w:ascii="Times New Roman" w:hAnsi="Times New Roman" w:cs="Times New Roman"/>
          <w:sz w:val="24"/>
          <w:szCs w:val="24"/>
        </w:rPr>
      </w:pPr>
    </w:p>
    <w:p w14:paraId="552A8384" w14:textId="77777777" w:rsidR="00B60BE5" w:rsidRDefault="00B60BE5">
      <w:pPr>
        <w:spacing w:line="360" w:lineRule="auto"/>
        <w:jc w:val="center"/>
        <w:rPr>
          <w:rFonts w:ascii="Times New Roman" w:hAnsi="Times New Roman" w:cs="Times New Roman"/>
          <w:sz w:val="24"/>
          <w:szCs w:val="24"/>
        </w:rPr>
      </w:pPr>
    </w:p>
    <w:p w14:paraId="5B044A07" w14:textId="77777777" w:rsidR="00B60BE5" w:rsidRDefault="00B60BE5">
      <w:pPr>
        <w:spacing w:line="360" w:lineRule="auto"/>
        <w:jc w:val="center"/>
        <w:rPr>
          <w:rFonts w:ascii="Times New Roman" w:hAnsi="Times New Roman" w:cs="Times New Roman"/>
          <w:sz w:val="24"/>
          <w:szCs w:val="24"/>
        </w:rPr>
      </w:pPr>
    </w:p>
    <w:p w14:paraId="4E98CEAD" w14:textId="77777777" w:rsidR="00B60BE5" w:rsidRDefault="00000000">
      <w:pPr>
        <w:spacing w:line="360" w:lineRule="auto"/>
        <w:jc w:val="center"/>
        <w:rPr>
          <w:rFonts w:ascii="Times New Roman" w:hAnsi="Times New Roman" w:cs="Times New Roman"/>
          <w:sz w:val="24"/>
          <w:szCs w:val="24"/>
        </w:rPr>
      </w:pPr>
      <w:r>
        <w:rPr>
          <w:rFonts w:ascii="Times New Roman" w:hAnsi="Times New Roman" w:cs="Times New Roman"/>
          <w:sz w:val="24"/>
          <w:szCs w:val="24"/>
        </w:rPr>
        <w:t>February, 2026</w:t>
      </w:r>
    </w:p>
    <w:p w14:paraId="573D9E69" w14:textId="77777777" w:rsidR="00B60BE5" w:rsidRDefault="00B60BE5">
      <w:pPr>
        <w:spacing w:line="360" w:lineRule="auto"/>
        <w:jc w:val="center"/>
        <w:rPr>
          <w:rFonts w:ascii="Times New Roman" w:hAnsi="Times New Roman" w:cs="Times New Roman"/>
          <w:sz w:val="24"/>
          <w:szCs w:val="24"/>
        </w:rPr>
      </w:pPr>
    </w:p>
    <w:p w14:paraId="71F2FAA2" w14:textId="77777777" w:rsidR="00B60BE5" w:rsidRDefault="00B60BE5">
      <w:pPr>
        <w:jc w:val="both"/>
        <w:rPr>
          <w:rFonts w:ascii="Times New Roman" w:hAnsi="Times New Roman" w:cs="Times New Roman"/>
          <w:sz w:val="24"/>
          <w:szCs w:val="24"/>
        </w:rPr>
      </w:pPr>
    </w:p>
    <w:p w14:paraId="1186068D" w14:textId="77777777" w:rsidR="00B60BE5" w:rsidRDefault="00000000">
      <w:pPr>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DECLARATION </w:t>
      </w:r>
    </w:p>
    <w:p w14:paraId="5DB5FFB3" w14:textId="77777777" w:rsidR="00B60BE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declare that this proposal is my original work prepared with no other than the indicated sources and support and has not been presented elsewhere for a degree or any other award. </w:t>
      </w:r>
    </w:p>
    <w:p w14:paraId="2A1F63E0" w14:textId="77777777" w:rsidR="00B60BE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Signature ………………………….. Date …………………… </w:t>
      </w:r>
    </w:p>
    <w:p w14:paraId="114746CB" w14:textId="77777777" w:rsidR="00B60BE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Name of candidate: Faith Leah Anyona </w:t>
      </w:r>
    </w:p>
    <w:p w14:paraId="767398FC" w14:textId="5141496D" w:rsidR="00B60BE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Registration Number; MBA/G/01</w:t>
      </w:r>
      <w:r w:rsidR="00267B07">
        <w:rPr>
          <w:rFonts w:ascii="Times New Roman" w:hAnsi="Times New Roman" w:cs="Times New Roman"/>
          <w:sz w:val="24"/>
          <w:szCs w:val="24"/>
          <w:lang w:val="en-US"/>
        </w:rPr>
        <w:t>-</w:t>
      </w:r>
      <w:r>
        <w:rPr>
          <w:rFonts w:ascii="Times New Roman" w:hAnsi="Times New Roman" w:cs="Times New Roman"/>
          <w:sz w:val="24"/>
          <w:szCs w:val="24"/>
        </w:rPr>
        <w:t>70106/2024</w:t>
      </w:r>
    </w:p>
    <w:p w14:paraId="4BC0E113" w14:textId="77777777" w:rsidR="00B60BE5" w:rsidRDefault="00B60BE5">
      <w:pPr>
        <w:spacing w:line="360" w:lineRule="auto"/>
        <w:jc w:val="both"/>
        <w:rPr>
          <w:rFonts w:ascii="Times New Roman" w:hAnsi="Times New Roman" w:cs="Times New Roman"/>
          <w:sz w:val="24"/>
          <w:szCs w:val="24"/>
        </w:rPr>
      </w:pPr>
    </w:p>
    <w:p w14:paraId="41877489" w14:textId="77777777" w:rsidR="00B60BE5" w:rsidRDefault="0000000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CERTIFICATION </w:t>
      </w:r>
    </w:p>
    <w:p w14:paraId="048E956C" w14:textId="77777777" w:rsidR="00B60BE5" w:rsidRDefault="00000000">
      <w:pPr>
        <w:spacing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The undersigned certify that they have read and hereby recommend for acceptance of Masinde Muliro University of Science and Technology of a proposal entitled </w:t>
      </w:r>
      <w:r>
        <w:rPr>
          <w:rFonts w:ascii="Times New Roman" w:hAnsi="Times New Roman" w:cs="Times New Roman"/>
          <w:i/>
          <w:iCs/>
          <w:sz w:val="24"/>
          <w:szCs w:val="24"/>
        </w:rPr>
        <w:t>“Green finance, Firm size and Financial Performance of Commercial Banks in Kenya.”</w:t>
      </w:r>
    </w:p>
    <w:p w14:paraId="6D07080E" w14:textId="77777777" w:rsidR="00B60BE5" w:rsidRDefault="0000000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Name of supervisor: Dr. Maniagi Musiega </w:t>
      </w:r>
    </w:p>
    <w:p w14:paraId="41CCE74A" w14:textId="77777777" w:rsidR="00B60BE5"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Signature ………………………… Date ……………………… </w:t>
      </w:r>
    </w:p>
    <w:p w14:paraId="6CD1D26E" w14:textId="77777777" w:rsidR="00B60BE5"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Department:  Accounting and Finance  </w:t>
      </w:r>
    </w:p>
    <w:p w14:paraId="4882A9EA" w14:textId="77777777" w:rsidR="00B60BE5"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Masinde Muliro University of Science and Technology </w:t>
      </w:r>
    </w:p>
    <w:p w14:paraId="57BD5BD6" w14:textId="77777777" w:rsidR="00B60BE5" w:rsidRDefault="00000000">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Name of supervisor: Dr. Jackline Akoth Odero</w:t>
      </w:r>
    </w:p>
    <w:p w14:paraId="1678F4D1" w14:textId="77777777" w:rsidR="00B60BE5"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Department:  Business Administration and Management Sciences  </w:t>
      </w:r>
    </w:p>
    <w:p w14:paraId="3954A1C2" w14:textId="77777777" w:rsidR="00B60BE5"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Masinde Muliro University of Science and Technology </w:t>
      </w:r>
    </w:p>
    <w:p w14:paraId="7ECE7347" w14:textId="77777777" w:rsidR="00B60BE5"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Signature ………………………… Date ………………………</w:t>
      </w:r>
    </w:p>
    <w:p w14:paraId="512968E6" w14:textId="77777777" w:rsidR="00B60BE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3CAA0E01" w14:textId="77777777" w:rsidR="00B60BE5" w:rsidRDefault="0000000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ABSTRACT</w:t>
      </w:r>
    </w:p>
    <w:p w14:paraId="62E81D05" w14:textId="77777777" w:rsidR="00B60BE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Green finance has emerged as a critical mechanism for addressing climate change while supporting sustainable economic growth, particularly within the financial sector. Commercial banks play a central role in mobilizing and allocating green capital through instruments such as green bonds, green credit, and carbon assets. In Kenya, despite supportive policy frameworks and regulatory initiatives promoting sustainable finance, the financial implications of green finance adoption by commercial banks remain empirically unclear. This uncertainty has contributed to uneven implementation and cautious investment decisions by banks. Consequently, this study seeks to examine the influence of green finance on the financial performance of commercial banks in Kenya, while assessing the moderating effect of firm size on this relationship. The study specifically seeks to determine the influence of Green Bonds, Green Credit, Carbon Assets on the financial performance of commercial banks in Kenya. The study adopts a quantitative, explanatory, longitudinal panel research design. The target population comprises all 40 commercial banks licensed. A census approach is employed to ensure comprehensive sector representation. Secondary data are collected from audited annual financial statements, sustainability reports, Central Bank of Kenya publications, and Kenya Bankers Association reports using a structured data extraction template. Data analysis involves descriptive statistics such as mean, standard deviation, inferential statistics such as Pearson correlation and multiple regression. Fixed and random effects models are estimated, with appropriate diagnostic and specification tests conducted to ensure robustness. Moderation effects are tested using hierarchical regression. Data will be presented using tables and graphs. The expected output of this study is empirical evidence on the relationship between green finance and financial performance in the Kenyan banking sector, as well as insights into how firm size conditions this relationship. The findings are anticipated to inform bank management, policymakers, and regulators in designing evidence</w:t>
      </w:r>
      <w:r>
        <w:rPr>
          <w:rFonts w:ascii="Times New Roman" w:hAnsi="Times New Roman" w:cs="Times New Roman"/>
          <w:sz w:val="24"/>
          <w:szCs w:val="24"/>
          <w:lang w:val="en-US"/>
        </w:rPr>
        <w:t>,</w:t>
      </w:r>
      <w:r>
        <w:rPr>
          <w:rFonts w:ascii="Times New Roman" w:hAnsi="Times New Roman" w:cs="Times New Roman"/>
          <w:sz w:val="24"/>
          <w:szCs w:val="24"/>
        </w:rPr>
        <w:t>based strategies and policies that promote sustainable finance without compromising financial stability.</w:t>
      </w:r>
      <w:bookmarkStart w:id="0" w:name="_Ref192409959"/>
    </w:p>
    <w:p w14:paraId="7DAE2EC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br w:type="page"/>
      </w:r>
    </w:p>
    <w:p w14:paraId="1E4603C1" w14:textId="77777777" w:rsidR="00B60BE5" w:rsidRDefault="00000000">
      <w:pPr>
        <w:pStyle w:val="TOCHeading1"/>
        <w:rPr>
          <w:rFonts w:ascii="Times New Roman" w:hAnsi="Times New Roman" w:cs="Times New Roman"/>
          <w:color w:val="auto"/>
          <w:sz w:val="24"/>
          <w:szCs w:val="24"/>
        </w:rPr>
      </w:pPr>
      <w:r>
        <w:rPr>
          <w:rFonts w:ascii="Times New Roman" w:eastAsia="Calibri" w:hAnsi="Times New Roman" w:cs="Times New Roman"/>
          <w:color w:val="auto"/>
          <w:kern w:val="2"/>
          <w:sz w:val="24"/>
          <w:szCs w:val="24"/>
          <w14:ligatures w14:val="standardContextual"/>
        </w:rPr>
        <w:lastRenderedPageBreak/>
        <w:t xml:space="preserve">Table of </w:t>
      </w:r>
      <w:r>
        <w:rPr>
          <w:rFonts w:ascii="Times New Roman" w:hAnsi="Times New Roman" w:cs="Times New Roman"/>
          <w:color w:val="auto"/>
          <w:sz w:val="24"/>
          <w:szCs w:val="24"/>
        </w:rPr>
        <w:t>Contents</w:t>
      </w:r>
    </w:p>
    <w:p w14:paraId="34D8E8F0" w14:textId="12450FE4" w:rsidR="00735CFC" w:rsidRDefault="00000000">
      <w:pPr>
        <w:pStyle w:val="TOC1"/>
        <w:tabs>
          <w:tab w:val="right" w:leader="dot" w:pos="9016"/>
        </w:tabs>
        <w:rPr>
          <w:rFonts w:asciiTheme="minorHAnsi" w:eastAsiaTheme="minorEastAsia" w:hAnsiTheme="minorHAnsi" w:cstheme="minorBidi"/>
          <w:noProof/>
          <w:sz w:val="24"/>
          <w:szCs w:val="24"/>
          <w:lang w:eastAsia="en-KE"/>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22210190" w:history="1">
        <w:r w:rsidR="00735CFC" w:rsidRPr="004F3A25">
          <w:rPr>
            <w:rStyle w:val="Hyperlink"/>
            <w:rFonts w:ascii="Times New Roman" w:hAnsi="Times New Roman" w:cs="Times New Roman"/>
            <w:b/>
            <w:bCs/>
            <w:noProof/>
          </w:rPr>
          <w:t>CHAPTER ONE</w:t>
        </w:r>
        <w:r w:rsidR="00735CFC">
          <w:rPr>
            <w:noProof/>
            <w:webHidden/>
          </w:rPr>
          <w:tab/>
        </w:r>
        <w:r w:rsidR="00735CFC">
          <w:rPr>
            <w:noProof/>
            <w:webHidden/>
          </w:rPr>
          <w:fldChar w:fldCharType="begin"/>
        </w:r>
        <w:r w:rsidR="00735CFC">
          <w:rPr>
            <w:noProof/>
            <w:webHidden/>
          </w:rPr>
          <w:instrText xml:space="preserve"> PAGEREF _Toc222210190 \h </w:instrText>
        </w:r>
        <w:r w:rsidR="00735CFC">
          <w:rPr>
            <w:noProof/>
            <w:webHidden/>
          </w:rPr>
        </w:r>
        <w:r w:rsidR="00735CFC">
          <w:rPr>
            <w:noProof/>
            <w:webHidden/>
          </w:rPr>
          <w:fldChar w:fldCharType="separate"/>
        </w:r>
        <w:r w:rsidR="00735CFC">
          <w:rPr>
            <w:noProof/>
            <w:webHidden/>
          </w:rPr>
          <w:t>1</w:t>
        </w:r>
        <w:r w:rsidR="00735CFC">
          <w:rPr>
            <w:noProof/>
            <w:webHidden/>
          </w:rPr>
          <w:fldChar w:fldCharType="end"/>
        </w:r>
      </w:hyperlink>
    </w:p>
    <w:p w14:paraId="006D0121" w14:textId="7921EF2F"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191" w:history="1">
        <w:r w:rsidRPr="004F3A25">
          <w:rPr>
            <w:rStyle w:val="Hyperlink"/>
            <w:rFonts w:ascii="Times New Roman" w:hAnsi="Times New Roman" w:cs="Times New Roman"/>
            <w:b/>
            <w:bCs/>
            <w:noProof/>
          </w:rPr>
          <w:t>1.1</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noProof/>
          </w:rPr>
          <w:t>BACKGROUND OF THE STUDY</w:t>
        </w:r>
        <w:r>
          <w:rPr>
            <w:noProof/>
            <w:webHidden/>
          </w:rPr>
          <w:tab/>
        </w:r>
        <w:r>
          <w:rPr>
            <w:noProof/>
            <w:webHidden/>
          </w:rPr>
          <w:fldChar w:fldCharType="begin"/>
        </w:r>
        <w:r>
          <w:rPr>
            <w:noProof/>
            <w:webHidden/>
          </w:rPr>
          <w:instrText xml:space="preserve"> PAGEREF _Toc222210191 \h </w:instrText>
        </w:r>
        <w:r>
          <w:rPr>
            <w:noProof/>
            <w:webHidden/>
          </w:rPr>
        </w:r>
        <w:r>
          <w:rPr>
            <w:noProof/>
            <w:webHidden/>
          </w:rPr>
          <w:fldChar w:fldCharType="separate"/>
        </w:r>
        <w:r>
          <w:rPr>
            <w:noProof/>
            <w:webHidden/>
          </w:rPr>
          <w:t>1</w:t>
        </w:r>
        <w:r>
          <w:rPr>
            <w:noProof/>
            <w:webHidden/>
          </w:rPr>
          <w:fldChar w:fldCharType="end"/>
        </w:r>
      </w:hyperlink>
    </w:p>
    <w:p w14:paraId="70D0FC78" w14:textId="61928425" w:rsidR="00735CFC" w:rsidRDefault="00735CFC">
      <w:pPr>
        <w:pStyle w:val="TOC3"/>
        <w:tabs>
          <w:tab w:val="left" w:pos="1200"/>
          <w:tab w:val="right" w:leader="dot" w:pos="9016"/>
        </w:tabs>
        <w:rPr>
          <w:rFonts w:asciiTheme="minorHAnsi" w:eastAsiaTheme="minorEastAsia" w:hAnsiTheme="minorHAnsi" w:cstheme="minorBidi"/>
          <w:noProof/>
          <w:sz w:val="24"/>
          <w:szCs w:val="24"/>
          <w:lang w:eastAsia="en-KE"/>
        </w:rPr>
      </w:pPr>
      <w:hyperlink w:anchor="_Toc222210192" w:history="1">
        <w:r w:rsidRPr="004F3A25">
          <w:rPr>
            <w:rStyle w:val="Hyperlink"/>
            <w:rFonts w:ascii="Times New Roman" w:hAnsi="Times New Roman" w:cs="Times New Roman"/>
            <w:i/>
            <w:iCs/>
            <w:noProof/>
          </w:rPr>
          <w:t>1.1.1</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i/>
            <w:iCs/>
            <w:noProof/>
          </w:rPr>
          <w:t>Firm size</w:t>
        </w:r>
        <w:r>
          <w:rPr>
            <w:noProof/>
            <w:webHidden/>
          </w:rPr>
          <w:tab/>
        </w:r>
        <w:r>
          <w:rPr>
            <w:noProof/>
            <w:webHidden/>
          </w:rPr>
          <w:fldChar w:fldCharType="begin"/>
        </w:r>
        <w:r>
          <w:rPr>
            <w:noProof/>
            <w:webHidden/>
          </w:rPr>
          <w:instrText xml:space="preserve"> PAGEREF _Toc222210192 \h </w:instrText>
        </w:r>
        <w:r>
          <w:rPr>
            <w:noProof/>
            <w:webHidden/>
          </w:rPr>
        </w:r>
        <w:r>
          <w:rPr>
            <w:noProof/>
            <w:webHidden/>
          </w:rPr>
          <w:fldChar w:fldCharType="separate"/>
        </w:r>
        <w:r>
          <w:rPr>
            <w:noProof/>
            <w:webHidden/>
          </w:rPr>
          <w:t>3</w:t>
        </w:r>
        <w:r>
          <w:rPr>
            <w:noProof/>
            <w:webHidden/>
          </w:rPr>
          <w:fldChar w:fldCharType="end"/>
        </w:r>
      </w:hyperlink>
    </w:p>
    <w:p w14:paraId="1C726B41" w14:textId="746F1535" w:rsidR="00735CFC" w:rsidRDefault="00735CFC">
      <w:pPr>
        <w:pStyle w:val="TOC3"/>
        <w:tabs>
          <w:tab w:val="left" w:pos="1200"/>
          <w:tab w:val="right" w:leader="dot" w:pos="9016"/>
        </w:tabs>
        <w:rPr>
          <w:rFonts w:asciiTheme="minorHAnsi" w:eastAsiaTheme="minorEastAsia" w:hAnsiTheme="minorHAnsi" w:cstheme="minorBidi"/>
          <w:noProof/>
          <w:sz w:val="24"/>
          <w:szCs w:val="24"/>
          <w:lang w:eastAsia="en-KE"/>
        </w:rPr>
      </w:pPr>
      <w:hyperlink w:anchor="_Toc222210193" w:history="1">
        <w:r w:rsidRPr="004F3A25">
          <w:rPr>
            <w:rStyle w:val="Hyperlink"/>
            <w:rFonts w:ascii="Times New Roman" w:hAnsi="Times New Roman" w:cs="Times New Roman"/>
            <w:i/>
            <w:iCs/>
            <w:noProof/>
          </w:rPr>
          <w:t>1.1.2</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i/>
            <w:iCs/>
            <w:noProof/>
          </w:rPr>
          <w:t>Commercial banks in Kenya</w:t>
        </w:r>
        <w:r>
          <w:rPr>
            <w:noProof/>
            <w:webHidden/>
          </w:rPr>
          <w:tab/>
        </w:r>
        <w:r>
          <w:rPr>
            <w:noProof/>
            <w:webHidden/>
          </w:rPr>
          <w:fldChar w:fldCharType="begin"/>
        </w:r>
        <w:r>
          <w:rPr>
            <w:noProof/>
            <w:webHidden/>
          </w:rPr>
          <w:instrText xml:space="preserve"> PAGEREF _Toc222210193 \h </w:instrText>
        </w:r>
        <w:r>
          <w:rPr>
            <w:noProof/>
            <w:webHidden/>
          </w:rPr>
        </w:r>
        <w:r>
          <w:rPr>
            <w:noProof/>
            <w:webHidden/>
          </w:rPr>
          <w:fldChar w:fldCharType="separate"/>
        </w:r>
        <w:r>
          <w:rPr>
            <w:noProof/>
            <w:webHidden/>
          </w:rPr>
          <w:t>3</w:t>
        </w:r>
        <w:r>
          <w:rPr>
            <w:noProof/>
            <w:webHidden/>
          </w:rPr>
          <w:fldChar w:fldCharType="end"/>
        </w:r>
      </w:hyperlink>
    </w:p>
    <w:p w14:paraId="6C894B97" w14:textId="2327A7A2"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194" w:history="1">
        <w:r w:rsidRPr="004F3A25">
          <w:rPr>
            <w:rStyle w:val="Hyperlink"/>
            <w:rFonts w:ascii="Times New Roman" w:hAnsi="Times New Roman" w:cs="Times New Roman"/>
            <w:b/>
            <w:bCs/>
            <w:noProof/>
          </w:rPr>
          <w:t>1.2</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Statement of the problem</w:t>
        </w:r>
        <w:r>
          <w:rPr>
            <w:noProof/>
            <w:webHidden/>
          </w:rPr>
          <w:tab/>
        </w:r>
        <w:r>
          <w:rPr>
            <w:noProof/>
            <w:webHidden/>
          </w:rPr>
          <w:fldChar w:fldCharType="begin"/>
        </w:r>
        <w:r>
          <w:rPr>
            <w:noProof/>
            <w:webHidden/>
          </w:rPr>
          <w:instrText xml:space="preserve"> PAGEREF _Toc222210194 \h </w:instrText>
        </w:r>
        <w:r>
          <w:rPr>
            <w:noProof/>
            <w:webHidden/>
          </w:rPr>
        </w:r>
        <w:r>
          <w:rPr>
            <w:noProof/>
            <w:webHidden/>
          </w:rPr>
          <w:fldChar w:fldCharType="separate"/>
        </w:r>
        <w:r>
          <w:rPr>
            <w:noProof/>
            <w:webHidden/>
          </w:rPr>
          <w:t>4</w:t>
        </w:r>
        <w:r>
          <w:rPr>
            <w:noProof/>
            <w:webHidden/>
          </w:rPr>
          <w:fldChar w:fldCharType="end"/>
        </w:r>
      </w:hyperlink>
    </w:p>
    <w:p w14:paraId="6A25DBC9" w14:textId="71F6CC4F"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195" w:history="1">
        <w:r w:rsidRPr="004F3A25">
          <w:rPr>
            <w:rStyle w:val="Hyperlink"/>
            <w:rFonts w:ascii="Times New Roman" w:hAnsi="Times New Roman" w:cs="Times New Roman"/>
            <w:b/>
            <w:bCs/>
            <w:noProof/>
          </w:rPr>
          <w:t>1.3</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Objectives of the study</w:t>
        </w:r>
        <w:r>
          <w:rPr>
            <w:noProof/>
            <w:webHidden/>
          </w:rPr>
          <w:tab/>
        </w:r>
        <w:r>
          <w:rPr>
            <w:noProof/>
            <w:webHidden/>
          </w:rPr>
          <w:fldChar w:fldCharType="begin"/>
        </w:r>
        <w:r>
          <w:rPr>
            <w:noProof/>
            <w:webHidden/>
          </w:rPr>
          <w:instrText xml:space="preserve"> PAGEREF _Toc222210195 \h </w:instrText>
        </w:r>
        <w:r>
          <w:rPr>
            <w:noProof/>
            <w:webHidden/>
          </w:rPr>
        </w:r>
        <w:r>
          <w:rPr>
            <w:noProof/>
            <w:webHidden/>
          </w:rPr>
          <w:fldChar w:fldCharType="separate"/>
        </w:r>
        <w:r>
          <w:rPr>
            <w:noProof/>
            <w:webHidden/>
          </w:rPr>
          <w:t>6</w:t>
        </w:r>
        <w:r>
          <w:rPr>
            <w:noProof/>
            <w:webHidden/>
          </w:rPr>
          <w:fldChar w:fldCharType="end"/>
        </w:r>
      </w:hyperlink>
    </w:p>
    <w:p w14:paraId="496D98A4" w14:textId="04B4CC9B" w:rsidR="00735CFC" w:rsidRDefault="00735CFC">
      <w:pPr>
        <w:pStyle w:val="TOC3"/>
        <w:tabs>
          <w:tab w:val="left" w:pos="1200"/>
          <w:tab w:val="right" w:leader="dot" w:pos="9016"/>
        </w:tabs>
        <w:rPr>
          <w:rFonts w:asciiTheme="minorHAnsi" w:eastAsiaTheme="minorEastAsia" w:hAnsiTheme="minorHAnsi" w:cstheme="minorBidi"/>
          <w:noProof/>
          <w:sz w:val="24"/>
          <w:szCs w:val="24"/>
          <w:lang w:eastAsia="en-KE"/>
        </w:rPr>
      </w:pPr>
      <w:hyperlink w:anchor="_Toc222210196" w:history="1">
        <w:r w:rsidRPr="004F3A25">
          <w:rPr>
            <w:rStyle w:val="Hyperlink"/>
            <w:rFonts w:ascii="Times New Roman" w:hAnsi="Times New Roman" w:cs="Times New Roman"/>
            <w:noProof/>
          </w:rPr>
          <w:t>1.3.1</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noProof/>
          </w:rPr>
          <w:t>General Objective</w:t>
        </w:r>
        <w:r>
          <w:rPr>
            <w:noProof/>
            <w:webHidden/>
          </w:rPr>
          <w:tab/>
        </w:r>
        <w:r>
          <w:rPr>
            <w:noProof/>
            <w:webHidden/>
          </w:rPr>
          <w:fldChar w:fldCharType="begin"/>
        </w:r>
        <w:r>
          <w:rPr>
            <w:noProof/>
            <w:webHidden/>
          </w:rPr>
          <w:instrText xml:space="preserve"> PAGEREF _Toc222210196 \h </w:instrText>
        </w:r>
        <w:r>
          <w:rPr>
            <w:noProof/>
            <w:webHidden/>
          </w:rPr>
        </w:r>
        <w:r>
          <w:rPr>
            <w:noProof/>
            <w:webHidden/>
          </w:rPr>
          <w:fldChar w:fldCharType="separate"/>
        </w:r>
        <w:r>
          <w:rPr>
            <w:noProof/>
            <w:webHidden/>
          </w:rPr>
          <w:t>6</w:t>
        </w:r>
        <w:r>
          <w:rPr>
            <w:noProof/>
            <w:webHidden/>
          </w:rPr>
          <w:fldChar w:fldCharType="end"/>
        </w:r>
      </w:hyperlink>
    </w:p>
    <w:p w14:paraId="0C85B7A1" w14:textId="2BB1644F" w:rsidR="00735CFC" w:rsidRDefault="00735CFC">
      <w:pPr>
        <w:pStyle w:val="TOC3"/>
        <w:tabs>
          <w:tab w:val="left" w:pos="1200"/>
          <w:tab w:val="right" w:leader="dot" w:pos="9016"/>
        </w:tabs>
        <w:rPr>
          <w:rFonts w:asciiTheme="minorHAnsi" w:eastAsiaTheme="minorEastAsia" w:hAnsiTheme="minorHAnsi" w:cstheme="minorBidi"/>
          <w:noProof/>
          <w:sz w:val="24"/>
          <w:szCs w:val="24"/>
          <w:lang w:eastAsia="en-KE"/>
        </w:rPr>
      </w:pPr>
      <w:hyperlink w:anchor="_Toc222210197" w:history="1">
        <w:r w:rsidRPr="004F3A25">
          <w:rPr>
            <w:rStyle w:val="Hyperlink"/>
            <w:rFonts w:ascii="Times New Roman" w:hAnsi="Times New Roman" w:cs="Times New Roman"/>
            <w:noProof/>
          </w:rPr>
          <w:t>1.3.2</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_Toc222210197 \h </w:instrText>
        </w:r>
        <w:r>
          <w:rPr>
            <w:noProof/>
            <w:webHidden/>
          </w:rPr>
        </w:r>
        <w:r>
          <w:rPr>
            <w:noProof/>
            <w:webHidden/>
          </w:rPr>
          <w:fldChar w:fldCharType="separate"/>
        </w:r>
        <w:r>
          <w:rPr>
            <w:noProof/>
            <w:webHidden/>
          </w:rPr>
          <w:t>6</w:t>
        </w:r>
        <w:r>
          <w:rPr>
            <w:noProof/>
            <w:webHidden/>
          </w:rPr>
          <w:fldChar w:fldCharType="end"/>
        </w:r>
      </w:hyperlink>
    </w:p>
    <w:p w14:paraId="00E24C1F" w14:textId="79500D9C"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198" w:history="1">
        <w:r w:rsidRPr="004F3A25">
          <w:rPr>
            <w:rStyle w:val="Hyperlink"/>
            <w:rFonts w:ascii="Times New Roman" w:hAnsi="Times New Roman" w:cs="Times New Roman"/>
            <w:b/>
            <w:bCs/>
            <w:noProof/>
          </w:rPr>
          <w:t>1.4</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Research Hypothesis</w:t>
        </w:r>
        <w:r>
          <w:rPr>
            <w:noProof/>
            <w:webHidden/>
          </w:rPr>
          <w:tab/>
        </w:r>
        <w:r>
          <w:rPr>
            <w:noProof/>
            <w:webHidden/>
          </w:rPr>
          <w:fldChar w:fldCharType="begin"/>
        </w:r>
        <w:r>
          <w:rPr>
            <w:noProof/>
            <w:webHidden/>
          </w:rPr>
          <w:instrText xml:space="preserve"> PAGEREF _Toc222210198 \h </w:instrText>
        </w:r>
        <w:r>
          <w:rPr>
            <w:noProof/>
            <w:webHidden/>
          </w:rPr>
        </w:r>
        <w:r>
          <w:rPr>
            <w:noProof/>
            <w:webHidden/>
          </w:rPr>
          <w:fldChar w:fldCharType="separate"/>
        </w:r>
        <w:r>
          <w:rPr>
            <w:noProof/>
            <w:webHidden/>
          </w:rPr>
          <w:t>6</w:t>
        </w:r>
        <w:r>
          <w:rPr>
            <w:noProof/>
            <w:webHidden/>
          </w:rPr>
          <w:fldChar w:fldCharType="end"/>
        </w:r>
      </w:hyperlink>
    </w:p>
    <w:p w14:paraId="048EF052" w14:textId="6A2117CE"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199" w:history="1">
        <w:r w:rsidRPr="004F3A25">
          <w:rPr>
            <w:rStyle w:val="Hyperlink"/>
            <w:rFonts w:ascii="Times New Roman" w:hAnsi="Times New Roman" w:cs="Times New Roman"/>
            <w:b/>
            <w:bCs/>
            <w:noProof/>
          </w:rPr>
          <w:t>1.5</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Scope of the study</w:t>
        </w:r>
        <w:r>
          <w:rPr>
            <w:noProof/>
            <w:webHidden/>
          </w:rPr>
          <w:tab/>
        </w:r>
        <w:r>
          <w:rPr>
            <w:noProof/>
            <w:webHidden/>
          </w:rPr>
          <w:fldChar w:fldCharType="begin"/>
        </w:r>
        <w:r>
          <w:rPr>
            <w:noProof/>
            <w:webHidden/>
          </w:rPr>
          <w:instrText xml:space="preserve"> PAGEREF _Toc222210199 \h </w:instrText>
        </w:r>
        <w:r>
          <w:rPr>
            <w:noProof/>
            <w:webHidden/>
          </w:rPr>
        </w:r>
        <w:r>
          <w:rPr>
            <w:noProof/>
            <w:webHidden/>
          </w:rPr>
          <w:fldChar w:fldCharType="separate"/>
        </w:r>
        <w:r>
          <w:rPr>
            <w:noProof/>
            <w:webHidden/>
          </w:rPr>
          <w:t>7</w:t>
        </w:r>
        <w:r>
          <w:rPr>
            <w:noProof/>
            <w:webHidden/>
          </w:rPr>
          <w:fldChar w:fldCharType="end"/>
        </w:r>
      </w:hyperlink>
    </w:p>
    <w:p w14:paraId="7AA62FF6" w14:textId="6839815D"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00" w:history="1">
        <w:r w:rsidRPr="004F3A25">
          <w:rPr>
            <w:rStyle w:val="Hyperlink"/>
            <w:rFonts w:ascii="Times New Roman" w:eastAsia="Times New Roman" w:hAnsi="Times New Roman" w:cs="Times New Roman"/>
            <w:b/>
            <w:bCs/>
            <w:noProof/>
          </w:rPr>
          <w:t>1.6</w:t>
        </w:r>
        <w:r>
          <w:rPr>
            <w:rFonts w:asciiTheme="minorHAnsi" w:eastAsiaTheme="minorEastAsia" w:hAnsiTheme="minorHAnsi" w:cstheme="minorBidi"/>
            <w:noProof/>
            <w:sz w:val="24"/>
            <w:szCs w:val="24"/>
            <w:lang w:eastAsia="en-KE"/>
          </w:rPr>
          <w:tab/>
        </w:r>
        <w:r w:rsidRPr="004F3A25">
          <w:rPr>
            <w:rStyle w:val="Hyperlink"/>
            <w:rFonts w:ascii="Times New Roman" w:eastAsia="Times New Roman" w:hAnsi="Times New Roman" w:cs="Times New Roman"/>
            <w:b/>
            <w:bCs/>
            <w:noProof/>
          </w:rPr>
          <w:t>Significance of the Study</w:t>
        </w:r>
        <w:r>
          <w:rPr>
            <w:noProof/>
            <w:webHidden/>
          </w:rPr>
          <w:tab/>
        </w:r>
        <w:r>
          <w:rPr>
            <w:noProof/>
            <w:webHidden/>
          </w:rPr>
          <w:fldChar w:fldCharType="begin"/>
        </w:r>
        <w:r>
          <w:rPr>
            <w:noProof/>
            <w:webHidden/>
          </w:rPr>
          <w:instrText xml:space="preserve"> PAGEREF _Toc222210200 \h </w:instrText>
        </w:r>
        <w:r>
          <w:rPr>
            <w:noProof/>
            <w:webHidden/>
          </w:rPr>
        </w:r>
        <w:r>
          <w:rPr>
            <w:noProof/>
            <w:webHidden/>
          </w:rPr>
          <w:fldChar w:fldCharType="separate"/>
        </w:r>
        <w:r>
          <w:rPr>
            <w:noProof/>
            <w:webHidden/>
          </w:rPr>
          <w:t>7</w:t>
        </w:r>
        <w:r>
          <w:rPr>
            <w:noProof/>
            <w:webHidden/>
          </w:rPr>
          <w:fldChar w:fldCharType="end"/>
        </w:r>
      </w:hyperlink>
    </w:p>
    <w:p w14:paraId="548AE237" w14:textId="7843E0D5"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01" w:history="1">
        <w:r w:rsidRPr="004F3A25">
          <w:rPr>
            <w:rStyle w:val="Hyperlink"/>
            <w:rFonts w:ascii="Times New Roman" w:eastAsia="Times New Roman" w:hAnsi="Times New Roman" w:cs="Times New Roman"/>
            <w:b/>
            <w:bCs/>
            <w:noProof/>
          </w:rPr>
          <w:t>1.7</w:t>
        </w:r>
        <w:r>
          <w:rPr>
            <w:rFonts w:asciiTheme="minorHAnsi" w:eastAsiaTheme="minorEastAsia" w:hAnsiTheme="minorHAnsi" w:cstheme="minorBidi"/>
            <w:noProof/>
            <w:sz w:val="24"/>
            <w:szCs w:val="24"/>
            <w:lang w:eastAsia="en-KE"/>
          </w:rPr>
          <w:tab/>
        </w:r>
        <w:r w:rsidRPr="004F3A25">
          <w:rPr>
            <w:rStyle w:val="Hyperlink"/>
            <w:rFonts w:ascii="Times New Roman" w:eastAsia="Times New Roman" w:hAnsi="Times New Roman" w:cs="Times New Roman"/>
            <w:b/>
            <w:bCs/>
            <w:noProof/>
          </w:rPr>
          <w:t>Limitations of the Study</w:t>
        </w:r>
        <w:r>
          <w:rPr>
            <w:noProof/>
            <w:webHidden/>
          </w:rPr>
          <w:tab/>
        </w:r>
        <w:r>
          <w:rPr>
            <w:noProof/>
            <w:webHidden/>
          </w:rPr>
          <w:fldChar w:fldCharType="begin"/>
        </w:r>
        <w:r>
          <w:rPr>
            <w:noProof/>
            <w:webHidden/>
          </w:rPr>
          <w:instrText xml:space="preserve"> PAGEREF _Toc222210201 \h </w:instrText>
        </w:r>
        <w:r>
          <w:rPr>
            <w:noProof/>
            <w:webHidden/>
          </w:rPr>
        </w:r>
        <w:r>
          <w:rPr>
            <w:noProof/>
            <w:webHidden/>
          </w:rPr>
          <w:fldChar w:fldCharType="separate"/>
        </w:r>
        <w:r>
          <w:rPr>
            <w:noProof/>
            <w:webHidden/>
          </w:rPr>
          <w:t>8</w:t>
        </w:r>
        <w:r>
          <w:rPr>
            <w:noProof/>
            <w:webHidden/>
          </w:rPr>
          <w:fldChar w:fldCharType="end"/>
        </w:r>
      </w:hyperlink>
    </w:p>
    <w:p w14:paraId="6F153D81" w14:textId="5079FF66" w:rsidR="00735CFC" w:rsidRDefault="00735CFC">
      <w:pPr>
        <w:pStyle w:val="TOC1"/>
        <w:tabs>
          <w:tab w:val="left" w:pos="440"/>
          <w:tab w:val="right" w:leader="dot" w:pos="9016"/>
        </w:tabs>
        <w:rPr>
          <w:rFonts w:asciiTheme="minorHAnsi" w:eastAsiaTheme="minorEastAsia" w:hAnsiTheme="minorHAnsi" w:cstheme="minorBidi"/>
          <w:noProof/>
          <w:sz w:val="24"/>
          <w:szCs w:val="24"/>
          <w:lang w:eastAsia="en-KE"/>
        </w:rPr>
      </w:pPr>
      <w:hyperlink w:anchor="_Toc222210202" w:history="1">
        <w:r w:rsidRPr="004F3A25">
          <w:rPr>
            <w:rStyle w:val="Hyperlink"/>
            <w:rFonts w:ascii="Times New Roman" w:eastAsia="Times New Roman" w:hAnsi="Times New Roman" w:cs="Times New Roman"/>
            <w:b/>
            <w:bCs/>
            <w:noProof/>
          </w:rPr>
          <w:t>2</w:t>
        </w:r>
        <w:r>
          <w:rPr>
            <w:rFonts w:asciiTheme="minorHAnsi" w:eastAsiaTheme="minorEastAsia" w:hAnsiTheme="minorHAnsi" w:cstheme="minorBidi"/>
            <w:noProof/>
            <w:sz w:val="24"/>
            <w:szCs w:val="24"/>
            <w:lang w:eastAsia="en-KE"/>
          </w:rPr>
          <w:tab/>
        </w:r>
        <w:r w:rsidRPr="004F3A25">
          <w:rPr>
            <w:rStyle w:val="Hyperlink"/>
            <w:rFonts w:ascii="Times New Roman" w:eastAsia="Times New Roman" w:hAnsi="Times New Roman" w:cs="Times New Roman"/>
            <w:b/>
            <w:bCs/>
            <w:noProof/>
          </w:rPr>
          <w:t>CHAPTER TWO</w:t>
        </w:r>
        <w:r>
          <w:rPr>
            <w:noProof/>
            <w:webHidden/>
          </w:rPr>
          <w:tab/>
        </w:r>
        <w:r>
          <w:rPr>
            <w:noProof/>
            <w:webHidden/>
          </w:rPr>
          <w:fldChar w:fldCharType="begin"/>
        </w:r>
        <w:r>
          <w:rPr>
            <w:noProof/>
            <w:webHidden/>
          </w:rPr>
          <w:instrText xml:space="preserve"> PAGEREF _Toc222210202 \h </w:instrText>
        </w:r>
        <w:r>
          <w:rPr>
            <w:noProof/>
            <w:webHidden/>
          </w:rPr>
        </w:r>
        <w:r>
          <w:rPr>
            <w:noProof/>
            <w:webHidden/>
          </w:rPr>
          <w:fldChar w:fldCharType="separate"/>
        </w:r>
        <w:r>
          <w:rPr>
            <w:noProof/>
            <w:webHidden/>
          </w:rPr>
          <w:t>10</w:t>
        </w:r>
        <w:r>
          <w:rPr>
            <w:noProof/>
            <w:webHidden/>
          </w:rPr>
          <w:fldChar w:fldCharType="end"/>
        </w:r>
      </w:hyperlink>
    </w:p>
    <w:p w14:paraId="1CE582CA" w14:textId="22DBDB3D"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03" w:history="1">
        <w:r w:rsidRPr="004F3A25">
          <w:rPr>
            <w:rStyle w:val="Hyperlink"/>
            <w:rFonts w:ascii="Times New Roman" w:eastAsia="Times New Roman" w:hAnsi="Times New Roman" w:cs="Times New Roman"/>
            <w:b/>
            <w:bCs/>
            <w:noProof/>
          </w:rPr>
          <w:t>2.1</w:t>
        </w:r>
        <w:r>
          <w:rPr>
            <w:rFonts w:asciiTheme="minorHAnsi" w:eastAsiaTheme="minorEastAsia" w:hAnsiTheme="minorHAnsi" w:cstheme="minorBidi"/>
            <w:noProof/>
            <w:sz w:val="24"/>
            <w:szCs w:val="24"/>
            <w:lang w:eastAsia="en-KE"/>
          </w:rPr>
          <w:tab/>
        </w:r>
        <w:r w:rsidRPr="004F3A25">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_Toc222210203 \h </w:instrText>
        </w:r>
        <w:r>
          <w:rPr>
            <w:noProof/>
            <w:webHidden/>
          </w:rPr>
        </w:r>
        <w:r>
          <w:rPr>
            <w:noProof/>
            <w:webHidden/>
          </w:rPr>
          <w:fldChar w:fldCharType="separate"/>
        </w:r>
        <w:r>
          <w:rPr>
            <w:noProof/>
            <w:webHidden/>
          </w:rPr>
          <w:t>10</w:t>
        </w:r>
        <w:r>
          <w:rPr>
            <w:noProof/>
            <w:webHidden/>
          </w:rPr>
          <w:fldChar w:fldCharType="end"/>
        </w:r>
      </w:hyperlink>
    </w:p>
    <w:p w14:paraId="2BD73BDA" w14:textId="44F30563"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04" w:history="1">
        <w:r w:rsidRPr="004F3A25">
          <w:rPr>
            <w:rStyle w:val="Hyperlink"/>
            <w:rFonts w:ascii="Times New Roman" w:eastAsia="Times New Roman" w:hAnsi="Times New Roman" w:cs="Times New Roman"/>
            <w:b/>
            <w:bCs/>
            <w:noProof/>
          </w:rPr>
          <w:t>2.2</w:t>
        </w:r>
        <w:r>
          <w:rPr>
            <w:rFonts w:asciiTheme="minorHAnsi" w:eastAsiaTheme="minorEastAsia" w:hAnsiTheme="minorHAnsi" w:cstheme="minorBidi"/>
            <w:noProof/>
            <w:sz w:val="24"/>
            <w:szCs w:val="24"/>
            <w:lang w:eastAsia="en-KE"/>
          </w:rPr>
          <w:tab/>
        </w:r>
        <w:r w:rsidRPr="004F3A25">
          <w:rPr>
            <w:rStyle w:val="Hyperlink"/>
            <w:rFonts w:ascii="Times New Roman" w:eastAsia="Times New Roman" w:hAnsi="Times New Roman" w:cs="Times New Roman"/>
            <w:b/>
            <w:bCs/>
            <w:noProof/>
          </w:rPr>
          <w:t>Theoretical Review</w:t>
        </w:r>
        <w:r>
          <w:rPr>
            <w:noProof/>
            <w:webHidden/>
          </w:rPr>
          <w:tab/>
        </w:r>
        <w:r>
          <w:rPr>
            <w:noProof/>
            <w:webHidden/>
          </w:rPr>
          <w:fldChar w:fldCharType="begin"/>
        </w:r>
        <w:r>
          <w:rPr>
            <w:noProof/>
            <w:webHidden/>
          </w:rPr>
          <w:instrText xml:space="preserve"> PAGEREF _Toc222210204 \h </w:instrText>
        </w:r>
        <w:r>
          <w:rPr>
            <w:noProof/>
            <w:webHidden/>
          </w:rPr>
        </w:r>
        <w:r>
          <w:rPr>
            <w:noProof/>
            <w:webHidden/>
          </w:rPr>
          <w:fldChar w:fldCharType="separate"/>
        </w:r>
        <w:r>
          <w:rPr>
            <w:noProof/>
            <w:webHidden/>
          </w:rPr>
          <w:t>10</w:t>
        </w:r>
        <w:r>
          <w:rPr>
            <w:noProof/>
            <w:webHidden/>
          </w:rPr>
          <w:fldChar w:fldCharType="end"/>
        </w:r>
      </w:hyperlink>
    </w:p>
    <w:p w14:paraId="7B1FE412" w14:textId="574FC08B" w:rsidR="00735CFC" w:rsidRDefault="00735CFC">
      <w:pPr>
        <w:pStyle w:val="TOC3"/>
        <w:tabs>
          <w:tab w:val="left" w:pos="1200"/>
          <w:tab w:val="right" w:leader="dot" w:pos="9016"/>
        </w:tabs>
        <w:rPr>
          <w:rFonts w:asciiTheme="minorHAnsi" w:eastAsiaTheme="minorEastAsia" w:hAnsiTheme="minorHAnsi" w:cstheme="minorBidi"/>
          <w:noProof/>
          <w:sz w:val="24"/>
          <w:szCs w:val="24"/>
          <w:lang w:eastAsia="en-KE"/>
        </w:rPr>
      </w:pPr>
      <w:hyperlink w:anchor="_Toc222210205" w:history="1">
        <w:r w:rsidRPr="004F3A25">
          <w:rPr>
            <w:rStyle w:val="Hyperlink"/>
            <w:rFonts w:ascii="Times New Roman" w:hAnsi="Times New Roman" w:cs="Times New Roman"/>
            <w:i/>
            <w:iCs/>
            <w:noProof/>
          </w:rPr>
          <w:t>2.2.1</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i/>
            <w:iCs/>
            <w:noProof/>
          </w:rPr>
          <w:t>Stakeholder Theory</w:t>
        </w:r>
        <w:r>
          <w:rPr>
            <w:noProof/>
            <w:webHidden/>
          </w:rPr>
          <w:tab/>
        </w:r>
        <w:r>
          <w:rPr>
            <w:noProof/>
            <w:webHidden/>
          </w:rPr>
          <w:fldChar w:fldCharType="begin"/>
        </w:r>
        <w:r>
          <w:rPr>
            <w:noProof/>
            <w:webHidden/>
          </w:rPr>
          <w:instrText xml:space="preserve"> PAGEREF _Toc222210205 \h </w:instrText>
        </w:r>
        <w:r>
          <w:rPr>
            <w:noProof/>
            <w:webHidden/>
          </w:rPr>
        </w:r>
        <w:r>
          <w:rPr>
            <w:noProof/>
            <w:webHidden/>
          </w:rPr>
          <w:fldChar w:fldCharType="separate"/>
        </w:r>
        <w:r>
          <w:rPr>
            <w:noProof/>
            <w:webHidden/>
          </w:rPr>
          <w:t>10</w:t>
        </w:r>
        <w:r>
          <w:rPr>
            <w:noProof/>
            <w:webHidden/>
          </w:rPr>
          <w:fldChar w:fldCharType="end"/>
        </w:r>
      </w:hyperlink>
    </w:p>
    <w:p w14:paraId="117D8A7E" w14:textId="264DD67C" w:rsidR="00735CFC" w:rsidRDefault="00735CFC">
      <w:pPr>
        <w:pStyle w:val="TOC3"/>
        <w:tabs>
          <w:tab w:val="left" w:pos="1200"/>
          <w:tab w:val="right" w:leader="dot" w:pos="9016"/>
        </w:tabs>
        <w:rPr>
          <w:rFonts w:asciiTheme="minorHAnsi" w:eastAsiaTheme="minorEastAsia" w:hAnsiTheme="minorHAnsi" w:cstheme="minorBidi"/>
          <w:noProof/>
          <w:sz w:val="24"/>
          <w:szCs w:val="24"/>
          <w:lang w:eastAsia="en-KE"/>
        </w:rPr>
      </w:pPr>
      <w:hyperlink w:anchor="_Toc222210206" w:history="1">
        <w:r w:rsidRPr="004F3A25">
          <w:rPr>
            <w:rStyle w:val="Hyperlink"/>
            <w:rFonts w:ascii="Times New Roman" w:hAnsi="Times New Roman" w:cs="Times New Roman"/>
            <w:i/>
            <w:iCs/>
            <w:noProof/>
          </w:rPr>
          <w:t>2.2.2</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i/>
            <w:iCs/>
            <w:noProof/>
          </w:rPr>
          <w:t>Natural Resource</w:t>
        </w:r>
        <w:r w:rsidRPr="004F3A25">
          <w:rPr>
            <w:rStyle w:val="Hyperlink"/>
            <w:rFonts w:ascii="Times New Roman" w:hAnsi="Times New Roman" w:cs="Times New Roman"/>
            <w:i/>
            <w:iCs/>
            <w:noProof/>
            <w:lang w:val="en-US"/>
          </w:rPr>
          <w:t>-</w:t>
        </w:r>
        <w:r w:rsidRPr="004F3A25">
          <w:rPr>
            <w:rStyle w:val="Hyperlink"/>
            <w:rFonts w:ascii="Times New Roman" w:hAnsi="Times New Roman" w:cs="Times New Roman"/>
            <w:i/>
            <w:iCs/>
            <w:noProof/>
          </w:rPr>
          <w:t>Based View (NRBV) Theory</w:t>
        </w:r>
        <w:r>
          <w:rPr>
            <w:noProof/>
            <w:webHidden/>
          </w:rPr>
          <w:tab/>
        </w:r>
        <w:r>
          <w:rPr>
            <w:noProof/>
            <w:webHidden/>
          </w:rPr>
          <w:fldChar w:fldCharType="begin"/>
        </w:r>
        <w:r>
          <w:rPr>
            <w:noProof/>
            <w:webHidden/>
          </w:rPr>
          <w:instrText xml:space="preserve"> PAGEREF _Toc222210206 \h </w:instrText>
        </w:r>
        <w:r>
          <w:rPr>
            <w:noProof/>
            <w:webHidden/>
          </w:rPr>
        </w:r>
        <w:r>
          <w:rPr>
            <w:noProof/>
            <w:webHidden/>
          </w:rPr>
          <w:fldChar w:fldCharType="separate"/>
        </w:r>
        <w:r>
          <w:rPr>
            <w:noProof/>
            <w:webHidden/>
          </w:rPr>
          <w:t>13</w:t>
        </w:r>
        <w:r>
          <w:rPr>
            <w:noProof/>
            <w:webHidden/>
          </w:rPr>
          <w:fldChar w:fldCharType="end"/>
        </w:r>
      </w:hyperlink>
    </w:p>
    <w:p w14:paraId="1836B24F" w14:textId="4E601351" w:rsidR="00735CFC" w:rsidRDefault="00735CFC">
      <w:pPr>
        <w:pStyle w:val="TOC3"/>
        <w:tabs>
          <w:tab w:val="left" w:pos="1200"/>
          <w:tab w:val="right" w:leader="dot" w:pos="9016"/>
        </w:tabs>
        <w:rPr>
          <w:rFonts w:asciiTheme="minorHAnsi" w:eastAsiaTheme="minorEastAsia" w:hAnsiTheme="minorHAnsi" w:cstheme="minorBidi"/>
          <w:noProof/>
          <w:sz w:val="24"/>
          <w:szCs w:val="24"/>
          <w:lang w:eastAsia="en-KE"/>
        </w:rPr>
      </w:pPr>
      <w:hyperlink w:anchor="_Toc222210207" w:history="1">
        <w:r w:rsidRPr="004F3A25">
          <w:rPr>
            <w:rStyle w:val="Hyperlink"/>
            <w:rFonts w:ascii="Times New Roman" w:hAnsi="Times New Roman" w:cs="Times New Roman"/>
            <w:i/>
            <w:iCs/>
            <w:noProof/>
          </w:rPr>
          <w:t>2.2.3</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i/>
            <w:iCs/>
            <w:noProof/>
          </w:rPr>
          <w:t>Institutional Theory</w:t>
        </w:r>
        <w:r>
          <w:rPr>
            <w:noProof/>
            <w:webHidden/>
          </w:rPr>
          <w:tab/>
        </w:r>
        <w:r>
          <w:rPr>
            <w:noProof/>
            <w:webHidden/>
          </w:rPr>
          <w:fldChar w:fldCharType="begin"/>
        </w:r>
        <w:r>
          <w:rPr>
            <w:noProof/>
            <w:webHidden/>
          </w:rPr>
          <w:instrText xml:space="preserve"> PAGEREF _Toc222210207 \h </w:instrText>
        </w:r>
        <w:r>
          <w:rPr>
            <w:noProof/>
            <w:webHidden/>
          </w:rPr>
        </w:r>
        <w:r>
          <w:rPr>
            <w:noProof/>
            <w:webHidden/>
          </w:rPr>
          <w:fldChar w:fldCharType="separate"/>
        </w:r>
        <w:r>
          <w:rPr>
            <w:noProof/>
            <w:webHidden/>
          </w:rPr>
          <w:t>16</w:t>
        </w:r>
        <w:r>
          <w:rPr>
            <w:noProof/>
            <w:webHidden/>
          </w:rPr>
          <w:fldChar w:fldCharType="end"/>
        </w:r>
      </w:hyperlink>
    </w:p>
    <w:p w14:paraId="05632C76" w14:textId="4DEC8DD7"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08" w:history="1">
        <w:r w:rsidRPr="004F3A25">
          <w:rPr>
            <w:rStyle w:val="Hyperlink"/>
            <w:rFonts w:ascii="Times New Roman" w:eastAsia="Times New Roman" w:hAnsi="Times New Roman" w:cs="Times New Roman"/>
            <w:b/>
            <w:bCs/>
            <w:noProof/>
          </w:rPr>
          <w:t>2.3</w:t>
        </w:r>
        <w:r>
          <w:rPr>
            <w:rFonts w:asciiTheme="minorHAnsi" w:eastAsiaTheme="minorEastAsia" w:hAnsiTheme="minorHAnsi" w:cstheme="minorBidi"/>
            <w:noProof/>
            <w:sz w:val="24"/>
            <w:szCs w:val="24"/>
            <w:lang w:eastAsia="en-KE"/>
          </w:rPr>
          <w:tab/>
        </w:r>
        <w:r w:rsidRPr="004F3A25">
          <w:rPr>
            <w:rStyle w:val="Hyperlink"/>
            <w:rFonts w:ascii="Times New Roman" w:eastAsia="Times New Roman" w:hAnsi="Times New Roman" w:cs="Times New Roman"/>
            <w:b/>
            <w:bCs/>
            <w:noProof/>
          </w:rPr>
          <w:t>Conceptual review</w:t>
        </w:r>
        <w:r>
          <w:rPr>
            <w:noProof/>
            <w:webHidden/>
          </w:rPr>
          <w:tab/>
        </w:r>
        <w:r>
          <w:rPr>
            <w:noProof/>
            <w:webHidden/>
          </w:rPr>
          <w:fldChar w:fldCharType="begin"/>
        </w:r>
        <w:r>
          <w:rPr>
            <w:noProof/>
            <w:webHidden/>
          </w:rPr>
          <w:instrText xml:space="preserve"> PAGEREF _Toc222210208 \h </w:instrText>
        </w:r>
        <w:r>
          <w:rPr>
            <w:noProof/>
            <w:webHidden/>
          </w:rPr>
        </w:r>
        <w:r>
          <w:rPr>
            <w:noProof/>
            <w:webHidden/>
          </w:rPr>
          <w:fldChar w:fldCharType="separate"/>
        </w:r>
        <w:r>
          <w:rPr>
            <w:noProof/>
            <w:webHidden/>
          </w:rPr>
          <w:t>18</w:t>
        </w:r>
        <w:r>
          <w:rPr>
            <w:noProof/>
            <w:webHidden/>
          </w:rPr>
          <w:fldChar w:fldCharType="end"/>
        </w:r>
      </w:hyperlink>
    </w:p>
    <w:p w14:paraId="48AD6157" w14:textId="30547E50" w:rsidR="00735CFC" w:rsidRDefault="00735CFC">
      <w:pPr>
        <w:pStyle w:val="TOC3"/>
        <w:tabs>
          <w:tab w:val="left" w:pos="1200"/>
          <w:tab w:val="right" w:leader="dot" w:pos="9016"/>
        </w:tabs>
        <w:rPr>
          <w:rFonts w:asciiTheme="minorHAnsi" w:eastAsiaTheme="minorEastAsia" w:hAnsiTheme="minorHAnsi" w:cstheme="minorBidi"/>
          <w:noProof/>
          <w:sz w:val="24"/>
          <w:szCs w:val="24"/>
          <w:lang w:eastAsia="en-KE"/>
        </w:rPr>
      </w:pPr>
      <w:hyperlink w:anchor="_Toc222210209" w:history="1">
        <w:r w:rsidRPr="004F3A25">
          <w:rPr>
            <w:rStyle w:val="Hyperlink"/>
            <w:rFonts w:ascii="Times New Roman" w:hAnsi="Times New Roman" w:cs="Times New Roman"/>
            <w:noProof/>
          </w:rPr>
          <w:t>2.3.1</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Green finance</w:t>
        </w:r>
        <w:r>
          <w:rPr>
            <w:noProof/>
            <w:webHidden/>
          </w:rPr>
          <w:tab/>
        </w:r>
        <w:r>
          <w:rPr>
            <w:noProof/>
            <w:webHidden/>
          </w:rPr>
          <w:fldChar w:fldCharType="begin"/>
        </w:r>
        <w:r>
          <w:rPr>
            <w:noProof/>
            <w:webHidden/>
          </w:rPr>
          <w:instrText xml:space="preserve"> PAGEREF _Toc222210209 \h </w:instrText>
        </w:r>
        <w:r>
          <w:rPr>
            <w:noProof/>
            <w:webHidden/>
          </w:rPr>
        </w:r>
        <w:r>
          <w:rPr>
            <w:noProof/>
            <w:webHidden/>
          </w:rPr>
          <w:fldChar w:fldCharType="separate"/>
        </w:r>
        <w:r>
          <w:rPr>
            <w:noProof/>
            <w:webHidden/>
          </w:rPr>
          <w:t>18</w:t>
        </w:r>
        <w:r>
          <w:rPr>
            <w:noProof/>
            <w:webHidden/>
          </w:rPr>
          <w:fldChar w:fldCharType="end"/>
        </w:r>
      </w:hyperlink>
    </w:p>
    <w:p w14:paraId="3E7C2278" w14:textId="75E377C8" w:rsidR="00735CFC" w:rsidRDefault="00735CFC">
      <w:pPr>
        <w:pStyle w:val="TOC3"/>
        <w:tabs>
          <w:tab w:val="left" w:pos="1200"/>
          <w:tab w:val="right" w:leader="dot" w:pos="9016"/>
        </w:tabs>
        <w:rPr>
          <w:rFonts w:asciiTheme="minorHAnsi" w:eastAsiaTheme="minorEastAsia" w:hAnsiTheme="minorHAnsi" w:cstheme="minorBidi"/>
          <w:noProof/>
          <w:sz w:val="24"/>
          <w:szCs w:val="24"/>
          <w:lang w:eastAsia="en-KE"/>
        </w:rPr>
      </w:pPr>
      <w:hyperlink w:anchor="_Toc222210210" w:history="1">
        <w:r w:rsidRPr="004F3A25">
          <w:rPr>
            <w:rStyle w:val="Hyperlink"/>
            <w:rFonts w:ascii="Times New Roman" w:hAnsi="Times New Roman" w:cs="Times New Roman"/>
            <w:i/>
            <w:iCs/>
            <w:noProof/>
          </w:rPr>
          <w:t>2.3.2</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i/>
            <w:iCs/>
            <w:noProof/>
          </w:rPr>
          <w:t>Firm Size</w:t>
        </w:r>
        <w:r>
          <w:rPr>
            <w:noProof/>
            <w:webHidden/>
          </w:rPr>
          <w:tab/>
        </w:r>
        <w:r>
          <w:rPr>
            <w:noProof/>
            <w:webHidden/>
          </w:rPr>
          <w:fldChar w:fldCharType="begin"/>
        </w:r>
        <w:r>
          <w:rPr>
            <w:noProof/>
            <w:webHidden/>
          </w:rPr>
          <w:instrText xml:space="preserve"> PAGEREF _Toc222210210 \h </w:instrText>
        </w:r>
        <w:r>
          <w:rPr>
            <w:noProof/>
            <w:webHidden/>
          </w:rPr>
        </w:r>
        <w:r>
          <w:rPr>
            <w:noProof/>
            <w:webHidden/>
          </w:rPr>
          <w:fldChar w:fldCharType="separate"/>
        </w:r>
        <w:r>
          <w:rPr>
            <w:noProof/>
            <w:webHidden/>
          </w:rPr>
          <w:t>23</w:t>
        </w:r>
        <w:r>
          <w:rPr>
            <w:noProof/>
            <w:webHidden/>
          </w:rPr>
          <w:fldChar w:fldCharType="end"/>
        </w:r>
      </w:hyperlink>
    </w:p>
    <w:p w14:paraId="3B432398" w14:textId="1EA377FC" w:rsidR="00735CFC" w:rsidRDefault="00735CFC">
      <w:pPr>
        <w:pStyle w:val="TOC3"/>
        <w:tabs>
          <w:tab w:val="left" w:pos="1200"/>
          <w:tab w:val="right" w:leader="dot" w:pos="9016"/>
        </w:tabs>
        <w:rPr>
          <w:rFonts w:asciiTheme="minorHAnsi" w:eastAsiaTheme="minorEastAsia" w:hAnsiTheme="minorHAnsi" w:cstheme="minorBidi"/>
          <w:noProof/>
          <w:sz w:val="24"/>
          <w:szCs w:val="24"/>
          <w:lang w:eastAsia="en-KE"/>
        </w:rPr>
      </w:pPr>
      <w:hyperlink w:anchor="_Toc222210211" w:history="1">
        <w:r w:rsidRPr="004F3A25">
          <w:rPr>
            <w:rStyle w:val="Hyperlink"/>
            <w:rFonts w:ascii="Times New Roman" w:hAnsi="Times New Roman" w:cs="Times New Roman"/>
            <w:i/>
            <w:iCs/>
            <w:noProof/>
          </w:rPr>
          <w:t>2.3.3</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i/>
            <w:iCs/>
            <w:noProof/>
          </w:rPr>
          <w:t>Financial performance in banking</w:t>
        </w:r>
        <w:r>
          <w:rPr>
            <w:noProof/>
            <w:webHidden/>
          </w:rPr>
          <w:tab/>
        </w:r>
        <w:r>
          <w:rPr>
            <w:noProof/>
            <w:webHidden/>
          </w:rPr>
          <w:fldChar w:fldCharType="begin"/>
        </w:r>
        <w:r>
          <w:rPr>
            <w:noProof/>
            <w:webHidden/>
          </w:rPr>
          <w:instrText xml:space="preserve"> PAGEREF _Toc222210211 \h </w:instrText>
        </w:r>
        <w:r>
          <w:rPr>
            <w:noProof/>
            <w:webHidden/>
          </w:rPr>
        </w:r>
        <w:r>
          <w:rPr>
            <w:noProof/>
            <w:webHidden/>
          </w:rPr>
          <w:fldChar w:fldCharType="separate"/>
        </w:r>
        <w:r>
          <w:rPr>
            <w:noProof/>
            <w:webHidden/>
          </w:rPr>
          <w:t>24</w:t>
        </w:r>
        <w:r>
          <w:rPr>
            <w:noProof/>
            <w:webHidden/>
          </w:rPr>
          <w:fldChar w:fldCharType="end"/>
        </w:r>
      </w:hyperlink>
    </w:p>
    <w:p w14:paraId="19B95B6F" w14:textId="05004B27"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12" w:history="1">
        <w:r w:rsidRPr="004F3A25">
          <w:rPr>
            <w:rStyle w:val="Hyperlink"/>
            <w:rFonts w:ascii="Times New Roman" w:eastAsia="Times New Roman" w:hAnsi="Times New Roman" w:cs="Times New Roman"/>
            <w:b/>
            <w:bCs/>
            <w:noProof/>
          </w:rPr>
          <w:t>2.4</w:t>
        </w:r>
        <w:r>
          <w:rPr>
            <w:rFonts w:asciiTheme="minorHAnsi" w:eastAsiaTheme="minorEastAsia" w:hAnsiTheme="minorHAnsi" w:cstheme="minorBidi"/>
            <w:noProof/>
            <w:sz w:val="24"/>
            <w:szCs w:val="24"/>
            <w:lang w:eastAsia="en-KE"/>
          </w:rPr>
          <w:tab/>
        </w:r>
        <w:r w:rsidRPr="004F3A25">
          <w:rPr>
            <w:rStyle w:val="Hyperlink"/>
            <w:rFonts w:ascii="Times New Roman" w:eastAsia="Times New Roman" w:hAnsi="Times New Roman" w:cs="Times New Roman"/>
            <w:b/>
            <w:bCs/>
            <w:noProof/>
          </w:rPr>
          <w:t>Empirical Review</w:t>
        </w:r>
        <w:r>
          <w:rPr>
            <w:noProof/>
            <w:webHidden/>
          </w:rPr>
          <w:tab/>
        </w:r>
        <w:r>
          <w:rPr>
            <w:noProof/>
            <w:webHidden/>
          </w:rPr>
          <w:fldChar w:fldCharType="begin"/>
        </w:r>
        <w:r>
          <w:rPr>
            <w:noProof/>
            <w:webHidden/>
          </w:rPr>
          <w:instrText xml:space="preserve"> PAGEREF _Toc222210212 \h </w:instrText>
        </w:r>
        <w:r>
          <w:rPr>
            <w:noProof/>
            <w:webHidden/>
          </w:rPr>
        </w:r>
        <w:r>
          <w:rPr>
            <w:noProof/>
            <w:webHidden/>
          </w:rPr>
          <w:fldChar w:fldCharType="separate"/>
        </w:r>
        <w:r>
          <w:rPr>
            <w:noProof/>
            <w:webHidden/>
          </w:rPr>
          <w:t>25</w:t>
        </w:r>
        <w:r>
          <w:rPr>
            <w:noProof/>
            <w:webHidden/>
          </w:rPr>
          <w:fldChar w:fldCharType="end"/>
        </w:r>
      </w:hyperlink>
    </w:p>
    <w:p w14:paraId="76F5634C" w14:textId="4885F9DC" w:rsidR="00735CFC" w:rsidRDefault="00735CFC">
      <w:pPr>
        <w:pStyle w:val="TOC3"/>
        <w:tabs>
          <w:tab w:val="left" w:pos="1200"/>
          <w:tab w:val="right" w:leader="dot" w:pos="9016"/>
        </w:tabs>
        <w:rPr>
          <w:rFonts w:asciiTheme="minorHAnsi" w:eastAsiaTheme="minorEastAsia" w:hAnsiTheme="minorHAnsi" w:cstheme="minorBidi"/>
          <w:noProof/>
          <w:sz w:val="24"/>
          <w:szCs w:val="24"/>
          <w:lang w:eastAsia="en-KE"/>
        </w:rPr>
      </w:pPr>
      <w:hyperlink w:anchor="_Toc222210213" w:history="1">
        <w:r w:rsidRPr="004F3A25">
          <w:rPr>
            <w:rStyle w:val="Hyperlink"/>
            <w:rFonts w:ascii="Times New Roman" w:hAnsi="Times New Roman" w:cs="Times New Roman"/>
            <w:noProof/>
          </w:rPr>
          <w:t>2.4.1</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i/>
            <w:iCs/>
            <w:noProof/>
          </w:rPr>
          <w:t>Green Finance and Financial Performance</w:t>
        </w:r>
        <w:r>
          <w:rPr>
            <w:noProof/>
            <w:webHidden/>
          </w:rPr>
          <w:tab/>
        </w:r>
        <w:r>
          <w:rPr>
            <w:noProof/>
            <w:webHidden/>
          </w:rPr>
          <w:fldChar w:fldCharType="begin"/>
        </w:r>
        <w:r>
          <w:rPr>
            <w:noProof/>
            <w:webHidden/>
          </w:rPr>
          <w:instrText xml:space="preserve"> PAGEREF _Toc222210213 \h </w:instrText>
        </w:r>
        <w:r>
          <w:rPr>
            <w:noProof/>
            <w:webHidden/>
          </w:rPr>
        </w:r>
        <w:r>
          <w:rPr>
            <w:noProof/>
            <w:webHidden/>
          </w:rPr>
          <w:fldChar w:fldCharType="separate"/>
        </w:r>
        <w:r>
          <w:rPr>
            <w:noProof/>
            <w:webHidden/>
          </w:rPr>
          <w:t>25</w:t>
        </w:r>
        <w:r>
          <w:rPr>
            <w:noProof/>
            <w:webHidden/>
          </w:rPr>
          <w:fldChar w:fldCharType="end"/>
        </w:r>
      </w:hyperlink>
    </w:p>
    <w:p w14:paraId="3EEF60BB" w14:textId="69533314" w:rsidR="00735CFC" w:rsidRDefault="00735CFC">
      <w:pPr>
        <w:pStyle w:val="TOC3"/>
        <w:tabs>
          <w:tab w:val="left" w:pos="1200"/>
          <w:tab w:val="right" w:leader="dot" w:pos="9016"/>
        </w:tabs>
        <w:rPr>
          <w:rFonts w:asciiTheme="minorHAnsi" w:eastAsiaTheme="minorEastAsia" w:hAnsiTheme="minorHAnsi" w:cstheme="minorBidi"/>
          <w:noProof/>
          <w:sz w:val="24"/>
          <w:szCs w:val="24"/>
          <w:lang w:eastAsia="en-KE"/>
        </w:rPr>
      </w:pPr>
      <w:hyperlink w:anchor="_Toc222210214" w:history="1">
        <w:r w:rsidRPr="004F3A25">
          <w:rPr>
            <w:rStyle w:val="Hyperlink"/>
            <w:rFonts w:ascii="Times New Roman" w:hAnsi="Times New Roman" w:cs="Times New Roman"/>
            <w:noProof/>
          </w:rPr>
          <w:t>2.4.2</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i/>
            <w:iCs/>
            <w:noProof/>
          </w:rPr>
          <w:t>Firm size as a moderator</w:t>
        </w:r>
        <w:r>
          <w:rPr>
            <w:noProof/>
            <w:webHidden/>
          </w:rPr>
          <w:tab/>
        </w:r>
        <w:r>
          <w:rPr>
            <w:noProof/>
            <w:webHidden/>
          </w:rPr>
          <w:fldChar w:fldCharType="begin"/>
        </w:r>
        <w:r>
          <w:rPr>
            <w:noProof/>
            <w:webHidden/>
          </w:rPr>
          <w:instrText xml:space="preserve"> PAGEREF _Toc222210214 \h </w:instrText>
        </w:r>
        <w:r>
          <w:rPr>
            <w:noProof/>
            <w:webHidden/>
          </w:rPr>
        </w:r>
        <w:r>
          <w:rPr>
            <w:noProof/>
            <w:webHidden/>
          </w:rPr>
          <w:fldChar w:fldCharType="separate"/>
        </w:r>
        <w:r>
          <w:rPr>
            <w:noProof/>
            <w:webHidden/>
          </w:rPr>
          <w:t>27</w:t>
        </w:r>
        <w:r>
          <w:rPr>
            <w:noProof/>
            <w:webHidden/>
          </w:rPr>
          <w:fldChar w:fldCharType="end"/>
        </w:r>
      </w:hyperlink>
    </w:p>
    <w:p w14:paraId="005EC52C" w14:textId="78C01DEC"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15" w:history="1">
        <w:r w:rsidRPr="004F3A25">
          <w:rPr>
            <w:rStyle w:val="Hyperlink"/>
            <w:rFonts w:ascii="Times New Roman" w:eastAsia="Times New Roman" w:hAnsi="Times New Roman" w:cs="Times New Roman"/>
            <w:b/>
            <w:bCs/>
            <w:noProof/>
          </w:rPr>
          <w:t>2.5</w:t>
        </w:r>
        <w:r>
          <w:rPr>
            <w:rFonts w:asciiTheme="minorHAnsi" w:eastAsiaTheme="minorEastAsia" w:hAnsiTheme="minorHAnsi" w:cstheme="minorBidi"/>
            <w:noProof/>
            <w:sz w:val="24"/>
            <w:szCs w:val="24"/>
            <w:lang w:eastAsia="en-KE"/>
          </w:rPr>
          <w:tab/>
        </w:r>
        <w:r w:rsidRPr="004F3A25">
          <w:rPr>
            <w:rStyle w:val="Hyperlink"/>
            <w:rFonts w:ascii="Times New Roman" w:eastAsia="Times New Roman" w:hAnsi="Times New Roman" w:cs="Times New Roman"/>
            <w:b/>
            <w:bCs/>
            <w:noProof/>
          </w:rPr>
          <w:t>Summary and research gaps</w:t>
        </w:r>
        <w:r>
          <w:rPr>
            <w:noProof/>
            <w:webHidden/>
          </w:rPr>
          <w:tab/>
        </w:r>
        <w:r>
          <w:rPr>
            <w:noProof/>
            <w:webHidden/>
          </w:rPr>
          <w:fldChar w:fldCharType="begin"/>
        </w:r>
        <w:r>
          <w:rPr>
            <w:noProof/>
            <w:webHidden/>
          </w:rPr>
          <w:instrText xml:space="preserve"> PAGEREF _Toc222210215 \h </w:instrText>
        </w:r>
        <w:r>
          <w:rPr>
            <w:noProof/>
            <w:webHidden/>
          </w:rPr>
        </w:r>
        <w:r>
          <w:rPr>
            <w:noProof/>
            <w:webHidden/>
          </w:rPr>
          <w:fldChar w:fldCharType="separate"/>
        </w:r>
        <w:r>
          <w:rPr>
            <w:noProof/>
            <w:webHidden/>
          </w:rPr>
          <w:t>30</w:t>
        </w:r>
        <w:r>
          <w:rPr>
            <w:noProof/>
            <w:webHidden/>
          </w:rPr>
          <w:fldChar w:fldCharType="end"/>
        </w:r>
      </w:hyperlink>
    </w:p>
    <w:p w14:paraId="4EBED74A" w14:textId="6F88A5AD"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16" w:history="1">
        <w:r w:rsidRPr="004F3A25">
          <w:rPr>
            <w:rStyle w:val="Hyperlink"/>
            <w:rFonts w:ascii="Times New Roman" w:eastAsia="Times New Roman" w:hAnsi="Times New Roman" w:cs="Times New Roman"/>
            <w:b/>
            <w:bCs/>
            <w:noProof/>
          </w:rPr>
          <w:t>2.6</w:t>
        </w:r>
        <w:r>
          <w:rPr>
            <w:rFonts w:asciiTheme="minorHAnsi" w:eastAsiaTheme="minorEastAsia" w:hAnsiTheme="minorHAnsi" w:cstheme="minorBidi"/>
            <w:noProof/>
            <w:sz w:val="24"/>
            <w:szCs w:val="24"/>
            <w:lang w:eastAsia="en-KE"/>
          </w:rPr>
          <w:tab/>
        </w:r>
        <w:r w:rsidRPr="004F3A25">
          <w:rPr>
            <w:rStyle w:val="Hyperlink"/>
            <w:rFonts w:ascii="Times New Roman" w:eastAsia="Times New Roman" w:hAnsi="Times New Roman" w:cs="Times New Roman"/>
            <w:b/>
            <w:bCs/>
            <w:noProof/>
          </w:rPr>
          <w:t>Conceptual framework</w:t>
        </w:r>
        <w:r>
          <w:rPr>
            <w:noProof/>
            <w:webHidden/>
          </w:rPr>
          <w:tab/>
        </w:r>
        <w:r>
          <w:rPr>
            <w:noProof/>
            <w:webHidden/>
          </w:rPr>
          <w:fldChar w:fldCharType="begin"/>
        </w:r>
        <w:r>
          <w:rPr>
            <w:noProof/>
            <w:webHidden/>
          </w:rPr>
          <w:instrText xml:space="preserve"> PAGEREF _Toc222210216 \h </w:instrText>
        </w:r>
        <w:r>
          <w:rPr>
            <w:noProof/>
            <w:webHidden/>
          </w:rPr>
        </w:r>
        <w:r>
          <w:rPr>
            <w:noProof/>
            <w:webHidden/>
          </w:rPr>
          <w:fldChar w:fldCharType="separate"/>
        </w:r>
        <w:r>
          <w:rPr>
            <w:noProof/>
            <w:webHidden/>
          </w:rPr>
          <w:t>32</w:t>
        </w:r>
        <w:r>
          <w:rPr>
            <w:noProof/>
            <w:webHidden/>
          </w:rPr>
          <w:fldChar w:fldCharType="end"/>
        </w:r>
      </w:hyperlink>
    </w:p>
    <w:p w14:paraId="0A561578" w14:textId="4B22D102" w:rsidR="00735CFC" w:rsidRDefault="00735CFC">
      <w:pPr>
        <w:pStyle w:val="TOC1"/>
        <w:tabs>
          <w:tab w:val="left" w:pos="440"/>
          <w:tab w:val="right" w:leader="dot" w:pos="9016"/>
        </w:tabs>
        <w:rPr>
          <w:rFonts w:asciiTheme="minorHAnsi" w:eastAsiaTheme="minorEastAsia" w:hAnsiTheme="minorHAnsi" w:cstheme="minorBidi"/>
          <w:noProof/>
          <w:sz w:val="24"/>
          <w:szCs w:val="24"/>
          <w:lang w:eastAsia="en-KE"/>
        </w:rPr>
      </w:pPr>
      <w:hyperlink w:anchor="_Toc222210217" w:history="1">
        <w:r w:rsidRPr="004F3A25">
          <w:rPr>
            <w:rStyle w:val="Hyperlink"/>
            <w:rFonts w:ascii="Times New Roman" w:hAnsi="Times New Roman" w:cs="Times New Roman"/>
            <w:b/>
            <w:bCs/>
            <w:noProof/>
          </w:rPr>
          <w:t>3</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CHAPTER THREE</w:t>
        </w:r>
        <w:r>
          <w:rPr>
            <w:noProof/>
            <w:webHidden/>
          </w:rPr>
          <w:tab/>
        </w:r>
        <w:r>
          <w:rPr>
            <w:noProof/>
            <w:webHidden/>
          </w:rPr>
          <w:fldChar w:fldCharType="begin"/>
        </w:r>
        <w:r>
          <w:rPr>
            <w:noProof/>
            <w:webHidden/>
          </w:rPr>
          <w:instrText xml:space="preserve"> PAGEREF _Toc222210217 \h </w:instrText>
        </w:r>
        <w:r>
          <w:rPr>
            <w:noProof/>
            <w:webHidden/>
          </w:rPr>
        </w:r>
        <w:r>
          <w:rPr>
            <w:noProof/>
            <w:webHidden/>
          </w:rPr>
          <w:fldChar w:fldCharType="separate"/>
        </w:r>
        <w:r>
          <w:rPr>
            <w:noProof/>
            <w:webHidden/>
          </w:rPr>
          <w:t>34</w:t>
        </w:r>
        <w:r>
          <w:rPr>
            <w:noProof/>
            <w:webHidden/>
          </w:rPr>
          <w:fldChar w:fldCharType="end"/>
        </w:r>
      </w:hyperlink>
    </w:p>
    <w:p w14:paraId="23824774" w14:textId="053BC753"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18" w:history="1">
        <w:r w:rsidRPr="004F3A25">
          <w:rPr>
            <w:rStyle w:val="Hyperlink"/>
            <w:rFonts w:ascii="Times New Roman" w:hAnsi="Times New Roman" w:cs="Times New Roman"/>
            <w:b/>
            <w:bCs/>
            <w:noProof/>
          </w:rPr>
          <w:t>3.1</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Overview</w:t>
        </w:r>
        <w:r>
          <w:rPr>
            <w:noProof/>
            <w:webHidden/>
          </w:rPr>
          <w:tab/>
        </w:r>
        <w:r>
          <w:rPr>
            <w:noProof/>
            <w:webHidden/>
          </w:rPr>
          <w:fldChar w:fldCharType="begin"/>
        </w:r>
        <w:r>
          <w:rPr>
            <w:noProof/>
            <w:webHidden/>
          </w:rPr>
          <w:instrText xml:space="preserve"> PAGEREF _Toc222210218 \h </w:instrText>
        </w:r>
        <w:r>
          <w:rPr>
            <w:noProof/>
            <w:webHidden/>
          </w:rPr>
        </w:r>
        <w:r>
          <w:rPr>
            <w:noProof/>
            <w:webHidden/>
          </w:rPr>
          <w:fldChar w:fldCharType="separate"/>
        </w:r>
        <w:r>
          <w:rPr>
            <w:noProof/>
            <w:webHidden/>
          </w:rPr>
          <w:t>34</w:t>
        </w:r>
        <w:r>
          <w:rPr>
            <w:noProof/>
            <w:webHidden/>
          </w:rPr>
          <w:fldChar w:fldCharType="end"/>
        </w:r>
      </w:hyperlink>
    </w:p>
    <w:p w14:paraId="57FC0315" w14:textId="6550084A"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19" w:history="1">
        <w:r w:rsidRPr="004F3A25">
          <w:rPr>
            <w:rStyle w:val="Hyperlink"/>
            <w:rFonts w:ascii="Times New Roman" w:hAnsi="Times New Roman" w:cs="Times New Roman"/>
            <w:b/>
            <w:bCs/>
            <w:noProof/>
          </w:rPr>
          <w:t>3.2</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Study area</w:t>
        </w:r>
        <w:r>
          <w:rPr>
            <w:noProof/>
            <w:webHidden/>
          </w:rPr>
          <w:tab/>
        </w:r>
        <w:r>
          <w:rPr>
            <w:noProof/>
            <w:webHidden/>
          </w:rPr>
          <w:fldChar w:fldCharType="begin"/>
        </w:r>
        <w:r>
          <w:rPr>
            <w:noProof/>
            <w:webHidden/>
          </w:rPr>
          <w:instrText xml:space="preserve"> PAGEREF _Toc222210219 \h </w:instrText>
        </w:r>
        <w:r>
          <w:rPr>
            <w:noProof/>
            <w:webHidden/>
          </w:rPr>
        </w:r>
        <w:r>
          <w:rPr>
            <w:noProof/>
            <w:webHidden/>
          </w:rPr>
          <w:fldChar w:fldCharType="separate"/>
        </w:r>
        <w:r>
          <w:rPr>
            <w:noProof/>
            <w:webHidden/>
          </w:rPr>
          <w:t>34</w:t>
        </w:r>
        <w:r>
          <w:rPr>
            <w:noProof/>
            <w:webHidden/>
          </w:rPr>
          <w:fldChar w:fldCharType="end"/>
        </w:r>
      </w:hyperlink>
    </w:p>
    <w:p w14:paraId="7A0F2394" w14:textId="1AC5DC8B"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20" w:history="1">
        <w:r w:rsidRPr="004F3A25">
          <w:rPr>
            <w:rStyle w:val="Hyperlink"/>
            <w:rFonts w:ascii="Times New Roman" w:hAnsi="Times New Roman" w:cs="Times New Roman"/>
            <w:b/>
            <w:bCs/>
            <w:noProof/>
          </w:rPr>
          <w:t>3.3</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Research design</w:t>
        </w:r>
        <w:r>
          <w:rPr>
            <w:noProof/>
            <w:webHidden/>
          </w:rPr>
          <w:tab/>
        </w:r>
        <w:r>
          <w:rPr>
            <w:noProof/>
            <w:webHidden/>
          </w:rPr>
          <w:fldChar w:fldCharType="begin"/>
        </w:r>
        <w:r>
          <w:rPr>
            <w:noProof/>
            <w:webHidden/>
          </w:rPr>
          <w:instrText xml:space="preserve"> PAGEREF _Toc222210220 \h </w:instrText>
        </w:r>
        <w:r>
          <w:rPr>
            <w:noProof/>
            <w:webHidden/>
          </w:rPr>
        </w:r>
        <w:r>
          <w:rPr>
            <w:noProof/>
            <w:webHidden/>
          </w:rPr>
          <w:fldChar w:fldCharType="separate"/>
        </w:r>
        <w:r>
          <w:rPr>
            <w:noProof/>
            <w:webHidden/>
          </w:rPr>
          <w:t>34</w:t>
        </w:r>
        <w:r>
          <w:rPr>
            <w:noProof/>
            <w:webHidden/>
          </w:rPr>
          <w:fldChar w:fldCharType="end"/>
        </w:r>
      </w:hyperlink>
    </w:p>
    <w:p w14:paraId="31D4D4A2" w14:textId="315A5926"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21" w:history="1">
        <w:r w:rsidRPr="004F3A25">
          <w:rPr>
            <w:rStyle w:val="Hyperlink"/>
            <w:rFonts w:ascii="Times New Roman" w:hAnsi="Times New Roman" w:cs="Times New Roman"/>
            <w:b/>
            <w:bCs/>
            <w:noProof/>
          </w:rPr>
          <w:t>3.4</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Target Population</w:t>
        </w:r>
        <w:r>
          <w:rPr>
            <w:noProof/>
            <w:webHidden/>
          </w:rPr>
          <w:tab/>
        </w:r>
        <w:r>
          <w:rPr>
            <w:noProof/>
            <w:webHidden/>
          </w:rPr>
          <w:fldChar w:fldCharType="begin"/>
        </w:r>
        <w:r>
          <w:rPr>
            <w:noProof/>
            <w:webHidden/>
          </w:rPr>
          <w:instrText xml:space="preserve"> PAGEREF _Toc222210221 \h </w:instrText>
        </w:r>
        <w:r>
          <w:rPr>
            <w:noProof/>
            <w:webHidden/>
          </w:rPr>
        </w:r>
        <w:r>
          <w:rPr>
            <w:noProof/>
            <w:webHidden/>
          </w:rPr>
          <w:fldChar w:fldCharType="separate"/>
        </w:r>
        <w:r>
          <w:rPr>
            <w:noProof/>
            <w:webHidden/>
          </w:rPr>
          <w:t>35</w:t>
        </w:r>
        <w:r>
          <w:rPr>
            <w:noProof/>
            <w:webHidden/>
          </w:rPr>
          <w:fldChar w:fldCharType="end"/>
        </w:r>
      </w:hyperlink>
    </w:p>
    <w:p w14:paraId="4CEE2C08" w14:textId="0CEF42B1"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22" w:history="1">
        <w:r w:rsidRPr="004F3A25">
          <w:rPr>
            <w:rStyle w:val="Hyperlink"/>
            <w:rFonts w:ascii="Times New Roman" w:hAnsi="Times New Roman" w:cs="Times New Roman"/>
            <w:b/>
            <w:bCs/>
            <w:noProof/>
          </w:rPr>
          <w:t>3.5</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Sample Size</w:t>
        </w:r>
        <w:r>
          <w:rPr>
            <w:noProof/>
            <w:webHidden/>
          </w:rPr>
          <w:tab/>
        </w:r>
        <w:r>
          <w:rPr>
            <w:noProof/>
            <w:webHidden/>
          </w:rPr>
          <w:fldChar w:fldCharType="begin"/>
        </w:r>
        <w:r>
          <w:rPr>
            <w:noProof/>
            <w:webHidden/>
          </w:rPr>
          <w:instrText xml:space="preserve"> PAGEREF _Toc222210222 \h </w:instrText>
        </w:r>
        <w:r>
          <w:rPr>
            <w:noProof/>
            <w:webHidden/>
          </w:rPr>
        </w:r>
        <w:r>
          <w:rPr>
            <w:noProof/>
            <w:webHidden/>
          </w:rPr>
          <w:fldChar w:fldCharType="separate"/>
        </w:r>
        <w:r>
          <w:rPr>
            <w:noProof/>
            <w:webHidden/>
          </w:rPr>
          <w:t>36</w:t>
        </w:r>
        <w:r>
          <w:rPr>
            <w:noProof/>
            <w:webHidden/>
          </w:rPr>
          <w:fldChar w:fldCharType="end"/>
        </w:r>
      </w:hyperlink>
    </w:p>
    <w:p w14:paraId="681C1F4C" w14:textId="57C804AF"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23" w:history="1">
        <w:r w:rsidRPr="004F3A25">
          <w:rPr>
            <w:rStyle w:val="Hyperlink"/>
            <w:rFonts w:ascii="Times New Roman" w:hAnsi="Times New Roman" w:cs="Times New Roman"/>
            <w:b/>
            <w:bCs/>
            <w:noProof/>
          </w:rPr>
          <w:t>3.6</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Data Collection</w:t>
        </w:r>
        <w:r>
          <w:rPr>
            <w:noProof/>
            <w:webHidden/>
          </w:rPr>
          <w:tab/>
        </w:r>
        <w:r>
          <w:rPr>
            <w:noProof/>
            <w:webHidden/>
          </w:rPr>
          <w:fldChar w:fldCharType="begin"/>
        </w:r>
        <w:r>
          <w:rPr>
            <w:noProof/>
            <w:webHidden/>
          </w:rPr>
          <w:instrText xml:space="preserve"> PAGEREF _Toc222210223 \h </w:instrText>
        </w:r>
        <w:r>
          <w:rPr>
            <w:noProof/>
            <w:webHidden/>
          </w:rPr>
        </w:r>
        <w:r>
          <w:rPr>
            <w:noProof/>
            <w:webHidden/>
          </w:rPr>
          <w:fldChar w:fldCharType="separate"/>
        </w:r>
        <w:r>
          <w:rPr>
            <w:noProof/>
            <w:webHidden/>
          </w:rPr>
          <w:t>36</w:t>
        </w:r>
        <w:r>
          <w:rPr>
            <w:noProof/>
            <w:webHidden/>
          </w:rPr>
          <w:fldChar w:fldCharType="end"/>
        </w:r>
      </w:hyperlink>
    </w:p>
    <w:p w14:paraId="19E99222" w14:textId="59397281"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24" w:history="1">
        <w:r w:rsidRPr="004F3A25">
          <w:rPr>
            <w:rStyle w:val="Hyperlink"/>
            <w:rFonts w:ascii="Times New Roman" w:hAnsi="Times New Roman" w:cs="Times New Roman"/>
            <w:b/>
            <w:bCs/>
            <w:noProof/>
          </w:rPr>
          <w:t>3.7</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Data Analysis</w:t>
        </w:r>
        <w:r>
          <w:rPr>
            <w:noProof/>
            <w:webHidden/>
          </w:rPr>
          <w:tab/>
        </w:r>
        <w:r>
          <w:rPr>
            <w:noProof/>
            <w:webHidden/>
          </w:rPr>
          <w:fldChar w:fldCharType="begin"/>
        </w:r>
        <w:r>
          <w:rPr>
            <w:noProof/>
            <w:webHidden/>
          </w:rPr>
          <w:instrText xml:space="preserve"> PAGEREF _Toc222210224 \h </w:instrText>
        </w:r>
        <w:r>
          <w:rPr>
            <w:noProof/>
            <w:webHidden/>
          </w:rPr>
        </w:r>
        <w:r>
          <w:rPr>
            <w:noProof/>
            <w:webHidden/>
          </w:rPr>
          <w:fldChar w:fldCharType="separate"/>
        </w:r>
        <w:r>
          <w:rPr>
            <w:noProof/>
            <w:webHidden/>
          </w:rPr>
          <w:t>37</w:t>
        </w:r>
        <w:r>
          <w:rPr>
            <w:noProof/>
            <w:webHidden/>
          </w:rPr>
          <w:fldChar w:fldCharType="end"/>
        </w:r>
      </w:hyperlink>
    </w:p>
    <w:p w14:paraId="3097EEEE" w14:textId="4497648B"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25" w:history="1">
        <w:r w:rsidRPr="004F3A25">
          <w:rPr>
            <w:rStyle w:val="Hyperlink"/>
            <w:rFonts w:ascii="Times New Roman" w:hAnsi="Times New Roman" w:cs="Times New Roman"/>
            <w:b/>
            <w:bCs/>
            <w:noProof/>
          </w:rPr>
          <w:t>3.8</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Ethical Considerations</w:t>
        </w:r>
        <w:r>
          <w:rPr>
            <w:noProof/>
            <w:webHidden/>
          </w:rPr>
          <w:tab/>
        </w:r>
        <w:r>
          <w:rPr>
            <w:noProof/>
            <w:webHidden/>
          </w:rPr>
          <w:fldChar w:fldCharType="begin"/>
        </w:r>
        <w:r>
          <w:rPr>
            <w:noProof/>
            <w:webHidden/>
          </w:rPr>
          <w:instrText xml:space="preserve"> PAGEREF _Toc222210225 \h </w:instrText>
        </w:r>
        <w:r>
          <w:rPr>
            <w:noProof/>
            <w:webHidden/>
          </w:rPr>
        </w:r>
        <w:r>
          <w:rPr>
            <w:noProof/>
            <w:webHidden/>
          </w:rPr>
          <w:fldChar w:fldCharType="separate"/>
        </w:r>
        <w:r>
          <w:rPr>
            <w:noProof/>
            <w:webHidden/>
          </w:rPr>
          <w:t>38</w:t>
        </w:r>
        <w:r>
          <w:rPr>
            <w:noProof/>
            <w:webHidden/>
          </w:rPr>
          <w:fldChar w:fldCharType="end"/>
        </w:r>
      </w:hyperlink>
    </w:p>
    <w:p w14:paraId="4FB5EC5D" w14:textId="2FC4C6F8"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26" w:history="1">
        <w:r w:rsidRPr="004F3A25">
          <w:rPr>
            <w:rStyle w:val="Hyperlink"/>
            <w:rFonts w:ascii="Times New Roman" w:hAnsi="Times New Roman" w:cs="Times New Roman"/>
            <w:b/>
            <w:bCs/>
            <w:noProof/>
          </w:rPr>
          <w:t>3.9</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_Toc222210226 \h </w:instrText>
        </w:r>
        <w:r>
          <w:rPr>
            <w:noProof/>
            <w:webHidden/>
          </w:rPr>
        </w:r>
        <w:r>
          <w:rPr>
            <w:noProof/>
            <w:webHidden/>
          </w:rPr>
          <w:fldChar w:fldCharType="separate"/>
        </w:r>
        <w:r>
          <w:rPr>
            <w:noProof/>
            <w:webHidden/>
          </w:rPr>
          <w:t>39</w:t>
        </w:r>
        <w:r>
          <w:rPr>
            <w:noProof/>
            <w:webHidden/>
          </w:rPr>
          <w:fldChar w:fldCharType="end"/>
        </w:r>
      </w:hyperlink>
    </w:p>
    <w:p w14:paraId="113985B4" w14:textId="6A4D3190" w:rsidR="00735CFC" w:rsidRDefault="00735CFC">
      <w:pPr>
        <w:pStyle w:val="TOC2"/>
        <w:tabs>
          <w:tab w:val="left" w:pos="960"/>
          <w:tab w:val="right" w:leader="dot" w:pos="9016"/>
        </w:tabs>
        <w:rPr>
          <w:rFonts w:asciiTheme="minorHAnsi" w:eastAsiaTheme="minorEastAsia" w:hAnsiTheme="minorHAnsi" w:cstheme="minorBidi"/>
          <w:noProof/>
          <w:sz w:val="24"/>
          <w:szCs w:val="24"/>
          <w:lang w:eastAsia="en-KE"/>
        </w:rPr>
      </w:pPr>
      <w:hyperlink w:anchor="_Toc222210227" w:history="1">
        <w:r w:rsidRPr="004F3A25">
          <w:rPr>
            <w:rStyle w:val="Hyperlink"/>
            <w:rFonts w:ascii="Times New Roman" w:hAnsi="Times New Roman" w:cs="Times New Roman"/>
            <w:b/>
            <w:bCs/>
            <w:noProof/>
          </w:rPr>
          <w:t>3.10</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_Toc222210227 \h </w:instrText>
        </w:r>
        <w:r>
          <w:rPr>
            <w:noProof/>
            <w:webHidden/>
          </w:rPr>
        </w:r>
        <w:r>
          <w:rPr>
            <w:noProof/>
            <w:webHidden/>
          </w:rPr>
          <w:fldChar w:fldCharType="separate"/>
        </w:r>
        <w:r>
          <w:rPr>
            <w:noProof/>
            <w:webHidden/>
          </w:rPr>
          <w:t>41</w:t>
        </w:r>
        <w:r>
          <w:rPr>
            <w:noProof/>
            <w:webHidden/>
          </w:rPr>
          <w:fldChar w:fldCharType="end"/>
        </w:r>
      </w:hyperlink>
    </w:p>
    <w:p w14:paraId="66CAFCAA" w14:textId="19C1AA07" w:rsidR="00735CFC" w:rsidRDefault="00735CFC">
      <w:pPr>
        <w:pStyle w:val="TOC3"/>
        <w:tabs>
          <w:tab w:val="left" w:pos="1440"/>
          <w:tab w:val="right" w:leader="dot" w:pos="9016"/>
        </w:tabs>
        <w:rPr>
          <w:rFonts w:asciiTheme="minorHAnsi" w:eastAsiaTheme="minorEastAsia" w:hAnsiTheme="minorHAnsi" w:cstheme="minorBidi"/>
          <w:noProof/>
          <w:sz w:val="24"/>
          <w:szCs w:val="24"/>
          <w:lang w:eastAsia="en-KE"/>
        </w:rPr>
      </w:pPr>
      <w:hyperlink w:anchor="_Toc222210228" w:history="1">
        <w:r w:rsidRPr="004F3A25">
          <w:rPr>
            <w:rStyle w:val="Hyperlink"/>
            <w:rFonts w:ascii="Times New Roman" w:hAnsi="Times New Roman" w:cs="Times New Roman"/>
            <w:noProof/>
          </w:rPr>
          <w:t>3.10.1</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noProof/>
          </w:rPr>
          <w:t>List of Commercial banks</w:t>
        </w:r>
        <w:r>
          <w:rPr>
            <w:noProof/>
            <w:webHidden/>
          </w:rPr>
          <w:tab/>
        </w:r>
        <w:r>
          <w:rPr>
            <w:noProof/>
            <w:webHidden/>
          </w:rPr>
          <w:fldChar w:fldCharType="begin"/>
        </w:r>
        <w:r>
          <w:rPr>
            <w:noProof/>
            <w:webHidden/>
          </w:rPr>
          <w:instrText xml:space="preserve"> PAGEREF _Toc222210228 \h </w:instrText>
        </w:r>
        <w:r>
          <w:rPr>
            <w:noProof/>
            <w:webHidden/>
          </w:rPr>
        </w:r>
        <w:r>
          <w:rPr>
            <w:noProof/>
            <w:webHidden/>
          </w:rPr>
          <w:fldChar w:fldCharType="separate"/>
        </w:r>
        <w:r>
          <w:rPr>
            <w:noProof/>
            <w:webHidden/>
          </w:rPr>
          <w:t>41</w:t>
        </w:r>
        <w:r>
          <w:rPr>
            <w:noProof/>
            <w:webHidden/>
          </w:rPr>
          <w:fldChar w:fldCharType="end"/>
        </w:r>
      </w:hyperlink>
    </w:p>
    <w:p w14:paraId="144C0164" w14:textId="03B244C4" w:rsidR="00735CFC" w:rsidRDefault="00735CFC">
      <w:pPr>
        <w:pStyle w:val="TOC3"/>
        <w:tabs>
          <w:tab w:val="left" w:pos="1440"/>
          <w:tab w:val="right" w:leader="dot" w:pos="9016"/>
        </w:tabs>
        <w:rPr>
          <w:rFonts w:asciiTheme="minorHAnsi" w:eastAsiaTheme="minorEastAsia" w:hAnsiTheme="minorHAnsi" w:cstheme="minorBidi"/>
          <w:noProof/>
          <w:sz w:val="24"/>
          <w:szCs w:val="24"/>
          <w:lang w:eastAsia="en-KE"/>
        </w:rPr>
      </w:pPr>
      <w:hyperlink w:anchor="_Toc222210229" w:history="1">
        <w:r w:rsidRPr="004F3A25">
          <w:rPr>
            <w:rStyle w:val="Hyperlink"/>
            <w:rFonts w:ascii="Times New Roman" w:hAnsi="Times New Roman" w:cs="Times New Roman"/>
            <w:i/>
            <w:iCs/>
            <w:noProof/>
          </w:rPr>
          <w:t>3.10.2</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i/>
            <w:iCs/>
            <w:noProof/>
          </w:rPr>
          <w:t>Complete Data Extraction Template</w:t>
        </w:r>
        <w:r>
          <w:rPr>
            <w:noProof/>
            <w:webHidden/>
          </w:rPr>
          <w:tab/>
        </w:r>
        <w:r>
          <w:rPr>
            <w:noProof/>
            <w:webHidden/>
          </w:rPr>
          <w:fldChar w:fldCharType="begin"/>
        </w:r>
        <w:r>
          <w:rPr>
            <w:noProof/>
            <w:webHidden/>
          </w:rPr>
          <w:instrText xml:space="preserve"> PAGEREF _Toc222210229 \h </w:instrText>
        </w:r>
        <w:r>
          <w:rPr>
            <w:noProof/>
            <w:webHidden/>
          </w:rPr>
        </w:r>
        <w:r>
          <w:rPr>
            <w:noProof/>
            <w:webHidden/>
          </w:rPr>
          <w:fldChar w:fldCharType="separate"/>
        </w:r>
        <w:r>
          <w:rPr>
            <w:noProof/>
            <w:webHidden/>
          </w:rPr>
          <w:t>42</w:t>
        </w:r>
        <w:r>
          <w:rPr>
            <w:noProof/>
            <w:webHidden/>
          </w:rPr>
          <w:fldChar w:fldCharType="end"/>
        </w:r>
      </w:hyperlink>
    </w:p>
    <w:p w14:paraId="42DE27EE" w14:textId="7996F83D" w:rsidR="00735CFC" w:rsidRDefault="00735CFC">
      <w:pPr>
        <w:pStyle w:val="TOC3"/>
        <w:tabs>
          <w:tab w:val="left" w:pos="1440"/>
          <w:tab w:val="right" w:leader="dot" w:pos="9016"/>
        </w:tabs>
        <w:rPr>
          <w:rFonts w:asciiTheme="minorHAnsi" w:eastAsiaTheme="minorEastAsia" w:hAnsiTheme="minorHAnsi" w:cstheme="minorBidi"/>
          <w:noProof/>
          <w:sz w:val="24"/>
          <w:szCs w:val="24"/>
          <w:lang w:eastAsia="en-KE"/>
        </w:rPr>
      </w:pPr>
      <w:hyperlink w:anchor="_Toc222210230" w:history="1">
        <w:r w:rsidRPr="004F3A25">
          <w:rPr>
            <w:rStyle w:val="Hyperlink"/>
            <w:rFonts w:ascii="Times New Roman" w:hAnsi="Times New Roman" w:cs="Times New Roman"/>
            <w:noProof/>
          </w:rPr>
          <w:t>3.10.3</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b/>
            <w:bCs/>
            <w:noProof/>
          </w:rPr>
          <w:t>Variable Measurement Codebook</w:t>
        </w:r>
        <w:r>
          <w:rPr>
            <w:noProof/>
            <w:webHidden/>
          </w:rPr>
          <w:tab/>
        </w:r>
        <w:r>
          <w:rPr>
            <w:noProof/>
            <w:webHidden/>
          </w:rPr>
          <w:fldChar w:fldCharType="begin"/>
        </w:r>
        <w:r>
          <w:rPr>
            <w:noProof/>
            <w:webHidden/>
          </w:rPr>
          <w:instrText xml:space="preserve"> PAGEREF _Toc222210230 \h </w:instrText>
        </w:r>
        <w:r>
          <w:rPr>
            <w:noProof/>
            <w:webHidden/>
          </w:rPr>
        </w:r>
        <w:r>
          <w:rPr>
            <w:noProof/>
            <w:webHidden/>
          </w:rPr>
          <w:fldChar w:fldCharType="separate"/>
        </w:r>
        <w:r>
          <w:rPr>
            <w:noProof/>
            <w:webHidden/>
          </w:rPr>
          <w:t>46</w:t>
        </w:r>
        <w:r>
          <w:rPr>
            <w:noProof/>
            <w:webHidden/>
          </w:rPr>
          <w:fldChar w:fldCharType="end"/>
        </w:r>
      </w:hyperlink>
    </w:p>
    <w:p w14:paraId="5FAE9DB1" w14:textId="2F4F96D8" w:rsidR="00735CFC" w:rsidRDefault="00735CFC">
      <w:pPr>
        <w:pStyle w:val="TOC3"/>
        <w:tabs>
          <w:tab w:val="left" w:pos="1440"/>
          <w:tab w:val="right" w:leader="dot" w:pos="9016"/>
        </w:tabs>
        <w:rPr>
          <w:rFonts w:asciiTheme="minorHAnsi" w:eastAsiaTheme="minorEastAsia" w:hAnsiTheme="minorHAnsi" w:cstheme="minorBidi"/>
          <w:noProof/>
          <w:sz w:val="24"/>
          <w:szCs w:val="24"/>
          <w:lang w:eastAsia="en-KE"/>
        </w:rPr>
      </w:pPr>
      <w:hyperlink w:anchor="_Toc222210231" w:history="1">
        <w:r w:rsidRPr="004F3A25">
          <w:rPr>
            <w:rStyle w:val="Hyperlink"/>
            <w:rFonts w:ascii="Times New Roman" w:hAnsi="Times New Roman" w:cs="Times New Roman"/>
            <w:i/>
            <w:iCs/>
            <w:noProof/>
          </w:rPr>
          <w:t>3.10.4</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i/>
            <w:iCs/>
            <w:noProof/>
          </w:rPr>
          <w:t>Research Project Budget</w:t>
        </w:r>
        <w:r>
          <w:rPr>
            <w:noProof/>
            <w:webHidden/>
          </w:rPr>
          <w:tab/>
        </w:r>
        <w:r>
          <w:rPr>
            <w:noProof/>
            <w:webHidden/>
          </w:rPr>
          <w:fldChar w:fldCharType="begin"/>
        </w:r>
        <w:r>
          <w:rPr>
            <w:noProof/>
            <w:webHidden/>
          </w:rPr>
          <w:instrText xml:space="preserve"> PAGEREF _Toc222210231 \h </w:instrText>
        </w:r>
        <w:r>
          <w:rPr>
            <w:noProof/>
            <w:webHidden/>
          </w:rPr>
        </w:r>
        <w:r>
          <w:rPr>
            <w:noProof/>
            <w:webHidden/>
          </w:rPr>
          <w:fldChar w:fldCharType="separate"/>
        </w:r>
        <w:r>
          <w:rPr>
            <w:noProof/>
            <w:webHidden/>
          </w:rPr>
          <w:t>47</w:t>
        </w:r>
        <w:r>
          <w:rPr>
            <w:noProof/>
            <w:webHidden/>
          </w:rPr>
          <w:fldChar w:fldCharType="end"/>
        </w:r>
      </w:hyperlink>
    </w:p>
    <w:p w14:paraId="48E46D09" w14:textId="0183ECB6" w:rsidR="00735CFC" w:rsidRDefault="00735CFC">
      <w:pPr>
        <w:pStyle w:val="TOC3"/>
        <w:tabs>
          <w:tab w:val="left" w:pos="1440"/>
          <w:tab w:val="right" w:leader="dot" w:pos="9016"/>
        </w:tabs>
        <w:rPr>
          <w:rFonts w:asciiTheme="minorHAnsi" w:eastAsiaTheme="minorEastAsia" w:hAnsiTheme="minorHAnsi" w:cstheme="minorBidi"/>
          <w:noProof/>
          <w:sz w:val="24"/>
          <w:szCs w:val="24"/>
          <w:lang w:eastAsia="en-KE"/>
        </w:rPr>
      </w:pPr>
      <w:hyperlink w:anchor="_Toc222210232" w:history="1">
        <w:r w:rsidRPr="004F3A25">
          <w:rPr>
            <w:rStyle w:val="Hyperlink"/>
            <w:rFonts w:ascii="Times New Roman" w:hAnsi="Times New Roman" w:cs="Times New Roman"/>
            <w:i/>
            <w:iCs/>
            <w:noProof/>
          </w:rPr>
          <w:t>3.10.5</w:t>
        </w:r>
        <w:r>
          <w:rPr>
            <w:rFonts w:asciiTheme="minorHAnsi" w:eastAsiaTheme="minorEastAsia" w:hAnsiTheme="minorHAnsi" w:cstheme="minorBidi"/>
            <w:noProof/>
            <w:sz w:val="24"/>
            <w:szCs w:val="24"/>
            <w:lang w:eastAsia="en-KE"/>
          </w:rPr>
          <w:tab/>
        </w:r>
        <w:r w:rsidRPr="004F3A25">
          <w:rPr>
            <w:rStyle w:val="Hyperlink"/>
            <w:rFonts w:ascii="Times New Roman" w:hAnsi="Times New Roman" w:cs="Times New Roman"/>
            <w:i/>
            <w:iCs/>
            <w:noProof/>
          </w:rPr>
          <w:t>Adjusted Work plan</w:t>
        </w:r>
        <w:r>
          <w:rPr>
            <w:noProof/>
            <w:webHidden/>
          </w:rPr>
          <w:tab/>
        </w:r>
        <w:r>
          <w:rPr>
            <w:noProof/>
            <w:webHidden/>
          </w:rPr>
          <w:fldChar w:fldCharType="begin"/>
        </w:r>
        <w:r>
          <w:rPr>
            <w:noProof/>
            <w:webHidden/>
          </w:rPr>
          <w:instrText xml:space="preserve"> PAGEREF _Toc222210232 \h </w:instrText>
        </w:r>
        <w:r>
          <w:rPr>
            <w:noProof/>
            <w:webHidden/>
          </w:rPr>
        </w:r>
        <w:r>
          <w:rPr>
            <w:noProof/>
            <w:webHidden/>
          </w:rPr>
          <w:fldChar w:fldCharType="separate"/>
        </w:r>
        <w:r>
          <w:rPr>
            <w:noProof/>
            <w:webHidden/>
          </w:rPr>
          <w:t>48</w:t>
        </w:r>
        <w:r>
          <w:rPr>
            <w:noProof/>
            <w:webHidden/>
          </w:rPr>
          <w:fldChar w:fldCharType="end"/>
        </w:r>
      </w:hyperlink>
    </w:p>
    <w:p w14:paraId="2817083A" w14:textId="7E37D506" w:rsidR="00B60BE5" w:rsidRDefault="00000000">
      <w:pPr>
        <w:rPr>
          <w:rFonts w:ascii="Times New Roman" w:hAnsi="Times New Roman" w:cs="Times New Roman"/>
          <w:sz w:val="24"/>
          <w:szCs w:val="24"/>
        </w:rPr>
      </w:pPr>
      <w:r>
        <w:rPr>
          <w:rFonts w:ascii="Times New Roman" w:hAnsi="Times New Roman" w:cs="Times New Roman"/>
          <w:b/>
          <w:bCs/>
          <w:sz w:val="24"/>
          <w:szCs w:val="24"/>
        </w:rPr>
        <w:fldChar w:fldCharType="end"/>
      </w:r>
    </w:p>
    <w:p w14:paraId="16A353F8" w14:textId="77777777" w:rsidR="00B60BE5" w:rsidRDefault="00B60BE5">
      <w:pPr>
        <w:rPr>
          <w:rFonts w:ascii="Times New Roman" w:hAnsi="Times New Roman" w:cs="Times New Roman"/>
          <w:sz w:val="24"/>
          <w:szCs w:val="24"/>
        </w:rPr>
      </w:pPr>
    </w:p>
    <w:p w14:paraId="12D8FBBB" w14:textId="77777777" w:rsidR="00B60BE5" w:rsidRDefault="00000000">
      <w:pPr>
        <w:rPr>
          <w:rFonts w:ascii="Times New Roman" w:hAnsi="Times New Roman" w:cs="Times New Roman"/>
          <w:b/>
          <w:bCs/>
          <w:sz w:val="24"/>
          <w:szCs w:val="24"/>
        </w:rPr>
      </w:pPr>
      <w:r>
        <w:rPr>
          <w:rFonts w:ascii="Times New Roman" w:hAnsi="Times New Roman" w:cs="Times New Roman"/>
          <w:sz w:val="24"/>
          <w:szCs w:val="24"/>
        </w:rPr>
        <w:br w:type="page"/>
      </w:r>
      <w:r>
        <w:rPr>
          <w:rFonts w:ascii="Times New Roman" w:hAnsi="Times New Roman" w:cs="Times New Roman"/>
          <w:b/>
          <w:bCs/>
          <w:sz w:val="24"/>
          <w:szCs w:val="24"/>
        </w:rPr>
        <w:lastRenderedPageBreak/>
        <w:t>OPERATIONALIZATION OF TERMS</w:t>
      </w:r>
    </w:p>
    <w:p w14:paraId="293DF5F9" w14:textId="7EEA9804" w:rsidR="00B60BE5" w:rsidRDefault="00000000">
      <w:pPr>
        <w:rPr>
          <w:rFonts w:ascii="Times New Roman" w:hAnsi="Times New Roman" w:cs="Times New Roman"/>
          <w:sz w:val="24"/>
          <w:szCs w:val="24"/>
        </w:rPr>
      </w:pPr>
      <w:r>
        <w:rPr>
          <w:rFonts w:ascii="Times New Roman" w:hAnsi="Times New Roman" w:cs="Times New Roman"/>
          <w:sz w:val="24"/>
          <w:szCs w:val="24"/>
        </w:rPr>
        <w:t>ROA</w:t>
      </w:r>
      <w:r>
        <w:rPr>
          <w:rFonts w:ascii="Times New Roman" w:hAnsi="Times New Roman" w:cs="Times New Roman"/>
          <w:sz w:val="24"/>
          <w:szCs w:val="24"/>
        </w:rPr>
        <w:tab/>
        <w:t xml:space="preserve"> </w:t>
      </w:r>
      <w:r w:rsidR="00B11B57">
        <w:rPr>
          <w:rFonts w:ascii="Times New Roman" w:hAnsi="Times New Roman" w:cs="Times New Roman"/>
          <w:sz w:val="24"/>
          <w:szCs w:val="24"/>
          <w:lang w:val="en-US"/>
        </w:rPr>
        <w:t>-</w:t>
      </w:r>
      <w:r>
        <w:rPr>
          <w:rFonts w:ascii="Times New Roman" w:hAnsi="Times New Roman" w:cs="Times New Roman"/>
          <w:sz w:val="24"/>
          <w:szCs w:val="24"/>
        </w:rPr>
        <w:t xml:space="preserve"> </w:t>
      </w:r>
      <w:r>
        <w:rPr>
          <w:rFonts w:ascii="Times New Roman" w:hAnsi="Times New Roman" w:cs="Times New Roman"/>
          <w:sz w:val="24"/>
          <w:szCs w:val="24"/>
        </w:rPr>
        <w:tab/>
        <w:t xml:space="preserve">Return on Assets </w:t>
      </w:r>
    </w:p>
    <w:p w14:paraId="49121E68" w14:textId="330DD906" w:rsidR="00B60BE5" w:rsidRDefault="00000000">
      <w:pPr>
        <w:rPr>
          <w:rFonts w:ascii="Times New Roman" w:hAnsi="Times New Roman" w:cs="Times New Roman"/>
          <w:sz w:val="24"/>
          <w:szCs w:val="24"/>
        </w:rPr>
      </w:pPr>
      <w:r>
        <w:rPr>
          <w:rFonts w:ascii="Times New Roman" w:hAnsi="Times New Roman" w:cs="Times New Roman"/>
          <w:sz w:val="24"/>
          <w:szCs w:val="24"/>
        </w:rPr>
        <w:t>GFI</w:t>
      </w:r>
      <w:r>
        <w:rPr>
          <w:rFonts w:ascii="Times New Roman" w:hAnsi="Times New Roman" w:cs="Times New Roman"/>
          <w:sz w:val="24"/>
          <w:szCs w:val="24"/>
        </w:rPr>
        <w:tab/>
        <w:t xml:space="preserve"> </w:t>
      </w:r>
      <w:r w:rsidR="00B11B57">
        <w:rPr>
          <w:rFonts w:ascii="Times New Roman" w:hAnsi="Times New Roman" w:cs="Times New Roman"/>
          <w:sz w:val="24"/>
          <w:szCs w:val="24"/>
          <w:lang w:val="en-US"/>
        </w:rPr>
        <w:t>-</w:t>
      </w:r>
      <w:r>
        <w:rPr>
          <w:rFonts w:ascii="Times New Roman" w:hAnsi="Times New Roman" w:cs="Times New Roman"/>
          <w:sz w:val="24"/>
          <w:szCs w:val="24"/>
        </w:rPr>
        <w:t xml:space="preserve"> </w:t>
      </w:r>
      <w:r>
        <w:rPr>
          <w:rFonts w:ascii="Times New Roman" w:hAnsi="Times New Roman" w:cs="Times New Roman"/>
          <w:sz w:val="24"/>
          <w:szCs w:val="24"/>
        </w:rPr>
        <w:tab/>
        <w:t>Green Finance Index</w:t>
      </w:r>
    </w:p>
    <w:p w14:paraId="57256A86" w14:textId="2FEE4EFF" w:rsidR="00B60BE5" w:rsidRDefault="00000000">
      <w:pPr>
        <w:rPr>
          <w:rFonts w:ascii="Times New Roman" w:hAnsi="Times New Roman" w:cs="Times New Roman"/>
          <w:sz w:val="24"/>
          <w:szCs w:val="24"/>
        </w:rPr>
      </w:pPr>
      <w:r>
        <w:rPr>
          <w:rFonts w:ascii="Times New Roman" w:hAnsi="Times New Roman" w:cs="Times New Roman"/>
          <w:sz w:val="24"/>
          <w:szCs w:val="24"/>
        </w:rPr>
        <w:t>GB</w:t>
      </w:r>
      <w:r>
        <w:rPr>
          <w:rFonts w:ascii="Times New Roman" w:hAnsi="Times New Roman" w:cs="Times New Roman"/>
          <w:sz w:val="24"/>
          <w:szCs w:val="24"/>
        </w:rPr>
        <w:tab/>
        <w:t xml:space="preserve"> </w:t>
      </w:r>
      <w:r w:rsidR="00B11B57">
        <w:rPr>
          <w:rFonts w:ascii="Times New Roman" w:hAnsi="Times New Roman" w:cs="Times New Roman"/>
          <w:sz w:val="24"/>
          <w:szCs w:val="24"/>
          <w:lang w:val="en-US"/>
        </w:rPr>
        <w:t>-</w:t>
      </w:r>
      <w:r>
        <w:rPr>
          <w:rFonts w:ascii="Times New Roman" w:hAnsi="Times New Roman" w:cs="Times New Roman"/>
          <w:sz w:val="24"/>
          <w:szCs w:val="24"/>
        </w:rPr>
        <w:tab/>
        <w:t>Green Bonds</w:t>
      </w:r>
    </w:p>
    <w:p w14:paraId="5174825A" w14:textId="553E822C" w:rsidR="00B60BE5" w:rsidRDefault="00000000">
      <w:pPr>
        <w:rPr>
          <w:rFonts w:ascii="Times New Roman" w:hAnsi="Times New Roman" w:cs="Times New Roman"/>
          <w:sz w:val="24"/>
          <w:szCs w:val="24"/>
        </w:rPr>
      </w:pPr>
      <w:r>
        <w:rPr>
          <w:rFonts w:ascii="Times New Roman" w:hAnsi="Times New Roman" w:cs="Times New Roman"/>
          <w:sz w:val="24"/>
          <w:szCs w:val="24"/>
        </w:rPr>
        <w:t>GC</w:t>
      </w:r>
      <w:r>
        <w:rPr>
          <w:rFonts w:ascii="Times New Roman" w:hAnsi="Times New Roman" w:cs="Times New Roman"/>
          <w:sz w:val="24"/>
          <w:szCs w:val="24"/>
        </w:rPr>
        <w:tab/>
        <w:t xml:space="preserve"> </w:t>
      </w:r>
      <w:r w:rsidR="00B11B57">
        <w:rPr>
          <w:rFonts w:ascii="Times New Roman" w:hAnsi="Times New Roman" w:cs="Times New Roman"/>
          <w:sz w:val="24"/>
          <w:szCs w:val="24"/>
          <w:lang w:val="en-US"/>
        </w:rPr>
        <w:t>-</w:t>
      </w:r>
      <w:r>
        <w:rPr>
          <w:rFonts w:ascii="Times New Roman" w:hAnsi="Times New Roman" w:cs="Times New Roman"/>
          <w:sz w:val="24"/>
          <w:szCs w:val="24"/>
        </w:rPr>
        <w:tab/>
        <w:t>Green Credit</w:t>
      </w:r>
    </w:p>
    <w:p w14:paraId="7DB99135" w14:textId="66F3A51B" w:rsidR="00B60BE5" w:rsidRDefault="00000000">
      <w:pPr>
        <w:rPr>
          <w:rFonts w:ascii="Times New Roman" w:hAnsi="Times New Roman" w:cs="Times New Roman"/>
          <w:sz w:val="24"/>
          <w:szCs w:val="24"/>
        </w:rPr>
      </w:pPr>
      <w:r>
        <w:rPr>
          <w:rFonts w:ascii="Times New Roman" w:hAnsi="Times New Roman" w:cs="Times New Roman"/>
          <w:sz w:val="24"/>
          <w:szCs w:val="24"/>
        </w:rPr>
        <w:t>CA</w:t>
      </w:r>
      <w:r>
        <w:rPr>
          <w:rFonts w:ascii="Times New Roman" w:hAnsi="Times New Roman" w:cs="Times New Roman"/>
          <w:sz w:val="24"/>
          <w:szCs w:val="24"/>
        </w:rPr>
        <w:tab/>
        <w:t xml:space="preserve"> </w:t>
      </w:r>
      <w:r w:rsidR="00B11B57">
        <w:rPr>
          <w:rFonts w:ascii="Times New Roman" w:hAnsi="Times New Roman" w:cs="Times New Roman"/>
          <w:sz w:val="24"/>
          <w:szCs w:val="24"/>
          <w:lang w:val="en-US"/>
        </w:rPr>
        <w:t>-</w:t>
      </w:r>
      <w:r>
        <w:rPr>
          <w:rFonts w:ascii="Times New Roman" w:hAnsi="Times New Roman" w:cs="Times New Roman"/>
          <w:sz w:val="24"/>
          <w:szCs w:val="24"/>
        </w:rPr>
        <w:tab/>
        <w:t>Carbon Assets</w:t>
      </w:r>
    </w:p>
    <w:p w14:paraId="53048847" w14:textId="46472EBD" w:rsidR="00B60BE5" w:rsidRDefault="00000000">
      <w:pPr>
        <w:rPr>
          <w:rFonts w:ascii="Times New Roman" w:hAnsi="Times New Roman" w:cs="Times New Roman"/>
          <w:sz w:val="24"/>
          <w:szCs w:val="24"/>
        </w:rPr>
      </w:pPr>
      <w:r>
        <w:rPr>
          <w:rFonts w:ascii="Times New Roman" w:hAnsi="Times New Roman" w:cs="Times New Roman"/>
          <w:sz w:val="24"/>
          <w:szCs w:val="24"/>
        </w:rPr>
        <w:t>NPL</w:t>
      </w:r>
      <w:r>
        <w:rPr>
          <w:rFonts w:ascii="Times New Roman" w:hAnsi="Times New Roman" w:cs="Times New Roman"/>
          <w:sz w:val="24"/>
          <w:szCs w:val="24"/>
        </w:rPr>
        <w:tab/>
        <w:t xml:space="preserve"> </w:t>
      </w:r>
      <w:r w:rsidR="00B11B57">
        <w:rPr>
          <w:rFonts w:ascii="Times New Roman" w:hAnsi="Times New Roman" w:cs="Times New Roman"/>
          <w:sz w:val="24"/>
          <w:szCs w:val="24"/>
          <w:lang w:val="en-US"/>
        </w:rPr>
        <w:t>-</w:t>
      </w:r>
      <w:r>
        <w:rPr>
          <w:rFonts w:ascii="Times New Roman" w:hAnsi="Times New Roman" w:cs="Times New Roman"/>
          <w:sz w:val="24"/>
          <w:szCs w:val="24"/>
        </w:rPr>
        <w:tab/>
        <w:t>Non</w:t>
      </w:r>
      <w:r>
        <w:rPr>
          <w:rFonts w:ascii="Times New Roman" w:hAnsi="Times New Roman" w:cs="Times New Roman"/>
          <w:sz w:val="24"/>
          <w:szCs w:val="24"/>
          <w:lang w:val="en-US"/>
        </w:rPr>
        <w:t>,</w:t>
      </w:r>
      <w:r>
        <w:rPr>
          <w:rFonts w:ascii="Times New Roman" w:hAnsi="Times New Roman" w:cs="Times New Roman"/>
          <w:sz w:val="24"/>
          <w:szCs w:val="24"/>
        </w:rPr>
        <w:t xml:space="preserve">Performing Loans </w:t>
      </w:r>
    </w:p>
    <w:p w14:paraId="6FECE687" w14:textId="24A6A0F5" w:rsidR="00B60BE5" w:rsidRDefault="00000000">
      <w:pPr>
        <w:rPr>
          <w:rFonts w:ascii="Times New Roman" w:hAnsi="Times New Roman" w:cs="Times New Roman"/>
          <w:sz w:val="24"/>
          <w:szCs w:val="24"/>
        </w:rPr>
      </w:pPr>
      <w:r>
        <w:rPr>
          <w:rFonts w:ascii="Times New Roman" w:hAnsi="Times New Roman" w:cs="Times New Roman"/>
          <w:sz w:val="24"/>
          <w:szCs w:val="24"/>
        </w:rPr>
        <w:t>EAR</w:t>
      </w:r>
      <w:r>
        <w:rPr>
          <w:rFonts w:ascii="Times New Roman" w:hAnsi="Times New Roman" w:cs="Times New Roman"/>
          <w:sz w:val="24"/>
          <w:szCs w:val="24"/>
        </w:rPr>
        <w:tab/>
        <w:t xml:space="preserve"> </w:t>
      </w:r>
      <w:r w:rsidR="00B11B57">
        <w:rPr>
          <w:rFonts w:ascii="Times New Roman" w:hAnsi="Times New Roman" w:cs="Times New Roman"/>
          <w:sz w:val="24"/>
          <w:szCs w:val="24"/>
          <w:lang w:val="en-US"/>
        </w:rPr>
        <w:t>-</w:t>
      </w:r>
      <w:r>
        <w:rPr>
          <w:rFonts w:ascii="Times New Roman" w:hAnsi="Times New Roman" w:cs="Times New Roman"/>
          <w:sz w:val="24"/>
          <w:szCs w:val="24"/>
        </w:rPr>
        <w:t xml:space="preserve"> </w:t>
      </w:r>
      <w:r>
        <w:rPr>
          <w:rFonts w:ascii="Times New Roman" w:hAnsi="Times New Roman" w:cs="Times New Roman"/>
          <w:sz w:val="24"/>
          <w:szCs w:val="24"/>
        </w:rPr>
        <w:tab/>
        <w:t>Equity/Asset Ratio</w:t>
      </w:r>
    </w:p>
    <w:p w14:paraId="6A701350" w14:textId="7CFEBFA3" w:rsidR="00B11B57" w:rsidRDefault="00000000" w:rsidP="00B11B57">
      <w:pPr>
        <w:rPr>
          <w:rFonts w:ascii="Times New Roman" w:hAnsi="Times New Roman" w:cs="Times New Roman"/>
          <w:sz w:val="24"/>
          <w:szCs w:val="24"/>
        </w:rPr>
      </w:pPr>
      <w:r>
        <w:rPr>
          <w:rFonts w:ascii="Times New Roman" w:hAnsi="Times New Roman" w:cs="Times New Roman"/>
          <w:sz w:val="24"/>
          <w:szCs w:val="24"/>
        </w:rPr>
        <w:t xml:space="preserve">TIER   </w:t>
      </w:r>
      <w:r>
        <w:rPr>
          <w:rFonts w:ascii="Times New Roman" w:hAnsi="Times New Roman" w:cs="Times New Roman"/>
          <w:b/>
          <w:bCs/>
          <w:sz w:val="24"/>
          <w:szCs w:val="24"/>
        </w:rPr>
        <w:t xml:space="preserve"> </w:t>
      </w:r>
      <w:r w:rsidR="00B11B57">
        <w:rPr>
          <w:rFonts w:ascii="Times New Roman" w:hAnsi="Times New Roman" w:cs="Times New Roman"/>
          <w:b/>
          <w:bCs/>
          <w:sz w:val="24"/>
          <w:szCs w:val="24"/>
          <w:lang w:val="en-US"/>
        </w:rPr>
        <w:t>-</w:t>
      </w: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Level</w:t>
      </w:r>
    </w:p>
    <w:p w14:paraId="730A69D0" w14:textId="3C609C69" w:rsidR="00B11B57" w:rsidRPr="00B11B57" w:rsidRDefault="00B11B57" w:rsidP="00B11B57">
      <w:pPr>
        <w:rPr>
          <w:rFonts w:ascii="Times New Roman" w:hAnsi="Times New Roman" w:cs="Times New Roman"/>
          <w:sz w:val="24"/>
          <w:szCs w:val="24"/>
        </w:rPr>
      </w:pPr>
      <w:r w:rsidRPr="00B11B57">
        <w:rPr>
          <w:rFonts w:ascii="Times New Roman" w:hAnsi="Times New Roman" w:cs="Times New Roman"/>
          <w:sz w:val="24"/>
          <w:szCs w:val="24"/>
        </w:rPr>
        <w:t>NRBV</w:t>
      </w:r>
      <w:r w:rsidRPr="00B11B57">
        <w:rPr>
          <w:rFonts w:ascii="Times New Roman" w:hAnsi="Times New Roman" w:cs="Times New Roman"/>
          <w:sz w:val="24"/>
          <w:szCs w:val="24"/>
        </w:rPr>
        <w:tab/>
      </w:r>
      <w:r>
        <w:rPr>
          <w:rFonts w:ascii="Times New Roman" w:hAnsi="Times New Roman" w:cs="Times New Roman"/>
          <w:sz w:val="24"/>
          <w:szCs w:val="24"/>
        </w:rPr>
        <w:t xml:space="preserve"> -</w:t>
      </w:r>
      <w:r w:rsidRPr="00B11B57">
        <w:rPr>
          <w:rFonts w:ascii="Times New Roman" w:hAnsi="Times New Roman" w:cs="Times New Roman"/>
          <w:sz w:val="24"/>
          <w:szCs w:val="24"/>
        </w:rPr>
        <w:tab/>
        <w:t>Natural Resource</w:t>
      </w:r>
      <w:r w:rsidRPr="00B11B57">
        <w:rPr>
          <w:rFonts w:ascii="Times New Roman" w:hAnsi="Times New Roman" w:cs="Times New Roman"/>
          <w:sz w:val="24"/>
          <w:szCs w:val="24"/>
          <w:lang w:val="en-US"/>
        </w:rPr>
        <w:t>-</w:t>
      </w:r>
      <w:r w:rsidRPr="00B11B57">
        <w:rPr>
          <w:rFonts w:ascii="Times New Roman" w:hAnsi="Times New Roman" w:cs="Times New Roman"/>
          <w:sz w:val="24"/>
          <w:szCs w:val="24"/>
        </w:rPr>
        <w:t>Based View</w:t>
      </w:r>
    </w:p>
    <w:p w14:paraId="6E54C7F8" w14:textId="77777777" w:rsidR="00B11B57" w:rsidRDefault="00B11B57">
      <w:pPr>
        <w:rPr>
          <w:rFonts w:ascii="Times New Roman" w:hAnsi="Times New Roman" w:cs="Times New Roman"/>
          <w:sz w:val="24"/>
          <w:szCs w:val="24"/>
        </w:rPr>
        <w:sectPr w:rsidR="00B11B57">
          <w:footerReference w:type="default" r:id="rId9"/>
          <w:pgSz w:w="11906" w:h="16838"/>
          <w:pgMar w:top="1440" w:right="1440" w:bottom="1440" w:left="1440" w:header="709" w:footer="709" w:gutter="0"/>
          <w:pgNumType w:fmt="lowerRoman" w:start="1"/>
          <w:cols w:space="708"/>
          <w:titlePg/>
          <w:docGrid w:linePitch="360"/>
        </w:sectPr>
      </w:pPr>
    </w:p>
    <w:p w14:paraId="458869E8" w14:textId="77777777" w:rsidR="00B60BE5" w:rsidRDefault="00000000">
      <w:pPr>
        <w:pStyle w:val="Heading1"/>
        <w:numPr>
          <w:ilvl w:val="0"/>
          <w:numId w:val="0"/>
        </w:numPr>
        <w:spacing w:line="480" w:lineRule="auto"/>
        <w:ind w:left="432"/>
        <w:jc w:val="center"/>
        <w:rPr>
          <w:rFonts w:ascii="Times New Roman" w:hAnsi="Times New Roman" w:cs="Times New Roman"/>
          <w:b/>
          <w:bCs/>
          <w:color w:val="auto"/>
          <w:sz w:val="24"/>
          <w:szCs w:val="24"/>
        </w:rPr>
      </w:pPr>
      <w:bookmarkStart w:id="1" w:name="_Toc222210190"/>
      <w:r>
        <w:rPr>
          <w:rFonts w:ascii="Times New Roman" w:hAnsi="Times New Roman" w:cs="Times New Roman"/>
          <w:b/>
          <w:bCs/>
          <w:color w:val="auto"/>
          <w:sz w:val="24"/>
          <w:szCs w:val="24"/>
        </w:rPr>
        <w:lastRenderedPageBreak/>
        <w:t>CHAPTER ONE</w:t>
      </w:r>
      <w:bookmarkEnd w:id="1"/>
    </w:p>
    <w:p w14:paraId="1D53CA04" w14:textId="77777777" w:rsidR="00B60BE5" w:rsidRDefault="00000000">
      <w:pPr>
        <w:pStyle w:val="Heading2"/>
        <w:spacing w:line="480" w:lineRule="auto"/>
        <w:jc w:val="center"/>
        <w:rPr>
          <w:rFonts w:ascii="Times New Roman" w:hAnsi="Times New Roman" w:cs="Times New Roman"/>
          <w:color w:val="auto"/>
          <w:sz w:val="24"/>
          <w:szCs w:val="24"/>
        </w:rPr>
      </w:pPr>
      <w:bookmarkStart w:id="2" w:name="_Toc222210191"/>
      <w:r>
        <w:rPr>
          <w:rFonts w:ascii="Times New Roman" w:hAnsi="Times New Roman" w:cs="Times New Roman"/>
          <w:color w:val="auto"/>
          <w:sz w:val="24"/>
          <w:szCs w:val="24"/>
        </w:rPr>
        <w:t>BACKGROUND OF THE STUDY</w:t>
      </w:r>
      <w:bookmarkEnd w:id="0"/>
      <w:bookmarkEnd w:id="2"/>
    </w:p>
    <w:p w14:paraId="3279C209" w14:textId="73F5066C" w:rsidR="00B60BE5" w:rsidRDefault="00000000">
      <w:pPr>
        <w:spacing w:line="480" w:lineRule="auto"/>
        <w:jc w:val="both"/>
        <w:rPr>
          <w:rFonts w:ascii="Times New Roman" w:hAnsi="Times New Roman" w:cs="Times New Roman"/>
          <w:sz w:val="24"/>
          <w:szCs w:val="24"/>
        </w:rPr>
      </w:pPr>
      <w:bookmarkStart w:id="3" w:name="_Toc192778583"/>
      <w:bookmarkStart w:id="4" w:name="_Toc192778587"/>
      <w:bookmarkStart w:id="5" w:name="_Toc192778586"/>
      <w:bookmarkStart w:id="6" w:name="_Toc192778588"/>
      <w:bookmarkStart w:id="7" w:name="_Toc192778584"/>
      <w:bookmarkStart w:id="8" w:name="_Toc192778585"/>
      <w:bookmarkStart w:id="9" w:name="_Toc192778589"/>
      <w:bookmarkStart w:id="10" w:name="_Toc192778582"/>
      <w:bookmarkEnd w:id="3"/>
      <w:bookmarkEnd w:id="4"/>
      <w:bookmarkEnd w:id="5"/>
      <w:bookmarkEnd w:id="6"/>
      <w:bookmarkEnd w:id="7"/>
      <w:bookmarkEnd w:id="8"/>
      <w:bookmarkEnd w:id="9"/>
      <w:bookmarkEnd w:id="10"/>
      <w:r>
        <w:rPr>
          <w:rFonts w:ascii="Times New Roman" w:hAnsi="Times New Roman" w:cs="Times New Roman"/>
          <w:sz w:val="24"/>
          <w:szCs w:val="24"/>
        </w:rPr>
        <w:t xml:space="preserve">The escalating impacts of climate change represent one of the most pressing global challenges of the 21st century, with profound implications for economic systems and financial stability (Bolton, Despres, Silva, Samama, &amp; </w:t>
      </w:r>
      <w:proofErr w:type="spellStart"/>
      <w:r>
        <w:rPr>
          <w:rFonts w:ascii="Times New Roman" w:hAnsi="Times New Roman" w:cs="Times New Roman"/>
          <w:sz w:val="24"/>
          <w:szCs w:val="24"/>
        </w:rPr>
        <w:t>Svartzman</w:t>
      </w:r>
      <w:proofErr w:type="spellEnd"/>
      <w:r>
        <w:rPr>
          <w:rFonts w:ascii="Times New Roman" w:hAnsi="Times New Roman" w:cs="Times New Roman"/>
          <w:sz w:val="24"/>
          <w:szCs w:val="24"/>
        </w:rPr>
        <w:t xml:space="preserve">, 2020)). In response, the international community has increasingly turned to green </w:t>
      </w:r>
      <w:proofErr w:type="spellStart"/>
      <w:r>
        <w:rPr>
          <w:rFonts w:ascii="Times New Roman" w:hAnsi="Times New Roman" w:cs="Times New Roman"/>
          <w:sz w:val="24"/>
          <w:szCs w:val="24"/>
        </w:rPr>
        <w:t>finance</w:t>
      </w:r>
      <w:r w:rsidR="00D90AF6">
        <w:rPr>
          <w:rFonts w:ascii="Times New Roman" w:hAnsi="Times New Roman" w:cs="Times New Roman"/>
          <w:sz w:val="24"/>
          <w:szCs w:val="24"/>
        </w:rPr>
        <w:t>,</w:t>
      </w:r>
      <w:r>
        <w:rPr>
          <w:rFonts w:ascii="Times New Roman" w:hAnsi="Times New Roman" w:cs="Times New Roman"/>
          <w:sz w:val="24"/>
          <w:szCs w:val="24"/>
        </w:rPr>
        <w:t>financial</w:t>
      </w:r>
      <w:proofErr w:type="spellEnd"/>
      <w:r>
        <w:rPr>
          <w:rFonts w:ascii="Times New Roman" w:hAnsi="Times New Roman" w:cs="Times New Roman"/>
          <w:sz w:val="24"/>
          <w:szCs w:val="24"/>
        </w:rPr>
        <w:t xml:space="preserve"> instruments and investments that support environmentally sustainable </w:t>
      </w:r>
      <w:proofErr w:type="spellStart"/>
      <w:r>
        <w:rPr>
          <w:rFonts w:ascii="Times New Roman" w:hAnsi="Times New Roman" w:cs="Times New Roman"/>
          <w:sz w:val="24"/>
          <w:szCs w:val="24"/>
        </w:rPr>
        <w:t>projects</w:t>
      </w:r>
      <w:r w:rsidR="00D90AF6">
        <w:rPr>
          <w:rFonts w:ascii="Times New Roman" w:hAnsi="Times New Roman" w:cs="Times New Roman"/>
          <w:sz w:val="24"/>
          <w:szCs w:val="24"/>
        </w:rPr>
        <w:t>,</w:t>
      </w:r>
      <w:r>
        <w:rPr>
          <w:rFonts w:ascii="Times New Roman" w:hAnsi="Times New Roman" w:cs="Times New Roman"/>
          <w:sz w:val="24"/>
          <w:szCs w:val="24"/>
        </w:rPr>
        <w:t>as</w:t>
      </w:r>
      <w:proofErr w:type="spellEnd"/>
      <w:r>
        <w:rPr>
          <w:rFonts w:ascii="Times New Roman" w:hAnsi="Times New Roman" w:cs="Times New Roman"/>
          <w:sz w:val="24"/>
          <w:szCs w:val="24"/>
        </w:rPr>
        <w:t xml:space="preserve"> a critical mechanism to mitigate climate risks and transition toward a low</w:t>
      </w:r>
      <w:r>
        <w:rPr>
          <w:rFonts w:ascii="Times New Roman" w:hAnsi="Times New Roman" w:cs="Times New Roman"/>
          <w:sz w:val="24"/>
          <w:szCs w:val="24"/>
          <w:lang w:val="en-US"/>
        </w:rPr>
        <w:t>,</w:t>
      </w:r>
      <w:r>
        <w:rPr>
          <w:rFonts w:ascii="Times New Roman" w:hAnsi="Times New Roman" w:cs="Times New Roman"/>
          <w:sz w:val="24"/>
          <w:szCs w:val="24"/>
        </w:rPr>
        <w:t>carbon economy (UNEP FI, 2021). Globally, green finance encompasses a range of instruments including green bonds, green credits, and carbon assets, all designed to direct capital toward renewable energy, energy efficiency, pollution prevention, and other eco</w:t>
      </w:r>
      <w:r>
        <w:rPr>
          <w:rFonts w:ascii="Times New Roman" w:hAnsi="Times New Roman" w:cs="Times New Roman"/>
          <w:sz w:val="24"/>
          <w:szCs w:val="24"/>
          <w:lang w:val="en-US"/>
        </w:rPr>
        <w:t>,</w:t>
      </w:r>
      <w:r>
        <w:rPr>
          <w:rFonts w:ascii="Times New Roman" w:hAnsi="Times New Roman" w:cs="Times New Roman"/>
          <w:sz w:val="24"/>
          <w:szCs w:val="24"/>
        </w:rPr>
        <w:t>friendly initiatives (Lindenberg, 2014). Financial institutions, particularly commercial banks, play a pivotal role as intermediaries in mobilizing and allocating these funds, positioning them at the heart of the sustainable development agenda (Volz, 2017).</w:t>
      </w:r>
    </w:p>
    <w:p w14:paraId="0415B129"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Within the African context, green finance is gradually gaining traction, though adoption remains uneven and heavily influenced by national policy frameworks and institutional capacity (Akomea‑Frimpong, Adeabah, Ofosu &amp; Temakwah. (2022). Kenya stands out as a regional leader, having ratified key international agreements such as the Paris Agreement and integrating green growth into its national development blueprint, Vision 2030 (The National Treasury, 2021). The country has established supportive policies, including the National Climate Change Action Plan and the Green Economy Strategy and Implementation Plan, which collectively create an enabling environment for sustainable investments. Moreover, the Kenya Bankers Association has actively promoted sustainable finance principles among its members since 2009, fostering a growing awareness and institutional commitment to green lending and investment (KBA, 2021).</w:t>
      </w:r>
    </w:p>
    <w:p w14:paraId="4F3A15DC"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Preliminary international research yields conflicting insights. Studies in Asia, such as in Bangladesh and China, often report a positive relationship between green finance and bank profitability, citing reputational benefits, market differentiation, and regulatory incentives (Chowdhury, 2025; Zhang, 2018). Conversely, research in other developing contexts like Ghana and India highlights insignificant or even negative financial returns, pointing to high perceived risks, inadequate technical expertise, and weak institutional support (Ofori, 2025; Nagina, 2025; Rajput, Arora, &amp; Khanna. (2023)). For Kenya, recent scholarly reviews explicitly identify significant contextual, conceptual, and population gaps in understanding the green finance</w:t>
      </w:r>
      <w:r>
        <w:rPr>
          <w:rFonts w:ascii="Times New Roman" w:hAnsi="Times New Roman" w:cs="Times New Roman"/>
          <w:sz w:val="24"/>
          <w:szCs w:val="24"/>
          <w:lang w:val="en-US"/>
        </w:rPr>
        <w:t>,</w:t>
      </w:r>
      <w:r>
        <w:rPr>
          <w:rFonts w:ascii="Times New Roman" w:hAnsi="Times New Roman" w:cs="Times New Roman"/>
          <w:sz w:val="24"/>
          <w:szCs w:val="24"/>
        </w:rPr>
        <w:t>performance nexus (Mangwa &amp; Jagongo, 2022). While contemporary reports document the sector’s growing engagement with sustainable finance (KBA, 2021; The National Treasury, 2021), they remain largely descriptive and lack rigorous, quantitative analysis isolating the impact of core green finance constructs on bank profitability.</w:t>
      </w:r>
    </w:p>
    <w:p w14:paraId="026579F5"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Despite this progressive policy landscape, the actual integration and financial implications of green finance within Kenya’s commercial banking sector remain empirically underexplored. Banks operate within a dual imperative: to contribute to national environmental goals while ensuring their own financial performance typically measured by metrics such as Return on Assets (ROA) remains robust to satisfy shareholders and maintain stability (Ongore &amp; Kusa, 2013). Furthermore, firm size is a critical contextual variable, as larger banks may possess greater resources, risk</w:t>
      </w:r>
      <w:r>
        <w:rPr>
          <w:rFonts w:ascii="Times New Roman" w:hAnsi="Times New Roman" w:cs="Times New Roman"/>
          <w:sz w:val="24"/>
          <w:szCs w:val="24"/>
          <w:lang w:val="en-US"/>
        </w:rPr>
        <w:t>,</w:t>
      </w:r>
      <w:r>
        <w:rPr>
          <w:rFonts w:ascii="Times New Roman" w:hAnsi="Times New Roman" w:cs="Times New Roman"/>
          <w:sz w:val="24"/>
          <w:szCs w:val="24"/>
        </w:rPr>
        <w:t>bearing capacity, and innovation capabilities to develop and benefit from green finance products compared to smaller institutions (</w:t>
      </w:r>
      <w:proofErr w:type="spellStart"/>
      <w:r>
        <w:rPr>
          <w:rFonts w:ascii="Times New Roman" w:hAnsi="Times New Roman" w:cs="Times New Roman"/>
          <w:sz w:val="24"/>
          <w:szCs w:val="24"/>
        </w:rPr>
        <w:t>Nalianya</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Miroga</w:t>
      </w:r>
      <w:proofErr w:type="spellEnd"/>
      <w:r>
        <w:rPr>
          <w:rFonts w:ascii="Times New Roman" w:hAnsi="Times New Roman" w:cs="Times New Roman"/>
          <w:sz w:val="24"/>
          <w:szCs w:val="24"/>
        </w:rPr>
        <w:t>, 2020).</w:t>
      </w:r>
    </w:p>
    <w:p w14:paraId="0A04681A"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is therefore motivated by the need to move from narrative to evidence</w:t>
      </w:r>
      <w:r>
        <w:rPr>
          <w:rFonts w:ascii="Times New Roman" w:hAnsi="Times New Roman" w:cs="Times New Roman"/>
          <w:sz w:val="24"/>
          <w:szCs w:val="24"/>
          <w:lang w:val="en-US"/>
        </w:rPr>
        <w:t>,</w:t>
      </w:r>
      <w:r>
        <w:rPr>
          <w:rFonts w:ascii="Times New Roman" w:hAnsi="Times New Roman" w:cs="Times New Roman"/>
          <w:sz w:val="24"/>
          <w:szCs w:val="24"/>
        </w:rPr>
        <w:t xml:space="preserve">based insight. It seeks to investigate the direct influence of green finance, operationalized through green bonds, green credit, and carbon assets, on the financial performance of commercial banks in Kenya, while examining the contingent role of firm size. By addressing these interrelated gaps, </w:t>
      </w:r>
      <w:r>
        <w:rPr>
          <w:rFonts w:ascii="Times New Roman" w:hAnsi="Times New Roman" w:cs="Times New Roman"/>
          <w:sz w:val="24"/>
          <w:szCs w:val="24"/>
        </w:rPr>
        <w:lastRenderedPageBreak/>
        <w:t>the research aims to provide a nuanced, contextualized understanding that bridges sustainable finance theory with practical banking strategy in Kenya.</w:t>
      </w:r>
    </w:p>
    <w:p w14:paraId="661A547C" w14:textId="77777777" w:rsidR="00B60BE5" w:rsidRDefault="00000000">
      <w:pPr>
        <w:pStyle w:val="Heading3"/>
        <w:rPr>
          <w:rFonts w:ascii="Times New Roman" w:hAnsi="Times New Roman" w:cs="Times New Roman"/>
          <w:i/>
          <w:iCs/>
          <w:color w:val="auto"/>
          <w:sz w:val="24"/>
          <w:szCs w:val="24"/>
        </w:rPr>
      </w:pPr>
      <w:bookmarkStart w:id="11" w:name="_Toc222210192"/>
      <w:r>
        <w:rPr>
          <w:rFonts w:ascii="Times New Roman" w:hAnsi="Times New Roman" w:cs="Times New Roman"/>
          <w:i/>
          <w:iCs/>
          <w:color w:val="auto"/>
          <w:sz w:val="24"/>
          <w:szCs w:val="24"/>
        </w:rPr>
        <w:t>Firm size</w:t>
      </w:r>
      <w:bookmarkEnd w:id="11"/>
    </w:p>
    <w:p w14:paraId="1B27FBDF"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Firm size reflects the scale of a bank’s resources, market reach, and operational capacity, typically measured by the natural logarithm of total assets (Tipis, 2022). Larger financial institutions often benefit from economies of scale, greater diversification, and stronger capital bases, allowing them to absorb risks and invest in strategic innovations more effectively than smaller banks. In sustainability and performance research, firm size is frequently included as a moderating variable to assess whether structural characteristics change how core relationships behave. For example, studies in the African banking context have found that larger banks strengthen the relationship between sustainability practices and financial performance, suggesting that size enables better integration of environmental, social, and governance (ESG) or green practices into profit</w:t>
      </w:r>
      <w:r>
        <w:rPr>
          <w:rFonts w:ascii="Times New Roman" w:hAnsi="Times New Roman" w:cs="Times New Roman"/>
          <w:sz w:val="24"/>
          <w:szCs w:val="24"/>
          <w:lang w:val="en-US"/>
        </w:rPr>
        <w:t>,</w:t>
      </w:r>
      <w:r>
        <w:rPr>
          <w:rFonts w:ascii="Times New Roman" w:hAnsi="Times New Roman" w:cs="Times New Roman"/>
          <w:sz w:val="24"/>
          <w:szCs w:val="24"/>
        </w:rPr>
        <w:t>generating operations (Mungai, Sang &amp; Maina, 2025). Similarly, evidence from Kenyan banking research shows that bank size can condition how distress factors or diversification interact with performance outcomes (</w:t>
      </w:r>
      <w:proofErr w:type="spellStart"/>
      <w:r>
        <w:rPr>
          <w:rFonts w:ascii="Times New Roman" w:hAnsi="Times New Roman" w:cs="Times New Roman"/>
          <w:sz w:val="24"/>
          <w:szCs w:val="24"/>
        </w:rPr>
        <w:t>Chibole</w:t>
      </w:r>
      <w:proofErr w:type="spellEnd"/>
      <w:r>
        <w:rPr>
          <w:rFonts w:ascii="Times New Roman" w:hAnsi="Times New Roman" w:cs="Times New Roman"/>
          <w:sz w:val="24"/>
          <w:szCs w:val="24"/>
        </w:rPr>
        <w:t xml:space="preserve">, Lyani, Maniagi. (2022); </w:t>
      </w:r>
      <w:proofErr w:type="spellStart"/>
      <w:r>
        <w:rPr>
          <w:rFonts w:ascii="Times New Roman" w:hAnsi="Times New Roman" w:cs="Times New Roman"/>
          <w:sz w:val="24"/>
          <w:szCs w:val="24"/>
        </w:rPr>
        <w:t>Ngware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Olweny</w:t>
      </w:r>
      <w:proofErr w:type="spellEnd"/>
      <w:r>
        <w:rPr>
          <w:rFonts w:ascii="Times New Roman" w:hAnsi="Times New Roman" w:cs="Times New Roman"/>
          <w:sz w:val="24"/>
          <w:szCs w:val="24"/>
        </w:rPr>
        <w:t xml:space="preserve"> &amp; Muturi, 2020). Although few studies have explicitly focused on firm size as a moderator in green finance contexts, the broader sustainability literature supports the expectation that the effect of green finance on financial performance could vary by bank size, with larger banks better positioned to leverage green financing benefits due to more extensive resources and stronger stakeholder influence.</w:t>
      </w:r>
    </w:p>
    <w:p w14:paraId="67F6549B" w14:textId="77777777" w:rsidR="00B60BE5" w:rsidRDefault="00000000">
      <w:pPr>
        <w:pStyle w:val="Heading3"/>
        <w:rPr>
          <w:rFonts w:ascii="Times New Roman" w:hAnsi="Times New Roman" w:cs="Times New Roman"/>
          <w:i/>
          <w:iCs/>
          <w:color w:val="auto"/>
          <w:sz w:val="24"/>
          <w:szCs w:val="24"/>
        </w:rPr>
      </w:pPr>
      <w:bookmarkStart w:id="12" w:name="_Toc222210193"/>
      <w:r>
        <w:rPr>
          <w:rFonts w:ascii="Times New Roman" w:hAnsi="Times New Roman" w:cs="Times New Roman"/>
          <w:i/>
          <w:iCs/>
          <w:color w:val="auto"/>
          <w:sz w:val="24"/>
          <w:szCs w:val="24"/>
        </w:rPr>
        <w:t>Commercial banks in Kenya</w:t>
      </w:r>
      <w:bookmarkEnd w:id="12"/>
    </w:p>
    <w:p w14:paraId="701899CB"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Commercial banks are licensed financial intermediaries regulated by the Central Bank of Kenya, responsible for mobilizing deposits, extending credit, and facilitating payments across the economy. The Kenyan banking sector comprises approximately forty licensed commercial banks of varying sizes, including large multinational subsidiaries and smaller domestic </w:t>
      </w:r>
      <w:r>
        <w:rPr>
          <w:rFonts w:ascii="Times New Roman" w:hAnsi="Times New Roman" w:cs="Times New Roman"/>
          <w:sz w:val="24"/>
          <w:szCs w:val="24"/>
        </w:rPr>
        <w:lastRenderedPageBreak/>
        <w:t>institutions. Empirical research within Kenya shows that bank size is a significant determinant of financial performance, with larger banks tending to exhibit stronger profitability metrics such as Return on Assets (ROA) due to broader asset bases and diversified portfolios (Tipis, 2022). In studies examining firm characteristics and performance, bank size has been linked to economies of scale and enhanced capacity to manage risk, though its moderating effects vary by context and research focus. For instance, investigations into the moderating role of bank size on relationships between financial factors and performance demonstrate mixed but instructive results: size sometimes amplifies performance outcomes, while in other settings its influence is limited or context</w:t>
      </w:r>
      <w:r>
        <w:rPr>
          <w:rFonts w:ascii="Times New Roman" w:hAnsi="Times New Roman" w:cs="Times New Roman"/>
          <w:sz w:val="24"/>
          <w:szCs w:val="24"/>
          <w:lang w:val="en-US"/>
        </w:rPr>
        <w:t>,</w:t>
      </w:r>
      <w:r>
        <w:rPr>
          <w:rFonts w:ascii="Times New Roman" w:hAnsi="Times New Roman" w:cs="Times New Roman"/>
          <w:sz w:val="24"/>
          <w:szCs w:val="24"/>
        </w:rPr>
        <w:t>specific (</w:t>
      </w:r>
      <w:proofErr w:type="spellStart"/>
      <w:r>
        <w:rPr>
          <w:rFonts w:ascii="Times New Roman" w:hAnsi="Times New Roman" w:cs="Times New Roman"/>
          <w:sz w:val="24"/>
          <w:szCs w:val="24"/>
        </w:rPr>
        <w:t>Chibole</w:t>
      </w:r>
      <w:proofErr w:type="spellEnd"/>
      <w:r>
        <w:rPr>
          <w:rFonts w:ascii="Times New Roman" w:hAnsi="Times New Roman" w:cs="Times New Roman"/>
          <w:sz w:val="24"/>
          <w:szCs w:val="24"/>
        </w:rPr>
        <w:t xml:space="preserve">, Lyani, &amp; Maniagi. (2022); </w:t>
      </w:r>
      <w:proofErr w:type="spellStart"/>
      <w:r>
        <w:rPr>
          <w:rFonts w:ascii="Times New Roman" w:hAnsi="Times New Roman" w:cs="Times New Roman"/>
          <w:sz w:val="24"/>
          <w:szCs w:val="24"/>
        </w:rPr>
        <w:t>Ngware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Olweny</w:t>
      </w:r>
      <w:proofErr w:type="spellEnd"/>
      <w:r>
        <w:rPr>
          <w:rFonts w:ascii="Times New Roman" w:hAnsi="Times New Roman" w:cs="Times New Roman"/>
          <w:sz w:val="24"/>
          <w:szCs w:val="24"/>
        </w:rPr>
        <w:t xml:space="preserve"> &amp; Muturi, 2020)). Despite growing interest in green finance in Kenya, few studies have directly examined how firm size moderates the impact of green financing on bank performance, highlighting a gap that this study addresses by integrating firm size into an empirical model of green finance adoption and financial outcomes.</w:t>
      </w:r>
    </w:p>
    <w:p w14:paraId="7AD0F8A1" w14:textId="77777777" w:rsidR="00B60BE5" w:rsidRDefault="00000000">
      <w:pPr>
        <w:pStyle w:val="Heading2"/>
        <w:spacing w:line="480" w:lineRule="auto"/>
        <w:rPr>
          <w:rFonts w:ascii="Times New Roman" w:hAnsi="Times New Roman" w:cs="Times New Roman"/>
          <w:b/>
          <w:bCs/>
          <w:color w:val="auto"/>
          <w:sz w:val="24"/>
          <w:szCs w:val="24"/>
        </w:rPr>
      </w:pPr>
      <w:bookmarkStart w:id="13" w:name="_Toc192778591"/>
      <w:bookmarkStart w:id="14" w:name="_Toc192778594"/>
      <w:bookmarkStart w:id="15" w:name="_Toc192778593"/>
      <w:bookmarkStart w:id="16" w:name="_Toc192778592"/>
      <w:bookmarkStart w:id="17" w:name="_Toc222210194"/>
      <w:bookmarkEnd w:id="13"/>
      <w:bookmarkEnd w:id="14"/>
      <w:bookmarkEnd w:id="15"/>
      <w:bookmarkEnd w:id="16"/>
      <w:r>
        <w:rPr>
          <w:rFonts w:ascii="Times New Roman" w:hAnsi="Times New Roman" w:cs="Times New Roman"/>
          <w:b/>
          <w:bCs/>
          <w:color w:val="auto"/>
          <w:sz w:val="24"/>
          <w:szCs w:val="24"/>
        </w:rPr>
        <w:t>Statement of the problem</w:t>
      </w:r>
      <w:bookmarkEnd w:id="17"/>
    </w:p>
    <w:p w14:paraId="3DDF2A4E" w14:textId="77777777" w:rsidR="00B60BE5" w:rsidRDefault="00000000">
      <w:pPr>
        <w:pStyle w:val="NormalWeb"/>
        <w:spacing w:line="480" w:lineRule="auto"/>
        <w:jc w:val="both"/>
      </w:pPr>
      <w:bookmarkStart w:id="18" w:name="_Hlk222136227"/>
      <w:r>
        <w:t>Globally, green finance has transitioned from a voluntary initiative to a critical determinant of financial performance and stability. In developed economies, banks that proactively integrate green finance frameworks tend to enhance productivity, secure cheaper funding, and mitigate long</w:t>
      </w:r>
      <w:r>
        <w:rPr>
          <w:lang w:val="en-US"/>
        </w:rPr>
        <w:t>,</w:t>
      </w:r>
      <w:r>
        <w:t>term environmental risks (European Investment Bank, 2025; Zhu &amp; Rastelli, 2025). Conversely, institutions that delay adoption face tangible financial penalties. In Kenya, this performance dichotomy has become increasingly evident. By 2025, early adopters such as KCB and Equity Bank demonstrated resilient balance sheets, with Equity reporting a 32% growth in Profit After Tax and a 26.4% Return on Average Equity, partly driven by access to cheaper international green funds. In contrast, banks that failed to transition on time are experiencing a gradual erosion of profitability. They face rising Non</w:t>
      </w:r>
      <w:r>
        <w:rPr>
          <w:lang w:val="en-US"/>
        </w:rPr>
        <w:t>,</w:t>
      </w:r>
      <w:r>
        <w:t xml:space="preserve">Performing Loans (NPLs) </w:t>
      </w:r>
      <w:r>
        <w:lastRenderedPageBreak/>
        <w:t>in high</w:t>
      </w:r>
      <w:r>
        <w:rPr>
          <w:lang w:val="en-US"/>
        </w:rPr>
        <w:t>,</w:t>
      </w:r>
      <w:r>
        <w:t>carbon sectors, increased capital provisions against devalued "brown" assets under the new CBK Green Finance Taxonomy (2025) , and higher funding costs due to exclusion from concessional green credit lines offered by lenders like the IFC and EIB.</w:t>
      </w:r>
    </w:p>
    <w:p w14:paraId="3566C8E1" w14:textId="77777777" w:rsidR="00B60BE5" w:rsidRDefault="00000000">
      <w:pPr>
        <w:pStyle w:val="NormalWeb"/>
        <w:spacing w:line="480" w:lineRule="auto"/>
        <w:jc w:val="both"/>
      </w:pPr>
      <w:r>
        <w:t>Despite the observable performance gap in practice, empirical evidence on the green finance</w:t>
      </w:r>
      <w:r>
        <w:rPr>
          <w:lang w:val="en-US"/>
        </w:rPr>
        <w:t>,</w:t>
      </w:r>
      <w:r>
        <w:t>financial performance nexus in Kenya remains mixed and inconclusive. Several local studies confirm a positive association. For instance, Okumu (2014) found that environmental management practices positively influenced the profitability of commercial banks. Similarly, Sino, Baraza and Monari (2025) reported that green financing initiatives had a significant positive effect on the financial performance of savings and credit cooperatives. Kiima, Wamitu and Wahome (2025) also established a positive relationship, noting that sustainability reporting enhanced the financial performance of listed firms. However, contradictory findings exist. </w:t>
      </w:r>
      <w:proofErr w:type="spellStart"/>
      <w:r>
        <w:t>Mukiiri</w:t>
      </w:r>
      <w:proofErr w:type="spellEnd"/>
      <w:r>
        <w:t xml:space="preserve">, Koske and </w:t>
      </w:r>
      <w:proofErr w:type="spellStart"/>
      <w:r>
        <w:t>Gathuru</w:t>
      </w:r>
      <w:proofErr w:type="spellEnd"/>
      <w:r>
        <w:t xml:space="preserve"> (2025) revealed that while some green banking practices had positive effects, others showed insignificant or mixed results depending on the context. </w:t>
      </w:r>
      <w:proofErr w:type="spellStart"/>
      <w:r>
        <w:t>Oneya</w:t>
      </w:r>
      <w:proofErr w:type="spellEnd"/>
      <w:r>
        <w:t xml:space="preserve"> and Jemaiyo (2025) further complicated the discourse by demonstrating that the relationship between green finance and performance is not always direct, but is significantly mediated by factors such as corporate governance and sustainability culture. These conflicting results suggest that the relationship may be contingent upon other contextual variables, warranting further investigation.</w:t>
      </w:r>
    </w:p>
    <w:p w14:paraId="433531B6" w14:textId="77777777" w:rsidR="00B60BE5" w:rsidRDefault="00000000">
      <w:pPr>
        <w:pStyle w:val="NormalWeb"/>
        <w:spacing w:line="480" w:lineRule="auto"/>
        <w:jc w:val="both"/>
      </w:pPr>
      <w:r>
        <w:t xml:space="preserve">Notably, none of these studies have examined the moderating role of firm size. Given the significant variation in scale among Kenyan commercial banks, firm size may determine a bank's capacity to absorb the high upfront costs of green certification, access international green funding lines, and withstand the transition risks associated with phasing out "brown" assets. While Okumu (2014) focused on environmental practices, Sino, Baraza and Monari (2025) on SACCOs, Kiima, Wamitu and Wahome (2025) on sustainability reporting, </w:t>
      </w:r>
      <w:proofErr w:type="spellStart"/>
      <w:r>
        <w:t>Mukiiri</w:t>
      </w:r>
      <w:proofErr w:type="spellEnd"/>
      <w:r>
        <w:t xml:space="preserve">, </w:t>
      </w:r>
      <w:r>
        <w:lastRenderedPageBreak/>
        <w:t xml:space="preserve">Koske and </w:t>
      </w:r>
      <w:proofErr w:type="spellStart"/>
      <w:r>
        <w:t>Gathuru</w:t>
      </w:r>
      <w:proofErr w:type="spellEnd"/>
      <w:r>
        <w:t xml:space="preserve"> (2025) on mixed banking practices, and </w:t>
      </w:r>
      <w:proofErr w:type="spellStart"/>
      <w:r>
        <w:t>Oneya</w:t>
      </w:r>
      <w:proofErr w:type="spellEnd"/>
      <w:r>
        <w:t xml:space="preserve"> and Jemaiyo (2025) on governance mediation, the omission of firm size as a moderating variable leaves a critical empirical gap. This study therefore seeks to address this gap by examining whether firm size moderates the relationship between green finance and the financial performance of commercial banks in Kenya.</w:t>
      </w:r>
    </w:p>
    <w:p w14:paraId="6AC0E204" w14:textId="77777777" w:rsidR="00B60BE5" w:rsidRDefault="00000000">
      <w:pPr>
        <w:pStyle w:val="Heading2"/>
        <w:rPr>
          <w:rFonts w:ascii="Times New Roman" w:hAnsi="Times New Roman" w:cs="Times New Roman"/>
          <w:b/>
          <w:bCs/>
          <w:color w:val="auto"/>
          <w:sz w:val="24"/>
          <w:szCs w:val="24"/>
        </w:rPr>
      </w:pPr>
      <w:bookmarkStart w:id="19" w:name="_Toc222210195"/>
      <w:bookmarkEnd w:id="18"/>
      <w:r>
        <w:rPr>
          <w:rFonts w:ascii="Times New Roman" w:hAnsi="Times New Roman" w:cs="Times New Roman"/>
          <w:b/>
          <w:bCs/>
          <w:color w:val="auto"/>
          <w:sz w:val="24"/>
          <w:szCs w:val="24"/>
        </w:rPr>
        <w:t>Objectives of the study</w:t>
      </w:r>
      <w:bookmarkEnd w:id="19"/>
    </w:p>
    <w:p w14:paraId="04AB9790" w14:textId="77777777" w:rsidR="00B60BE5" w:rsidRDefault="00000000">
      <w:pPr>
        <w:pStyle w:val="Heading3"/>
        <w:spacing w:line="480" w:lineRule="auto"/>
        <w:rPr>
          <w:rFonts w:ascii="Times New Roman" w:hAnsi="Times New Roman" w:cs="Times New Roman"/>
          <w:color w:val="auto"/>
          <w:sz w:val="24"/>
          <w:szCs w:val="24"/>
        </w:rPr>
      </w:pPr>
      <w:bookmarkStart w:id="20" w:name="_Toc222210196"/>
      <w:r>
        <w:rPr>
          <w:rFonts w:ascii="Times New Roman" w:hAnsi="Times New Roman" w:cs="Times New Roman"/>
          <w:color w:val="auto"/>
          <w:sz w:val="24"/>
          <w:szCs w:val="24"/>
        </w:rPr>
        <w:t>General Objective</w:t>
      </w:r>
      <w:bookmarkEnd w:id="20"/>
    </w:p>
    <w:p w14:paraId="45E21633"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To examine the influence of green finance on the financial performance of commercial banks in Kenya, and to assess the moderating effect of firm size on this relationship .</w:t>
      </w:r>
    </w:p>
    <w:p w14:paraId="0D7A86C9" w14:textId="77777777" w:rsidR="00B60BE5" w:rsidRDefault="00000000">
      <w:pPr>
        <w:pStyle w:val="Heading3"/>
        <w:spacing w:line="480" w:lineRule="auto"/>
        <w:rPr>
          <w:rFonts w:ascii="Times New Roman" w:hAnsi="Times New Roman" w:cs="Times New Roman"/>
          <w:color w:val="auto"/>
          <w:sz w:val="24"/>
          <w:szCs w:val="24"/>
        </w:rPr>
      </w:pPr>
      <w:bookmarkStart w:id="21" w:name="_Toc222210197"/>
      <w:r>
        <w:rPr>
          <w:rFonts w:ascii="Times New Roman" w:hAnsi="Times New Roman" w:cs="Times New Roman"/>
          <w:color w:val="auto"/>
          <w:sz w:val="24"/>
          <w:szCs w:val="24"/>
        </w:rPr>
        <w:t>Specific Objectives</w:t>
      </w:r>
      <w:bookmarkEnd w:id="21"/>
    </w:p>
    <w:p w14:paraId="309181D8" w14:textId="77777777" w:rsidR="00B60BE5"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The study specifically seeks:</w:t>
      </w:r>
    </w:p>
    <w:p w14:paraId="592F177B" w14:textId="77777777" w:rsidR="00B60BE5" w:rsidRDefault="00000000">
      <w:pPr>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determine the influence of Green Bonds on the financial performance of commercial banks in Kenya.</w:t>
      </w:r>
    </w:p>
    <w:p w14:paraId="7EA4A59E" w14:textId="77777777" w:rsidR="00B60BE5" w:rsidRDefault="00000000">
      <w:pPr>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establish the influence of Green Credit on the financial performance of commercial banks in Kenya.</w:t>
      </w:r>
    </w:p>
    <w:p w14:paraId="0D7299BC" w14:textId="77777777" w:rsidR="00B60BE5" w:rsidRDefault="00000000">
      <w:pPr>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assess the influence of Carbon Assets on the financial performance of commercial banks in Kenya.</w:t>
      </w:r>
    </w:p>
    <w:p w14:paraId="0080742D" w14:textId="77777777" w:rsidR="00B60BE5" w:rsidRDefault="00000000">
      <w:pPr>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determine the moderating influence of firm size on the relationship between green finance and the financial performance of commercial banks in Kenya.</w:t>
      </w:r>
    </w:p>
    <w:p w14:paraId="5AF5A2A3" w14:textId="77777777" w:rsidR="00B60BE5" w:rsidRDefault="00000000">
      <w:pPr>
        <w:pStyle w:val="Heading2"/>
        <w:spacing w:line="480" w:lineRule="auto"/>
        <w:rPr>
          <w:rFonts w:ascii="Times New Roman" w:hAnsi="Times New Roman" w:cs="Times New Roman"/>
          <w:b/>
          <w:bCs/>
          <w:color w:val="auto"/>
          <w:sz w:val="24"/>
          <w:szCs w:val="24"/>
        </w:rPr>
      </w:pPr>
      <w:bookmarkStart w:id="22" w:name="_Toc222210198"/>
      <w:r>
        <w:rPr>
          <w:rFonts w:ascii="Times New Roman" w:hAnsi="Times New Roman" w:cs="Times New Roman"/>
          <w:b/>
          <w:bCs/>
          <w:color w:val="auto"/>
          <w:sz w:val="24"/>
          <w:szCs w:val="24"/>
        </w:rPr>
        <w:t>Research Hypothesis</w:t>
      </w:r>
      <w:bookmarkEnd w:id="22"/>
    </w:p>
    <w:p w14:paraId="1C6D1B37"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H₀₁: Green bonds </w:t>
      </w:r>
      <w:proofErr w:type="gramStart"/>
      <w:r>
        <w:rPr>
          <w:rFonts w:ascii="Times New Roman" w:hAnsi="Times New Roman" w:cs="Times New Roman"/>
          <w:sz w:val="24"/>
          <w:szCs w:val="24"/>
        </w:rPr>
        <w:t>has</w:t>
      </w:r>
      <w:proofErr w:type="gramEnd"/>
      <w:r>
        <w:rPr>
          <w:rFonts w:ascii="Times New Roman" w:hAnsi="Times New Roman" w:cs="Times New Roman"/>
          <w:sz w:val="24"/>
          <w:szCs w:val="24"/>
        </w:rPr>
        <w:t xml:space="preserve"> no significant influence on the financial performance of commercial banks in Kenya.</w:t>
      </w:r>
    </w:p>
    <w:p w14:paraId="20B9BD50"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H₀₂: Green Credit has no significant influence on the financial performance of commercial banks in Kenya.</w:t>
      </w:r>
    </w:p>
    <w:p w14:paraId="10A05F9C"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H₀₃: Carbon Assets has no significant influence on the financial performance of commercial banks in Kenya.</w:t>
      </w:r>
    </w:p>
    <w:p w14:paraId="7380AA54"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H₀₄: Firm size does not significantly moderate the relationship between green finance and the financial performance of commercial banks in Kenya.</w:t>
      </w:r>
    </w:p>
    <w:p w14:paraId="2A133D5F" w14:textId="77777777" w:rsidR="00B60BE5" w:rsidRDefault="00000000">
      <w:pPr>
        <w:pStyle w:val="Heading2"/>
        <w:spacing w:line="480" w:lineRule="auto"/>
        <w:rPr>
          <w:rFonts w:ascii="Times New Roman" w:hAnsi="Times New Roman" w:cs="Times New Roman"/>
          <w:b/>
          <w:bCs/>
          <w:color w:val="auto"/>
          <w:sz w:val="24"/>
          <w:szCs w:val="24"/>
        </w:rPr>
      </w:pPr>
      <w:bookmarkStart w:id="23" w:name="_Toc222210199"/>
      <w:r>
        <w:rPr>
          <w:rFonts w:ascii="Times New Roman" w:hAnsi="Times New Roman" w:cs="Times New Roman"/>
          <w:b/>
          <w:bCs/>
          <w:color w:val="auto"/>
          <w:sz w:val="24"/>
          <w:szCs w:val="24"/>
        </w:rPr>
        <w:t>Scope of the study</w:t>
      </w:r>
      <w:bookmarkEnd w:id="23"/>
    </w:p>
    <w:p w14:paraId="3F262BDF"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research focuses on the variables specified in the conceptual framework: Green Finance (green bonds, green credit, carbon assets) as the independent variable; Financial Performance (ROA) as the dependent variable; and Firm Size (log of total assets) as the moderating variable. The study is confined to Kenya. The target population comprises all commercial banks licensed and operating in Kenya. The study will utilize secondary panel data covering a five</w:t>
      </w:r>
      <w:r>
        <w:rPr>
          <w:rFonts w:ascii="Times New Roman" w:hAnsi="Times New Roman" w:cs="Times New Roman"/>
          <w:sz w:val="24"/>
          <w:szCs w:val="24"/>
          <w:lang w:val="en-US"/>
        </w:rPr>
        <w:t>,</w:t>
      </w:r>
      <w:r>
        <w:rPr>
          <w:rFonts w:ascii="Times New Roman" w:hAnsi="Times New Roman" w:cs="Times New Roman"/>
          <w:sz w:val="24"/>
          <w:szCs w:val="24"/>
        </w:rPr>
        <w:t>year period from 2021 to 2025, allowing for the analysis of trends and recent developments in green finance.</w:t>
      </w:r>
    </w:p>
    <w:p w14:paraId="366DD2FE"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Commercial banks are crucial in Kenya’s financial system because they mobilize savings and extend credit that supports investment and economic activity (financial intermediation), thereby driving economic growth. </w:t>
      </w:r>
    </w:p>
    <w:p w14:paraId="2E4430F8" w14:textId="77777777" w:rsidR="00B60BE5" w:rsidRDefault="00000000">
      <w:pPr>
        <w:pStyle w:val="Heading2"/>
        <w:rPr>
          <w:rFonts w:ascii="Times New Roman" w:eastAsia="Times New Roman" w:hAnsi="Times New Roman" w:cs="Times New Roman"/>
          <w:b/>
          <w:bCs/>
          <w:color w:val="auto"/>
          <w:sz w:val="24"/>
          <w:szCs w:val="24"/>
        </w:rPr>
      </w:pPr>
      <w:bookmarkStart w:id="24" w:name="_Toc222210200"/>
      <w:r>
        <w:rPr>
          <w:rFonts w:ascii="Times New Roman" w:eastAsia="Times New Roman" w:hAnsi="Times New Roman" w:cs="Times New Roman"/>
          <w:b/>
          <w:bCs/>
          <w:color w:val="auto"/>
          <w:sz w:val="24"/>
          <w:szCs w:val="24"/>
        </w:rPr>
        <w:t>Significance of the Study</w:t>
      </w:r>
      <w:bookmarkEnd w:id="24"/>
    </w:p>
    <w:p w14:paraId="091753A4" w14:textId="77777777" w:rsidR="00B60BE5" w:rsidRDefault="00000000">
      <w:pPr>
        <w:spacing w:line="480" w:lineRule="auto"/>
        <w:jc w:val="both"/>
        <w:rPr>
          <w:rFonts w:ascii="Times New Roman" w:eastAsia="Times New Roman" w:hAnsi="Times New Roman" w:cs="Times New Roman"/>
          <w:b/>
          <w:bCs/>
          <w:sz w:val="24"/>
          <w:szCs w:val="24"/>
        </w:rPr>
      </w:pPr>
      <w:r>
        <w:rPr>
          <w:rFonts w:ascii="Times New Roman" w:hAnsi="Times New Roman" w:cs="Times New Roman"/>
          <w:sz w:val="24"/>
          <w:szCs w:val="24"/>
        </w:rPr>
        <w:t xml:space="preserve">This study is significant to several key stakeholders. For commercial banks in Kenya, the findings will provide empirical evidence on whether engagement in green finance contributes to improved financial performance and how this relationship varies with firm size, thereby informing strategic investment and sustainability decisions. Policymakers and regulators, including the Central Bank of Kenya and the National Treasury, may use the results to design and refine green finance policies and regulatory frameworks that account for structural </w:t>
      </w:r>
      <w:r>
        <w:rPr>
          <w:rFonts w:ascii="Times New Roman" w:hAnsi="Times New Roman" w:cs="Times New Roman"/>
          <w:sz w:val="24"/>
          <w:szCs w:val="24"/>
        </w:rPr>
        <w:lastRenderedPageBreak/>
        <w:t>differences among banks. Investors and development partners will benefit from insights into the financial viability of green finance initiatives within the banking sector, supporting informed capital allocation decisions. Academically, the study contributes to the growing literature on green finance by introducing firm size as a moderating variable in the Kenyan banking context, addressing an identified empirical gap and providing a foundation for future research in sustainable finance, banking performance, and institutional characteristics in emerging economies.</w:t>
      </w:r>
    </w:p>
    <w:p w14:paraId="5EF0813C" w14:textId="77777777" w:rsidR="00B60BE5" w:rsidRDefault="00000000">
      <w:pPr>
        <w:pStyle w:val="Heading2"/>
        <w:spacing w:line="480" w:lineRule="auto"/>
        <w:rPr>
          <w:rFonts w:ascii="Times New Roman" w:eastAsia="Times New Roman" w:hAnsi="Times New Roman" w:cs="Times New Roman"/>
          <w:b/>
          <w:bCs/>
          <w:color w:val="auto"/>
          <w:sz w:val="24"/>
          <w:szCs w:val="24"/>
        </w:rPr>
      </w:pPr>
      <w:bookmarkStart w:id="25" w:name="_Toc222210201"/>
      <w:r>
        <w:rPr>
          <w:rFonts w:ascii="Times New Roman" w:eastAsia="Times New Roman" w:hAnsi="Times New Roman" w:cs="Times New Roman"/>
          <w:b/>
          <w:bCs/>
          <w:color w:val="auto"/>
          <w:sz w:val="24"/>
          <w:szCs w:val="24"/>
        </w:rPr>
        <w:t>Limitations of the Study</w:t>
      </w:r>
      <w:bookmarkEnd w:id="25"/>
    </w:p>
    <w:p w14:paraId="4B9ABFA6"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A key challenge may be the availability and consistent disclosure of granular data on green finance activities (e.g., separate reporting for green bonds, green credit) across all banks in the study period. The study will rely on multiple authoritative sources, including audited annual reports, published sustainability reports, Central Bank of Kenya databases, and Kenya Bankers Association publications. Where specific green finance data is not directly reported, carefully constructed proxies based on disclosed information will be used.</w:t>
      </w:r>
    </w:p>
    <w:p w14:paraId="0AB72FE1"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While the study aims to identify significant relationships, establishing definitive causality can be challenging with observational panel data, as unobserved factors may influence both green finance adoption and financial performance. Robust panel data regression techniques (such as fixed effects models) will be employed to control for time</w:t>
      </w:r>
      <w:r>
        <w:rPr>
          <w:rFonts w:ascii="Times New Roman" w:hAnsi="Times New Roman" w:cs="Times New Roman"/>
          <w:sz w:val="24"/>
          <w:szCs w:val="24"/>
          <w:lang w:val="en-US"/>
        </w:rPr>
        <w:t>,</w:t>
      </w:r>
      <w:r>
        <w:rPr>
          <w:rFonts w:ascii="Times New Roman" w:hAnsi="Times New Roman" w:cs="Times New Roman"/>
          <w:sz w:val="24"/>
          <w:szCs w:val="24"/>
        </w:rPr>
        <w:t>invariant unobserved heterogeneity. The use of lagged variables for independent factors will also be considered to strengthen causal inference.</w:t>
      </w:r>
    </w:p>
    <w:p w14:paraId="30B485C8"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findings are specific to the Kenyan commercial banking sector within the defined study period. The context is clearly delineated in the scope. The methodological rigor and detailed reporting will allow readers and future researchers to assess the applicability of findings to similar contexts in other regions or time periods</w:t>
      </w:r>
    </w:p>
    <w:p w14:paraId="187D2898" w14:textId="77777777" w:rsidR="00B60BE5" w:rsidRDefault="00B60BE5">
      <w:pPr>
        <w:spacing w:line="480" w:lineRule="auto"/>
        <w:jc w:val="both"/>
        <w:rPr>
          <w:rFonts w:ascii="Times New Roman" w:hAnsi="Times New Roman" w:cs="Times New Roman"/>
          <w:sz w:val="24"/>
          <w:szCs w:val="24"/>
        </w:rPr>
      </w:pPr>
    </w:p>
    <w:p w14:paraId="148B080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br w:type="page"/>
      </w:r>
    </w:p>
    <w:p w14:paraId="34BF4F28" w14:textId="77777777" w:rsidR="00B60BE5" w:rsidRDefault="00000000" w:rsidP="00B11B57">
      <w:pPr>
        <w:pStyle w:val="Heading1"/>
        <w:spacing w:line="480" w:lineRule="auto"/>
        <w:jc w:val="center"/>
        <w:rPr>
          <w:rFonts w:ascii="Times New Roman" w:eastAsia="Times New Roman" w:hAnsi="Times New Roman" w:cs="Times New Roman"/>
          <w:b/>
          <w:bCs/>
          <w:color w:val="auto"/>
          <w:sz w:val="24"/>
          <w:szCs w:val="24"/>
        </w:rPr>
      </w:pPr>
      <w:bookmarkStart w:id="26" w:name="_Toc222210202"/>
      <w:r>
        <w:rPr>
          <w:rFonts w:ascii="Times New Roman" w:eastAsia="Times New Roman" w:hAnsi="Times New Roman" w:cs="Times New Roman"/>
          <w:b/>
          <w:bCs/>
          <w:color w:val="auto"/>
          <w:sz w:val="24"/>
          <w:szCs w:val="24"/>
        </w:rPr>
        <w:lastRenderedPageBreak/>
        <w:t>CHAPTER TWO</w:t>
      </w:r>
      <w:bookmarkEnd w:id="26"/>
    </w:p>
    <w:p w14:paraId="2A4C72DF" w14:textId="77777777" w:rsidR="00B60BE5" w:rsidRDefault="00000000" w:rsidP="00B11B57">
      <w:pPr>
        <w:pStyle w:val="Heading2"/>
        <w:spacing w:line="480" w:lineRule="auto"/>
        <w:jc w:val="center"/>
        <w:rPr>
          <w:rFonts w:ascii="Times New Roman" w:eastAsia="Times New Roman" w:hAnsi="Times New Roman" w:cs="Times New Roman"/>
          <w:b/>
          <w:bCs/>
          <w:color w:val="auto"/>
          <w:sz w:val="24"/>
          <w:szCs w:val="24"/>
        </w:rPr>
      </w:pPr>
      <w:bookmarkStart w:id="27" w:name="_Toc222210203"/>
      <w:r>
        <w:rPr>
          <w:rFonts w:ascii="Times New Roman" w:eastAsia="Times New Roman" w:hAnsi="Times New Roman" w:cs="Times New Roman"/>
          <w:b/>
          <w:bCs/>
          <w:color w:val="auto"/>
          <w:sz w:val="24"/>
          <w:szCs w:val="24"/>
        </w:rPr>
        <w:t>Introduction</w:t>
      </w:r>
      <w:bookmarkEnd w:id="27"/>
    </w:p>
    <w:p w14:paraId="51DF9779"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This chapter presents a systematic review of academic literature relevant to the study of green finance, firm size, and financial performance of commercial banks in Kenya. The review follows a structured approach, beginning with theoretical foundations, progressing to conceptual definitions, and culminating in empirical evidence aligned with the study’s specific objectives. Special attention is given to recent academic papers, theses, and dissertations from Kenyan, African, and global contexts. The chapter concludes with a synthesis of research gaps and a presentation of the conceptual framework guiding this investigation.</w:t>
      </w:r>
    </w:p>
    <w:p w14:paraId="09C2DB38" w14:textId="77777777" w:rsidR="00B60BE5" w:rsidRDefault="00000000">
      <w:pPr>
        <w:pStyle w:val="Heading2"/>
        <w:spacing w:line="480" w:lineRule="auto"/>
        <w:rPr>
          <w:rFonts w:ascii="Times New Roman" w:eastAsia="Times New Roman" w:hAnsi="Times New Roman" w:cs="Times New Roman"/>
          <w:color w:val="auto"/>
          <w:sz w:val="24"/>
          <w:szCs w:val="24"/>
        </w:rPr>
      </w:pPr>
      <w:bookmarkStart w:id="28" w:name="_Toc222210204"/>
      <w:r>
        <w:rPr>
          <w:rFonts w:ascii="Times New Roman" w:eastAsia="Times New Roman" w:hAnsi="Times New Roman" w:cs="Times New Roman"/>
          <w:b/>
          <w:bCs/>
          <w:color w:val="auto"/>
          <w:sz w:val="24"/>
          <w:szCs w:val="24"/>
        </w:rPr>
        <w:t>Theoretical Review</w:t>
      </w:r>
      <w:bookmarkEnd w:id="28"/>
    </w:p>
    <w:p w14:paraId="1360BA27"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will be guided by Stakeholder theory as the main theory, Natural Resource</w:t>
      </w:r>
      <w:r>
        <w:rPr>
          <w:rFonts w:ascii="Times New Roman" w:hAnsi="Times New Roman" w:cs="Times New Roman"/>
          <w:sz w:val="24"/>
          <w:szCs w:val="24"/>
          <w:lang w:val="en-US"/>
        </w:rPr>
        <w:t>,</w:t>
      </w:r>
      <w:r>
        <w:rPr>
          <w:rFonts w:ascii="Times New Roman" w:hAnsi="Times New Roman" w:cs="Times New Roman"/>
          <w:sz w:val="24"/>
          <w:szCs w:val="24"/>
        </w:rPr>
        <w:t>based View Theory and Institutional Theory and Isomorphism theory as the support theories, which collectively explain the relationship between green finance, firm size and financial performance</w:t>
      </w:r>
    </w:p>
    <w:p w14:paraId="00D23699" w14:textId="05E4BC5C" w:rsidR="00B60BE5" w:rsidRDefault="00000000">
      <w:pPr>
        <w:pStyle w:val="Heading3"/>
        <w:spacing w:line="480" w:lineRule="auto"/>
        <w:rPr>
          <w:rFonts w:ascii="Times New Roman" w:hAnsi="Times New Roman" w:cs="Times New Roman"/>
          <w:i/>
          <w:iCs/>
          <w:color w:val="auto"/>
          <w:sz w:val="24"/>
          <w:szCs w:val="24"/>
        </w:rPr>
      </w:pPr>
      <w:r>
        <w:rPr>
          <w:rFonts w:ascii="Times New Roman" w:hAnsi="Times New Roman" w:cs="Times New Roman"/>
          <w:color w:val="auto"/>
          <w:sz w:val="24"/>
          <w:szCs w:val="24"/>
        </w:rPr>
        <w:t xml:space="preserve"> </w:t>
      </w:r>
      <w:bookmarkStart w:id="29" w:name="_Toc222210205"/>
      <w:r>
        <w:rPr>
          <w:rFonts w:ascii="Times New Roman" w:hAnsi="Times New Roman" w:cs="Times New Roman"/>
          <w:i/>
          <w:iCs/>
          <w:color w:val="auto"/>
          <w:sz w:val="24"/>
          <w:szCs w:val="24"/>
        </w:rPr>
        <w:t>Stakeholder Theory</w:t>
      </w:r>
      <w:bookmarkEnd w:id="29"/>
      <w:r>
        <w:rPr>
          <w:rFonts w:ascii="Times New Roman" w:hAnsi="Times New Roman" w:cs="Times New Roman"/>
          <w:i/>
          <w:iCs/>
          <w:color w:val="auto"/>
          <w:sz w:val="24"/>
          <w:szCs w:val="24"/>
        </w:rPr>
        <w:t xml:space="preserve"> </w:t>
      </w:r>
    </w:p>
    <w:p w14:paraId="1B85498D" w14:textId="05D6C8CA" w:rsidR="00B60BE5" w:rsidRDefault="00000000">
      <w:pPr>
        <w:spacing w:line="480" w:lineRule="auto"/>
        <w:jc w:val="both"/>
        <w:rPr>
          <w:rFonts w:ascii="Times New Roman" w:hAnsi="Times New Roman"/>
          <w:sz w:val="24"/>
          <w:szCs w:val="24"/>
        </w:rPr>
      </w:pPr>
      <w:r>
        <w:rPr>
          <w:rFonts w:ascii="Times New Roman" w:hAnsi="Times New Roman"/>
          <w:sz w:val="24"/>
          <w:szCs w:val="24"/>
        </w:rPr>
        <w:t>Stakeholder Theory was formally articulated by R. Edward Freeman in his seminal 1984 work "Strategic Management: A Stakeholder Approach." The theory fundamentally challenges the traditional shareholder</w:t>
      </w:r>
      <w:r>
        <w:rPr>
          <w:rFonts w:ascii="Times New Roman" w:hAnsi="Times New Roman"/>
          <w:sz w:val="24"/>
          <w:szCs w:val="24"/>
          <w:lang w:val="en-US"/>
        </w:rPr>
        <w:t>-</w:t>
      </w:r>
      <w:r>
        <w:rPr>
          <w:rFonts w:ascii="Times New Roman" w:hAnsi="Times New Roman"/>
          <w:sz w:val="24"/>
          <w:szCs w:val="24"/>
        </w:rPr>
        <w:t>centric view by arguing that businesses must create value for all stakeholders</w:t>
      </w:r>
      <w:r w:rsidR="00D90AF6">
        <w:rPr>
          <w:rFonts w:ascii="Times New Roman" w:hAnsi="Times New Roman"/>
          <w:sz w:val="24"/>
          <w:szCs w:val="24"/>
        </w:rPr>
        <w:t xml:space="preserve">, </w:t>
      </w:r>
      <w:r>
        <w:rPr>
          <w:rFonts w:ascii="Times New Roman" w:hAnsi="Times New Roman"/>
          <w:sz w:val="24"/>
          <w:szCs w:val="24"/>
        </w:rPr>
        <w:t>including employees, customers, suppliers, communities, regulators, and the environment</w:t>
      </w:r>
      <w:r w:rsidR="00D90AF6">
        <w:rPr>
          <w:rFonts w:ascii="Times New Roman" w:hAnsi="Times New Roman"/>
          <w:sz w:val="24"/>
          <w:szCs w:val="24"/>
        </w:rPr>
        <w:t xml:space="preserve">, </w:t>
      </w:r>
      <w:r>
        <w:rPr>
          <w:rFonts w:ascii="Times New Roman" w:hAnsi="Times New Roman"/>
          <w:sz w:val="24"/>
          <w:szCs w:val="24"/>
        </w:rPr>
        <w:t>not merely shareholders. Freeman posits that sustainable business success depends on effectively managing these diverse stakeholder relationships, as neglecting any significant group can undermine long</w:t>
      </w:r>
      <w:r w:rsidR="00D90AF6">
        <w:rPr>
          <w:rFonts w:ascii="Times New Roman" w:hAnsi="Times New Roman"/>
          <w:sz w:val="24"/>
          <w:szCs w:val="24"/>
          <w:lang w:val="en-US"/>
        </w:rPr>
        <w:t>-</w:t>
      </w:r>
      <w:r>
        <w:rPr>
          <w:rFonts w:ascii="Times New Roman" w:hAnsi="Times New Roman"/>
          <w:sz w:val="24"/>
          <w:szCs w:val="24"/>
        </w:rPr>
        <w:t xml:space="preserve">term viability. In the banking context, stakeholder theory suggests financial institutions must balance profit objectives with environmental and social responsibilities to maintain their social licence to operate. Mungai, Sang, and Maina (2025) </w:t>
      </w:r>
      <w:r>
        <w:rPr>
          <w:rFonts w:ascii="Times New Roman" w:hAnsi="Times New Roman"/>
          <w:sz w:val="24"/>
          <w:szCs w:val="24"/>
        </w:rPr>
        <w:lastRenderedPageBreak/>
        <w:t>demonstrate that sustainability practices significantly enhance Kenyan bank performance through the mediating mechanism of corporate reputation, confirming stakeholder perceptions materially influence financial outcomes .</w:t>
      </w:r>
    </w:p>
    <w:p w14:paraId="63636204" w14:textId="349B4232"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Stakeholder theory reveals how green bonds serve multiple stakeholder interests simultaneously. Green </w:t>
      </w:r>
      <w:proofErr w:type="spellStart"/>
      <w:r>
        <w:rPr>
          <w:rFonts w:ascii="Times New Roman" w:hAnsi="Times New Roman"/>
          <w:sz w:val="24"/>
          <w:szCs w:val="24"/>
        </w:rPr>
        <w:t>bonds</w:t>
      </w:r>
      <w:r w:rsidR="00D90AF6">
        <w:rPr>
          <w:rFonts w:ascii="Times New Roman" w:hAnsi="Times New Roman"/>
          <w:sz w:val="24"/>
          <w:szCs w:val="24"/>
        </w:rPr>
        <w:t>,</w:t>
      </w:r>
      <w:r>
        <w:rPr>
          <w:rFonts w:ascii="Times New Roman" w:hAnsi="Times New Roman"/>
          <w:sz w:val="24"/>
          <w:szCs w:val="24"/>
        </w:rPr>
        <w:t>debt</w:t>
      </w:r>
      <w:proofErr w:type="spellEnd"/>
      <w:r>
        <w:rPr>
          <w:rFonts w:ascii="Times New Roman" w:hAnsi="Times New Roman"/>
          <w:sz w:val="24"/>
          <w:szCs w:val="24"/>
        </w:rPr>
        <w:t xml:space="preserve"> instruments for climate</w:t>
      </w:r>
      <w:r w:rsidR="00D90AF6">
        <w:rPr>
          <w:rFonts w:ascii="Times New Roman" w:hAnsi="Times New Roman"/>
          <w:sz w:val="24"/>
          <w:szCs w:val="24"/>
          <w:lang w:val="en-US"/>
        </w:rPr>
        <w:t>-</w:t>
      </w:r>
      <w:r>
        <w:rPr>
          <w:rFonts w:ascii="Times New Roman" w:hAnsi="Times New Roman"/>
          <w:sz w:val="24"/>
          <w:szCs w:val="24"/>
        </w:rPr>
        <w:t>friendly projects</w:t>
      </w:r>
      <w:r w:rsidR="00D90AF6">
        <w:rPr>
          <w:rFonts w:ascii="Times New Roman" w:hAnsi="Times New Roman"/>
          <w:sz w:val="24"/>
          <w:szCs w:val="24"/>
        </w:rPr>
        <w:t xml:space="preserve">, </w:t>
      </w:r>
      <w:r>
        <w:rPr>
          <w:rFonts w:ascii="Times New Roman" w:hAnsi="Times New Roman"/>
          <w:sz w:val="24"/>
          <w:szCs w:val="24"/>
        </w:rPr>
        <w:t>signal a bank's environmental commitment to diverse groups. For investors, they satisfy demand for ethical investment vehicles. For regulators such as the Central Bank of Kenya, they demonstrate alignment with national green finance strategies. For communities, financed projects deliver tangible environmental benefits. Banks effectively communicating green bond activities enhance legitimacy and reputation, translating into improved financial performance. The theory predicts that satisfying diverse stakeholder interests through green bonds creates value through enhanced reputation, attracting environmentally conscious customers and investors while reducing regulatory scrutiny.</w:t>
      </w:r>
    </w:p>
    <w:p w14:paraId="76B416D8" w14:textId="32C8154D" w:rsidR="00B60BE5" w:rsidRDefault="00000000">
      <w:pPr>
        <w:spacing w:line="480" w:lineRule="auto"/>
        <w:jc w:val="both"/>
        <w:rPr>
          <w:rFonts w:ascii="Times New Roman" w:hAnsi="Times New Roman"/>
          <w:sz w:val="24"/>
          <w:szCs w:val="24"/>
        </w:rPr>
      </w:pPr>
      <w:r>
        <w:rPr>
          <w:rFonts w:ascii="Times New Roman" w:hAnsi="Times New Roman"/>
          <w:sz w:val="24"/>
          <w:szCs w:val="24"/>
        </w:rPr>
        <w:t>Green credit policies represent direct application of stakeholder theory to banking operations. These policies integrate environmental criteria into lending decisions, preferentially financing green projects while restricting credit to polluting industries. Green credit serves multiple constituencies: environmentally conscious depositors preferring sustainable fund allocation, borrowers seeking green capital, regulators demanding climate risk management, and communities affected by financed projects' environmental consequences. Al Frijat et al. (2025) find green credit policies positively influence banking financial performance, with climate change practices reinforcing this effect. For Kenyan banks, proactive green credit policies manage regulatory expectations, attract environmentally aware customers, and mitigate reputational risks</w:t>
      </w:r>
      <w:r w:rsidR="00D90AF6">
        <w:rPr>
          <w:rFonts w:ascii="Times New Roman" w:hAnsi="Times New Roman"/>
          <w:sz w:val="24"/>
          <w:szCs w:val="24"/>
        </w:rPr>
        <w:t xml:space="preserve">, </w:t>
      </w:r>
      <w:r>
        <w:rPr>
          <w:rFonts w:ascii="Times New Roman" w:hAnsi="Times New Roman"/>
          <w:sz w:val="24"/>
          <w:szCs w:val="24"/>
        </w:rPr>
        <w:t>demonstrating stakeholder responsiveness that creates competitive advantage.</w:t>
      </w:r>
    </w:p>
    <w:p w14:paraId="75DD4777" w14:textId="4444A4A4" w:rsidR="00B60BE5" w:rsidRDefault="00000000">
      <w:pPr>
        <w:spacing w:line="480" w:lineRule="auto"/>
        <w:jc w:val="both"/>
        <w:rPr>
          <w:rFonts w:ascii="Times New Roman" w:hAnsi="Times New Roman"/>
          <w:sz w:val="24"/>
          <w:szCs w:val="24"/>
        </w:rPr>
      </w:pPr>
      <w:r>
        <w:rPr>
          <w:rFonts w:ascii="Times New Roman" w:hAnsi="Times New Roman"/>
          <w:sz w:val="24"/>
          <w:szCs w:val="24"/>
        </w:rPr>
        <w:lastRenderedPageBreak/>
        <w:t xml:space="preserve">Carbon </w:t>
      </w:r>
      <w:proofErr w:type="spellStart"/>
      <w:r>
        <w:rPr>
          <w:rFonts w:ascii="Times New Roman" w:hAnsi="Times New Roman"/>
          <w:sz w:val="24"/>
          <w:szCs w:val="24"/>
        </w:rPr>
        <w:t>assets</w:t>
      </w:r>
      <w:r w:rsidR="00D90AF6">
        <w:rPr>
          <w:rFonts w:ascii="Times New Roman" w:hAnsi="Times New Roman"/>
          <w:sz w:val="24"/>
          <w:szCs w:val="24"/>
        </w:rPr>
        <w:t>,</w:t>
      </w:r>
      <w:r>
        <w:rPr>
          <w:rFonts w:ascii="Times New Roman" w:hAnsi="Times New Roman"/>
          <w:sz w:val="24"/>
          <w:szCs w:val="24"/>
        </w:rPr>
        <w:t>including</w:t>
      </w:r>
      <w:proofErr w:type="spellEnd"/>
      <w:r>
        <w:rPr>
          <w:rFonts w:ascii="Times New Roman" w:hAnsi="Times New Roman"/>
          <w:sz w:val="24"/>
          <w:szCs w:val="24"/>
        </w:rPr>
        <w:t xml:space="preserve"> carbon credits and emissions </w:t>
      </w:r>
      <w:proofErr w:type="spellStart"/>
      <w:r>
        <w:rPr>
          <w:rFonts w:ascii="Times New Roman" w:hAnsi="Times New Roman"/>
          <w:sz w:val="24"/>
          <w:szCs w:val="24"/>
        </w:rPr>
        <w:t>allowances</w:t>
      </w:r>
      <w:r w:rsidR="00D90AF6">
        <w:rPr>
          <w:rFonts w:ascii="Times New Roman" w:hAnsi="Times New Roman"/>
          <w:sz w:val="24"/>
          <w:szCs w:val="24"/>
        </w:rPr>
        <w:t>,</w:t>
      </w:r>
      <w:r>
        <w:rPr>
          <w:rFonts w:ascii="Times New Roman" w:hAnsi="Times New Roman"/>
          <w:sz w:val="24"/>
          <w:szCs w:val="24"/>
        </w:rPr>
        <w:t>represent</w:t>
      </w:r>
      <w:proofErr w:type="spellEnd"/>
      <w:r>
        <w:rPr>
          <w:rFonts w:ascii="Times New Roman" w:hAnsi="Times New Roman"/>
          <w:sz w:val="24"/>
          <w:szCs w:val="24"/>
        </w:rPr>
        <w:t xml:space="preserve"> novel stakeholder accountability mechanisms. These instruments assign financial value to environmental performance, affecting relationships with multiple groups: shareholders benefit from new revenue streams; regulators view carbon asset management as compliance with climate policies; environmentally conscious customers perceive banks managing carbon assets as responsible citizens; communities gain from reduced emissions. Zhang (2024) confirms carbon asset management levels significantly promote firm value enhancement, with ESG performance mediating this relationship. For Kenyan banks, developing carbon asset management </w:t>
      </w:r>
      <w:proofErr w:type="spellStart"/>
      <w:r>
        <w:rPr>
          <w:rFonts w:ascii="Times New Roman" w:hAnsi="Times New Roman"/>
          <w:sz w:val="24"/>
          <w:szCs w:val="24"/>
        </w:rPr>
        <w:t>expertise</w:t>
      </w:r>
      <w:r w:rsidR="00D90AF6">
        <w:rPr>
          <w:rFonts w:ascii="Times New Roman" w:hAnsi="Times New Roman"/>
          <w:sz w:val="24"/>
          <w:szCs w:val="24"/>
        </w:rPr>
        <w:t>,</w:t>
      </w:r>
      <w:r>
        <w:rPr>
          <w:rFonts w:ascii="Times New Roman" w:hAnsi="Times New Roman"/>
          <w:sz w:val="24"/>
          <w:szCs w:val="24"/>
        </w:rPr>
        <w:t>through</w:t>
      </w:r>
      <w:proofErr w:type="spellEnd"/>
      <w:r>
        <w:rPr>
          <w:rFonts w:ascii="Times New Roman" w:hAnsi="Times New Roman"/>
          <w:sz w:val="24"/>
          <w:szCs w:val="24"/>
        </w:rPr>
        <w:t xml:space="preserve"> financing offset projects or trading </w:t>
      </w:r>
      <w:proofErr w:type="spellStart"/>
      <w:r>
        <w:rPr>
          <w:rFonts w:ascii="Times New Roman" w:hAnsi="Times New Roman"/>
          <w:sz w:val="24"/>
          <w:szCs w:val="24"/>
        </w:rPr>
        <w:t>credits</w:t>
      </w:r>
      <w:r w:rsidR="00D90AF6">
        <w:rPr>
          <w:rFonts w:ascii="Times New Roman" w:hAnsi="Times New Roman"/>
          <w:sz w:val="24"/>
          <w:szCs w:val="24"/>
        </w:rPr>
        <w:t>,</w:t>
      </w:r>
      <w:r>
        <w:rPr>
          <w:rFonts w:ascii="Times New Roman" w:hAnsi="Times New Roman"/>
          <w:sz w:val="24"/>
          <w:szCs w:val="24"/>
        </w:rPr>
        <w:t>strengthens</w:t>
      </w:r>
      <w:proofErr w:type="spellEnd"/>
      <w:r>
        <w:rPr>
          <w:rFonts w:ascii="Times New Roman" w:hAnsi="Times New Roman"/>
          <w:sz w:val="24"/>
          <w:szCs w:val="24"/>
        </w:rPr>
        <w:t xml:space="preserve"> stakeholder relationships by demonstrating technical sophistication and environmental accountability.</w:t>
      </w:r>
    </w:p>
    <w:p w14:paraId="450B88C1" w14:textId="2ADEC065" w:rsidR="00B60BE5" w:rsidRDefault="00000000">
      <w:pPr>
        <w:spacing w:line="480" w:lineRule="auto"/>
        <w:jc w:val="both"/>
        <w:rPr>
          <w:rFonts w:ascii="Times New Roman" w:hAnsi="Times New Roman"/>
          <w:sz w:val="24"/>
          <w:szCs w:val="24"/>
        </w:rPr>
      </w:pPr>
      <w:r>
        <w:rPr>
          <w:rFonts w:ascii="Times New Roman" w:hAnsi="Times New Roman"/>
          <w:sz w:val="24"/>
          <w:szCs w:val="24"/>
        </w:rPr>
        <w:t>Stakeholder theory explains how green finance practices translate into financial performance through multiple value</w:t>
      </w:r>
      <w:r w:rsidR="00D90AF6">
        <w:rPr>
          <w:rFonts w:ascii="Times New Roman" w:hAnsi="Times New Roman"/>
          <w:sz w:val="24"/>
          <w:szCs w:val="24"/>
          <w:lang w:val="en-US"/>
        </w:rPr>
        <w:t>-</w:t>
      </w:r>
      <w:r>
        <w:rPr>
          <w:rFonts w:ascii="Times New Roman" w:hAnsi="Times New Roman"/>
          <w:sz w:val="24"/>
          <w:szCs w:val="24"/>
        </w:rPr>
        <w:t xml:space="preserve">creation channels: enhanced reputation attracts customers and enables premium pricing; strong regulator relationships reduce compliance costs; community goodwill provides crisis support; employee engagement improves productivity. In Kenya, Kiima, Wamitu, and Wahome (2025) demonstrate green finance governance </w:t>
      </w:r>
      <w:proofErr w:type="spellStart"/>
      <w:r>
        <w:rPr>
          <w:rFonts w:ascii="Times New Roman" w:hAnsi="Times New Roman"/>
          <w:sz w:val="24"/>
          <w:szCs w:val="24"/>
        </w:rPr>
        <w:t>practices</w:t>
      </w:r>
      <w:r w:rsidR="00D90AF6">
        <w:rPr>
          <w:rFonts w:ascii="Times New Roman" w:hAnsi="Times New Roman"/>
          <w:sz w:val="24"/>
          <w:szCs w:val="24"/>
        </w:rPr>
        <w:t>,</w:t>
      </w:r>
      <w:r>
        <w:rPr>
          <w:rFonts w:ascii="Times New Roman" w:hAnsi="Times New Roman"/>
          <w:sz w:val="24"/>
          <w:szCs w:val="24"/>
        </w:rPr>
        <w:t>including</w:t>
      </w:r>
      <w:proofErr w:type="spellEnd"/>
      <w:r>
        <w:rPr>
          <w:rFonts w:ascii="Times New Roman" w:hAnsi="Times New Roman"/>
          <w:sz w:val="24"/>
          <w:szCs w:val="24"/>
        </w:rPr>
        <w:t xml:space="preserve"> board oversight and ESG reporting</w:t>
      </w:r>
      <w:r w:rsidR="00D90AF6">
        <w:rPr>
          <w:rFonts w:ascii="Times New Roman" w:hAnsi="Times New Roman"/>
          <w:sz w:val="24"/>
          <w:szCs w:val="24"/>
        </w:rPr>
        <w:t xml:space="preserve">, </w:t>
      </w:r>
      <w:r>
        <w:rPr>
          <w:rFonts w:ascii="Times New Roman" w:hAnsi="Times New Roman"/>
          <w:sz w:val="24"/>
          <w:szCs w:val="24"/>
        </w:rPr>
        <w:t>explain fifty</w:t>
      </w:r>
      <w:r w:rsidR="00D90AF6">
        <w:rPr>
          <w:rFonts w:ascii="Times New Roman" w:hAnsi="Times New Roman"/>
          <w:sz w:val="24"/>
          <w:szCs w:val="24"/>
          <w:lang w:val="en-US"/>
        </w:rPr>
        <w:t>-</w:t>
      </w:r>
      <w:r>
        <w:rPr>
          <w:rFonts w:ascii="Times New Roman" w:hAnsi="Times New Roman"/>
          <w:sz w:val="24"/>
          <w:szCs w:val="24"/>
        </w:rPr>
        <w:t>nine percent of financial performance variance among Nairobi's commercial banks. This confirms stakeholder theory's prediction that governance mechanisms ensuring stakeholder accountability drive financial results through reduced risks, enhanced reputation, and improved stakeholder relationships.</w:t>
      </w:r>
    </w:p>
    <w:p w14:paraId="668A3CF0" w14:textId="76FA04AF" w:rsidR="00B60BE5" w:rsidRDefault="00000000">
      <w:pPr>
        <w:spacing w:line="480" w:lineRule="auto"/>
        <w:jc w:val="both"/>
        <w:rPr>
          <w:rFonts w:ascii="Times New Roman" w:hAnsi="Times New Roman" w:cs="Times New Roman"/>
          <w:sz w:val="24"/>
          <w:szCs w:val="24"/>
        </w:rPr>
      </w:pPr>
      <w:r>
        <w:rPr>
          <w:rFonts w:ascii="Times New Roman" w:hAnsi="Times New Roman"/>
          <w:sz w:val="24"/>
          <w:szCs w:val="24"/>
        </w:rPr>
        <w:t>Stakeholder theory offers a robust framework for understanding green finance dynamics in Kenyan commercial banks by explaining why banks voluntarily adopt environmentally responsible practices</w:t>
      </w:r>
      <w:r w:rsidR="00D90AF6">
        <w:rPr>
          <w:rFonts w:ascii="Times New Roman" w:hAnsi="Times New Roman"/>
          <w:sz w:val="24"/>
          <w:szCs w:val="24"/>
        </w:rPr>
        <w:t xml:space="preserve">, </w:t>
      </w:r>
      <w:r>
        <w:rPr>
          <w:rFonts w:ascii="Times New Roman" w:hAnsi="Times New Roman"/>
          <w:sz w:val="24"/>
          <w:szCs w:val="24"/>
        </w:rPr>
        <w:t xml:space="preserve">not merely from altruism, but because effectively managing stakeholder relationships creates sustainable competitive advantage. The theory coherently links green bonds, green credit, and carbon assets to financial performance through mechanisms of </w:t>
      </w:r>
      <w:r>
        <w:rPr>
          <w:rFonts w:ascii="Times New Roman" w:hAnsi="Times New Roman"/>
          <w:sz w:val="24"/>
          <w:szCs w:val="24"/>
        </w:rPr>
        <w:lastRenderedPageBreak/>
        <w:t>legitimacy, reputation, and stakeholder satisfaction. For Kenyan banking research, the theory provides particular resonance given the collectivist cultural context where community and regulatory relationships carry significant weight. Its extensive empirical support in both developed and emerging markets enhances applicability.</w:t>
      </w:r>
    </w:p>
    <w:p w14:paraId="6050A172" w14:textId="4F4D9958" w:rsidR="00B60BE5" w:rsidRDefault="00000000">
      <w:pPr>
        <w:pStyle w:val="Heading3"/>
        <w:spacing w:line="480" w:lineRule="auto"/>
        <w:rPr>
          <w:rFonts w:ascii="Times New Roman" w:hAnsi="Times New Roman" w:cs="Times New Roman"/>
          <w:i/>
          <w:iCs/>
          <w:color w:val="auto"/>
          <w:sz w:val="24"/>
          <w:szCs w:val="24"/>
        </w:rPr>
      </w:pPr>
      <w:bookmarkStart w:id="30" w:name="_Toc222210206"/>
      <w:r>
        <w:rPr>
          <w:rFonts w:ascii="Times New Roman" w:hAnsi="Times New Roman" w:cs="Times New Roman"/>
          <w:i/>
          <w:iCs/>
          <w:color w:val="auto"/>
          <w:sz w:val="24"/>
          <w:szCs w:val="24"/>
        </w:rPr>
        <w:t>Natural Resource</w:t>
      </w:r>
      <w:r w:rsidR="00D90AF6">
        <w:rPr>
          <w:rFonts w:ascii="Times New Roman" w:hAnsi="Times New Roman" w:cs="Times New Roman"/>
          <w:i/>
          <w:iCs/>
          <w:color w:val="auto"/>
          <w:sz w:val="24"/>
          <w:szCs w:val="24"/>
          <w:lang w:val="en-US"/>
        </w:rPr>
        <w:t>-</w:t>
      </w:r>
      <w:r>
        <w:rPr>
          <w:rFonts w:ascii="Times New Roman" w:hAnsi="Times New Roman" w:cs="Times New Roman"/>
          <w:i/>
          <w:iCs/>
          <w:color w:val="auto"/>
          <w:sz w:val="24"/>
          <w:szCs w:val="24"/>
        </w:rPr>
        <w:t>Based View (NRBV) Theory</w:t>
      </w:r>
      <w:bookmarkEnd w:id="30"/>
      <w:r>
        <w:rPr>
          <w:rFonts w:ascii="Times New Roman" w:hAnsi="Times New Roman" w:cs="Times New Roman"/>
          <w:i/>
          <w:iCs/>
          <w:color w:val="auto"/>
          <w:sz w:val="24"/>
          <w:szCs w:val="24"/>
        </w:rPr>
        <w:t xml:space="preserve"> </w:t>
      </w:r>
    </w:p>
    <w:p w14:paraId="104E7F96" w14:textId="6142F8CE" w:rsidR="00B60BE5" w:rsidRDefault="00000000">
      <w:pPr>
        <w:spacing w:line="480" w:lineRule="auto"/>
        <w:jc w:val="both"/>
        <w:rPr>
          <w:rFonts w:ascii="Times New Roman" w:hAnsi="Times New Roman"/>
          <w:sz w:val="24"/>
          <w:szCs w:val="24"/>
        </w:rPr>
      </w:pPr>
      <w:r>
        <w:rPr>
          <w:rFonts w:ascii="Times New Roman" w:hAnsi="Times New Roman"/>
          <w:sz w:val="24"/>
          <w:szCs w:val="24"/>
        </w:rPr>
        <w:t>The Natural Resource</w:t>
      </w:r>
      <w:r w:rsidR="00D90AF6">
        <w:rPr>
          <w:rFonts w:ascii="Times New Roman" w:hAnsi="Times New Roman"/>
          <w:sz w:val="24"/>
          <w:szCs w:val="24"/>
          <w:lang w:val="en-US"/>
        </w:rPr>
        <w:t>-</w:t>
      </w:r>
      <w:r>
        <w:rPr>
          <w:rFonts w:ascii="Times New Roman" w:hAnsi="Times New Roman"/>
          <w:sz w:val="24"/>
          <w:szCs w:val="24"/>
        </w:rPr>
        <w:t>Based View (NRBV) theory was postulated by Stuart L. Hart in his seminal 1995 article "A Natural</w:t>
      </w:r>
      <w:r w:rsidR="00D90AF6">
        <w:rPr>
          <w:rFonts w:ascii="Times New Roman" w:hAnsi="Times New Roman"/>
          <w:sz w:val="24"/>
          <w:szCs w:val="24"/>
          <w:lang w:val="en-US"/>
        </w:rPr>
        <w:t xml:space="preserve"> </w:t>
      </w:r>
      <w:r>
        <w:rPr>
          <w:rFonts w:ascii="Times New Roman" w:hAnsi="Times New Roman"/>
          <w:sz w:val="24"/>
          <w:szCs w:val="24"/>
        </w:rPr>
        <w:t>Resource</w:t>
      </w:r>
      <w:r w:rsidR="00D90AF6">
        <w:rPr>
          <w:rFonts w:ascii="Times New Roman" w:hAnsi="Times New Roman"/>
          <w:sz w:val="24"/>
          <w:szCs w:val="24"/>
          <w:lang w:val="en-US"/>
        </w:rPr>
        <w:t>-</w:t>
      </w:r>
      <w:r>
        <w:rPr>
          <w:rFonts w:ascii="Times New Roman" w:hAnsi="Times New Roman"/>
          <w:sz w:val="24"/>
          <w:szCs w:val="24"/>
        </w:rPr>
        <w:t>Based View of the Firm," published in the Academy of Management Review. Building upon the foundational Resource</w:t>
      </w:r>
      <w:r w:rsidR="00D90AF6">
        <w:rPr>
          <w:rFonts w:ascii="Times New Roman" w:hAnsi="Times New Roman"/>
          <w:sz w:val="24"/>
          <w:szCs w:val="24"/>
          <w:lang w:val="en-US"/>
        </w:rPr>
        <w:t>-</w:t>
      </w:r>
      <w:r>
        <w:rPr>
          <w:rFonts w:ascii="Times New Roman" w:hAnsi="Times New Roman"/>
          <w:sz w:val="24"/>
          <w:szCs w:val="24"/>
        </w:rPr>
        <w:t>Based View (RBV) of Wernerfelt (1984) and Barney (1991), Hart proposed a framework that explicitly incorporates environmental constraints into strategic management. The NRBV argues that competitive advantage will increasingly be rooted in capabilities facilitating sustainable economic activity. The theory comprises three interconnected strategic capabilities: pollution prevention (minimizing emissions and waste through continuous improvement), product stewardship (extending environmental responsibility throughout the value chain), and sustainable development (positioning firm portfolios toward environmentally beneficial technologies and markets). Hart and Dowell (2011) later reaffirmed the theory's relevance, noting growing empirical support. The NRBV has been extensively applied to banking, with researchers developing green banking frameworks explicitly grounded in these three capabilities.</w:t>
      </w:r>
    </w:p>
    <w:p w14:paraId="2E8169EC" w14:textId="58241A51" w:rsidR="00B60BE5" w:rsidRDefault="00000000">
      <w:pPr>
        <w:spacing w:line="480" w:lineRule="auto"/>
        <w:jc w:val="both"/>
        <w:rPr>
          <w:rFonts w:ascii="Times New Roman" w:hAnsi="Times New Roman"/>
          <w:sz w:val="24"/>
          <w:szCs w:val="24"/>
        </w:rPr>
      </w:pPr>
      <w:r>
        <w:rPr>
          <w:rFonts w:ascii="Times New Roman" w:hAnsi="Times New Roman"/>
          <w:sz w:val="24"/>
          <w:szCs w:val="24"/>
        </w:rPr>
        <w:t>The NRBV conceptualizes green bond issuance by Kenyan commercial banks as a manifestation of the "sustainable development" capability. According to Hart (1995), sustainable development involves positioning the firm's portfolio to address environmental challenges through new technologies and markets. Green bonds</w:t>
      </w:r>
      <w:r w:rsidR="00D90AF6">
        <w:rPr>
          <w:rFonts w:ascii="Times New Roman" w:hAnsi="Times New Roman"/>
          <w:sz w:val="24"/>
          <w:szCs w:val="24"/>
        </w:rPr>
        <w:t xml:space="preserve">, </w:t>
      </w:r>
      <w:r>
        <w:rPr>
          <w:rFonts w:ascii="Times New Roman" w:hAnsi="Times New Roman"/>
          <w:sz w:val="24"/>
          <w:szCs w:val="24"/>
        </w:rPr>
        <w:t>debt instruments earmarked for climate</w:t>
      </w:r>
      <w:r>
        <w:rPr>
          <w:rFonts w:ascii="Times New Roman" w:hAnsi="Times New Roman"/>
          <w:sz w:val="24"/>
          <w:szCs w:val="24"/>
          <w:lang w:val="en-US"/>
        </w:rPr>
        <w:t>,</w:t>
      </w:r>
      <w:r w:rsidR="00D90AF6">
        <w:rPr>
          <w:rFonts w:ascii="Times New Roman" w:hAnsi="Times New Roman"/>
          <w:sz w:val="24"/>
          <w:szCs w:val="24"/>
          <w:lang w:val="en-US"/>
        </w:rPr>
        <w:t xml:space="preserve"> </w:t>
      </w:r>
      <w:r>
        <w:rPr>
          <w:rFonts w:ascii="Times New Roman" w:hAnsi="Times New Roman"/>
          <w:sz w:val="24"/>
          <w:szCs w:val="24"/>
        </w:rPr>
        <w:t>friendly projects</w:t>
      </w:r>
      <w:r w:rsidR="00D90AF6">
        <w:rPr>
          <w:rFonts w:ascii="Times New Roman" w:hAnsi="Times New Roman"/>
          <w:sz w:val="24"/>
          <w:szCs w:val="24"/>
        </w:rPr>
        <w:t xml:space="preserve">, </w:t>
      </w:r>
      <w:r>
        <w:rPr>
          <w:rFonts w:ascii="Times New Roman" w:hAnsi="Times New Roman"/>
          <w:sz w:val="24"/>
          <w:szCs w:val="24"/>
        </w:rPr>
        <w:t>represent precisely such strategic positioning. When Kenyan banks issue green bonds, they reshape their asset portfolios toward environmentally beneficial activities. Bukhari, Hashim, and Amran (2021), in their NRBV</w:t>
      </w:r>
      <w:r>
        <w:rPr>
          <w:rFonts w:ascii="Times New Roman" w:hAnsi="Times New Roman"/>
          <w:sz w:val="24"/>
          <w:szCs w:val="24"/>
          <w:lang w:val="en-US"/>
        </w:rPr>
        <w:t>,</w:t>
      </w:r>
      <w:r w:rsidR="00D90AF6">
        <w:rPr>
          <w:rFonts w:ascii="Times New Roman" w:hAnsi="Times New Roman"/>
          <w:sz w:val="24"/>
          <w:szCs w:val="24"/>
          <w:lang w:val="en-US"/>
        </w:rPr>
        <w:t xml:space="preserve"> </w:t>
      </w:r>
      <w:r>
        <w:rPr>
          <w:rFonts w:ascii="Times New Roman" w:hAnsi="Times New Roman"/>
          <w:sz w:val="24"/>
          <w:szCs w:val="24"/>
        </w:rPr>
        <w:t xml:space="preserve">based green banking </w:t>
      </w:r>
      <w:r>
        <w:rPr>
          <w:rFonts w:ascii="Times New Roman" w:hAnsi="Times New Roman"/>
          <w:sz w:val="24"/>
          <w:szCs w:val="24"/>
        </w:rPr>
        <w:lastRenderedPageBreak/>
        <w:t>framework, explicitly identify green bonds and green financing as indicators of a bank's sustainable development capability. For Kenyan commercial banks, green bond issuance signals development of rare, valuable, and inimitable capabilities in environmental project evaluation and green asset management</w:t>
      </w:r>
      <w:r w:rsidR="00D90AF6">
        <w:rPr>
          <w:rFonts w:ascii="Times New Roman" w:hAnsi="Times New Roman"/>
          <w:sz w:val="24"/>
          <w:szCs w:val="24"/>
        </w:rPr>
        <w:t xml:space="preserve">, </w:t>
      </w:r>
      <w:r>
        <w:rPr>
          <w:rFonts w:ascii="Times New Roman" w:hAnsi="Times New Roman"/>
          <w:sz w:val="24"/>
          <w:szCs w:val="24"/>
        </w:rPr>
        <w:t>resources that, according to NRBV logic, generate sustained competitive advantage and superior financial performance.</w:t>
      </w:r>
    </w:p>
    <w:p w14:paraId="35C940B3" w14:textId="1C02517B"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Green credit policies correspond directly to the NRBV's "product stewardship" capability. Product stewardship involves integrating stakeholder perspectives throughout the value chain, extending environmental responsibility beyond immediate operations. In banking, loans represent the core "product," and green credit policies constitute the stewardship mechanism through which banks manage the environmental impacts of lending activities. When banks incorporate environmental criteria into credit assessment or offer preferential rates for green projects, they engage in product </w:t>
      </w:r>
      <w:r w:rsidR="00D90AF6">
        <w:rPr>
          <w:rFonts w:ascii="Times New Roman" w:hAnsi="Times New Roman"/>
          <w:sz w:val="24"/>
          <w:szCs w:val="24"/>
        </w:rPr>
        <w:t>stewardship, taking responsibility for consequences of the products,</w:t>
      </w:r>
      <w:r>
        <w:rPr>
          <w:rFonts w:ascii="Times New Roman" w:hAnsi="Times New Roman"/>
          <w:sz w:val="24"/>
          <w:szCs w:val="24"/>
        </w:rPr>
        <w:t xml:space="preserve"> they create. The NRBV suggests product stewardship capabilities generate competitive advantage through stakeholder engagement and </w:t>
      </w:r>
      <w:r w:rsidR="00D90AF6">
        <w:rPr>
          <w:rFonts w:ascii="Times New Roman" w:hAnsi="Times New Roman"/>
          <w:sz w:val="24"/>
          <w:szCs w:val="24"/>
        </w:rPr>
        <w:t>legitimacy.</w:t>
      </w:r>
      <w:r>
        <w:rPr>
          <w:rFonts w:ascii="Times New Roman" w:hAnsi="Times New Roman"/>
          <w:sz w:val="24"/>
          <w:szCs w:val="24"/>
        </w:rPr>
        <w:t xml:space="preserve"> Al Frijat et al. (2025) provide empirical support, demonstrating green credit policies positively influence banking financial performance. In Kenya, banks with sophisticated green credit capabilities develop socially complex, </w:t>
      </w:r>
      <w:r w:rsidR="00D90AF6">
        <w:rPr>
          <w:rFonts w:ascii="Times New Roman" w:hAnsi="Times New Roman"/>
          <w:sz w:val="24"/>
          <w:szCs w:val="24"/>
        </w:rPr>
        <w:t>path</w:t>
      </w:r>
      <w:r w:rsidR="00D90AF6">
        <w:rPr>
          <w:rFonts w:ascii="Times New Roman" w:hAnsi="Times New Roman"/>
          <w:sz w:val="24"/>
          <w:szCs w:val="24"/>
          <w:lang w:val="en-US"/>
        </w:rPr>
        <w:t>,</w:t>
      </w:r>
      <w:r w:rsidR="00D90AF6">
        <w:rPr>
          <w:rFonts w:ascii="Times New Roman" w:hAnsi="Times New Roman"/>
          <w:sz w:val="24"/>
          <w:szCs w:val="24"/>
        </w:rPr>
        <w:t xml:space="preserve"> dependent</w:t>
      </w:r>
      <w:r>
        <w:rPr>
          <w:rFonts w:ascii="Times New Roman" w:hAnsi="Times New Roman"/>
          <w:sz w:val="24"/>
          <w:szCs w:val="24"/>
        </w:rPr>
        <w:t xml:space="preserve"> resources that competitors cannot easily imitate, generating sustained performance advantages.</w:t>
      </w:r>
    </w:p>
    <w:p w14:paraId="04C3F530" w14:textId="04FA7F39"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Carbon asset management represents application of the NRBV's "pollution prevention" capability while connecting to </w:t>
      </w:r>
      <w:r w:rsidR="00D90AF6">
        <w:rPr>
          <w:rFonts w:ascii="Times New Roman" w:hAnsi="Times New Roman"/>
          <w:sz w:val="24"/>
          <w:szCs w:val="24"/>
        </w:rPr>
        <w:t>higher</w:t>
      </w:r>
      <w:r w:rsidR="00D90AF6">
        <w:rPr>
          <w:rFonts w:ascii="Times New Roman" w:hAnsi="Times New Roman"/>
          <w:sz w:val="24"/>
          <w:szCs w:val="24"/>
          <w:lang w:val="en-US"/>
        </w:rPr>
        <w:t>,</w:t>
      </w:r>
      <w:r w:rsidR="00D90AF6">
        <w:rPr>
          <w:rFonts w:ascii="Times New Roman" w:hAnsi="Times New Roman"/>
          <w:sz w:val="24"/>
          <w:szCs w:val="24"/>
        </w:rPr>
        <w:t xml:space="preserve"> order</w:t>
      </w:r>
      <w:r>
        <w:rPr>
          <w:rFonts w:ascii="Times New Roman" w:hAnsi="Times New Roman"/>
          <w:sz w:val="24"/>
          <w:szCs w:val="24"/>
        </w:rPr>
        <w:t xml:space="preserve"> capabilities. Pollution prevention focuses on minimizing emissions through continuous </w:t>
      </w:r>
      <w:r w:rsidR="003C47A3">
        <w:rPr>
          <w:rFonts w:ascii="Times New Roman" w:hAnsi="Times New Roman"/>
          <w:sz w:val="24"/>
          <w:szCs w:val="24"/>
        </w:rPr>
        <w:t>improvement.</w:t>
      </w:r>
      <w:r>
        <w:rPr>
          <w:rFonts w:ascii="Times New Roman" w:hAnsi="Times New Roman"/>
          <w:sz w:val="24"/>
          <w:szCs w:val="24"/>
        </w:rPr>
        <w:t xml:space="preserve"> Carbon </w:t>
      </w:r>
      <w:r w:rsidR="003C47A3">
        <w:rPr>
          <w:rFonts w:ascii="Times New Roman" w:hAnsi="Times New Roman"/>
          <w:sz w:val="24"/>
          <w:szCs w:val="24"/>
        </w:rPr>
        <w:t>assets, including</w:t>
      </w:r>
      <w:r>
        <w:rPr>
          <w:rFonts w:ascii="Times New Roman" w:hAnsi="Times New Roman"/>
          <w:sz w:val="24"/>
          <w:szCs w:val="24"/>
        </w:rPr>
        <w:t xml:space="preserve"> carbon credits and emissions </w:t>
      </w:r>
      <w:r w:rsidR="003C47A3">
        <w:rPr>
          <w:rFonts w:ascii="Times New Roman" w:hAnsi="Times New Roman"/>
          <w:sz w:val="24"/>
          <w:szCs w:val="24"/>
        </w:rPr>
        <w:t>allowances, are</w:t>
      </w:r>
      <w:r>
        <w:rPr>
          <w:rFonts w:ascii="Times New Roman" w:hAnsi="Times New Roman"/>
          <w:sz w:val="24"/>
          <w:szCs w:val="24"/>
        </w:rPr>
        <w:t xml:space="preserve"> financial instruments emerging from pollution prevention activities. Banks developing carbon asset management expertise build capabilities in quantifying, verifying, and trading emissions reductions. Pande et al. (2023) demonstrate pollution prevention capabilities develop through </w:t>
      </w:r>
      <w:r w:rsidR="003C47A3">
        <w:rPr>
          <w:rFonts w:ascii="Times New Roman" w:hAnsi="Times New Roman"/>
          <w:sz w:val="24"/>
          <w:szCs w:val="24"/>
        </w:rPr>
        <w:t>path</w:t>
      </w:r>
      <w:r w:rsidR="003C47A3">
        <w:rPr>
          <w:rFonts w:ascii="Times New Roman" w:hAnsi="Times New Roman"/>
          <w:sz w:val="24"/>
          <w:szCs w:val="24"/>
          <w:lang w:val="en-US"/>
        </w:rPr>
        <w:t>,</w:t>
      </w:r>
      <w:r w:rsidR="003C47A3">
        <w:rPr>
          <w:rFonts w:ascii="Times New Roman" w:hAnsi="Times New Roman"/>
          <w:sz w:val="24"/>
          <w:szCs w:val="24"/>
        </w:rPr>
        <w:t xml:space="preserve"> dependent</w:t>
      </w:r>
      <w:r>
        <w:rPr>
          <w:rFonts w:ascii="Times New Roman" w:hAnsi="Times New Roman"/>
          <w:sz w:val="24"/>
          <w:szCs w:val="24"/>
        </w:rPr>
        <w:t xml:space="preserve"> processes, accumulating </w:t>
      </w:r>
      <w:r>
        <w:rPr>
          <w:rFonts w:ascii="Times New Roman" w:hAnsi="Times New Roman"/>
          <w:sz w:val="24"/>
          <w:szCs w:val="24"/>
        </w:rPr>
        <w:lastRenderedPageBreak/>
        <w:t xml:space="preserve">over time and creating distinctive organizational competencies. Zhang (2024) confirms carbon asset management levels significantly influence firm value, with ESG performance mediating this relationship. For Kenyan banks, carbon asset management expertise requires specialized knowledge of carbon accounting, verification standards, and regulatory </w:t>
      </w:r>
      <w:r w:rsidR="003C47A3">
        <w:rPr>
          <w:rFonts w:ascii="Times New Roman" w:hAnsi="Times New Roman"/>
          <w:sz w:val="24"/>
          <w:szCs w:val="24"/>
        </w:rPr>
        <w:t>frameworks, capabilities</w:t>
      </w:r>
      <w:r>
        <w:rPr>
          <w:rFonts w:ascii="Times New Roman" w:hAnsi="Times New Roman"/>
          <w:sz w:val="24"/>
          <w:szCs w:val="24"/>
        </w:rPr>
        <w:t xml:space="preserve"> that are valuable, rare, and imperfectly imitable, generating competitive advantage through enhanced environmental performance.</w:t>
      </w:r>
    </w:p>
    <w:p w14:paraId="6CA1E3F6" w14:textId="2E210295"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The NRBV explains green finance practices translate into financial performance through capability development and competitive advantage. Hart's (1995) central proposition is that firms developing pollution prevention, product stewardship, and sustainable development capabilities achieve sustained competitive advantage as environmental constraints tighten. Meraj, Afzal, Kaur, and Chauhan (2025), in their </w:t>
      </w:r>
      <w:r w:rsidR="003C47A3">
        <w:rPr>
          <w:rFonts w:ascii="Times New Roman" w:hAnsi="Times New Roman"/>
          <w:sz w:val="24"/>
          <w:szCs w:val="24"/>
        </w:rPr>
        <w:t>NRBV</w:t>
      </w:r>
      <w:r w:rsidR="003C47A3">
        <w:rPr>
          <w:rFonts w:ascii="Times New Roman" w:hAnsi="Times New Roman"/>
          <w:sz w:val="24"/>
          <w:szCs w:val="24"/>
          <w:lang w:val="en-US"/>
        </w:rPr>
        <w:t>,</w:t>
      </w:r>
      <w:r w:rsidR="003C47A3">
        <w:rPr>
          <w:rFonts w:ascii="Times New Roman" w:hAnsi="Times New Roman"/>
          <w:sz w:val="24"/>
          <w:szCs w:val="24"/>
        </w:rPr>
        <w:t xml:space="preserve"> grounded</w:t>
      </w:r>
      <w:r>
        <w:rPr>
          <w:rFonts w:ascii="Times New Roman" w:hAnsi="Times New Roman"/>
          <w:sz w:val="24"/>
          <w:szCs w:val="24"/>
        </w:rPr>
        <w:t xml:space="preserve"> study of Indian banks, found green finance practices significantly enhance environmental performance, contributing to overall bank performance. In Kenya, Mungai, Sang, and Maina (2025) demonstrate sustainability practices significantly influence bank performance, with corporate reputation mediating this relationship. Kiima, Wamitu, and Wahome (2025) show green finance governance practices explain </w:t>
      </w:r>
      <w:r w:rsidR="003C47A3">
        <w:rPr>
          <w:rFonts w:ascii="Times New Roman" w:hAnsi="Times New Roman"/>
          <w:sz w:val="24"/>
          <w:szCs w:val="24"/>
        </w:rPr>
        <w:t>fifty</w:t>
      </w:r>
      <w:r w:rsidR="003C47A3">
        <w:rPr>
          <w:rFonts w:ascii="Times New Roman" w:hAnsi="Times New Roman"/>
          <w:sz w:val="24"/>
          <w:szCs w:val="24"/>
          <w:lang w:val="en-US"/>
        </w:rPr>
        <w:t>,</w:t>
      </w:r>
      <w:r w:rsidR="003C47A3">
        <w:rPr>
          <w:rFonts w:ascii="Times New Roman" w:hAnsi="Times New Roman"/>
          <w:sz w:val="24"/>
          <w:szCs w:val="24"/>
        </w:rPr>
        <w:t xml:space="preserve"> nine</w:t>
      </w:r>
      <w:r>
        <w:rPr>
          <w:rFonts w:ascii="Times New Roman" w:hAnsi="Times New Roman"/>
          <w:sz w:val="24"/>
          <w:szCs w:val="24"/>
        </w:rPr>
        <w:t xml:space="preserve"> percent of performance variance among Nairobi's commercial banks. The NRBV interprets these findings as evidence that green finance capabilities become valuable organizational resources differentiating banks from competitors, with advantages amplifying over time as environmental constraints intensify.</w:t>
      </w:r>
    </w:p>
    <w:p w14:paraId="19B3570B" w14:textId="2AB9C761"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The Natural </w:t>
      </w:r>
      <w:r w:rsidR="003C47A3">
        <w:rPr>
          <w:rFonts w:ascii="Times New Roman" w:hAnsi="Times New Roman"/>
          <w:sz w:val="24"/>
          <w:szCs w:val="24"/>
        </w:rPr>
        <w:t>Resource</w:t>
      </w:r>
      <w:r w:rsidR="003C47A3">
        <w:rPr>
          <w:rFonts w:ascii="Times New Roman" w:hAnsi="Times New Roman"/>
          <w:sz w:val="24"/>
          <w:szCs w:val="24"/>
          <w:lang w:val="en-US"/>
        </w:rPr>
        <w:t>,</w:t>
      </w:r>
      <w:r w:rsidR="003C47A3">
        <w:rPr>
          <w:rFonts w:ascii="Times New Roman" w:hAnsi="Times New Roman"/>
          <w:sz w:val="24"/>
          <w:szCs w:val="24"/>
        </w:rPr>
        <w:t xml:space="preserve"> Based</w:t>
      </w:r>
      <w:r>
        <w:rPr>
          <w:rFonts w:ascii="Times New Roman" w:hAnsi="Times New Roman"/>
          <w:sz w:val="24"/>
          <w:szCs w:val="24"/>
        </w:rPr>
        <w:t xml:space="preserve"> View theory offers a powerful framework for understanding green finance in Kenyan commercial banks by explaining how environmental constraints transform into competitive advantage sources. Its contribution lies in conceptualizing green finance not as compliance but as strategic investment in organizational capabilities generating sustained performance benefits. The theory's three capabilities map elegantly onto constructs: green bonds represent sustainable development; green credit embodies product stewardship; </w:t>
      </w:r>
      <w:r>
        <w:rPr>
          <w:rFonts w:ascii="Times New Roman" w:hAnsi="Times New Roman"/>
          <w:sz w:val="24"/>
          <w:szCs w:val="24"/>
        </w:rPr>
        <w:lastRenderedPageBreak/>
        <w:t xml:space="preserve">carbon assets emerge from pollution prevention. For Kenyan banking research, the NRBV explains why some institutions lead while others </w:t>
      </w:r>
      <w:r w:rsidR="003C47A3">
        <w:rPr>
          <w:rFonts w:ascii="Times New Roman" w:hAnsi="Times New Roman"/>
          <w:sz w:val="24"/>
          <w:szCs w:val="24"/>
        </w:rPr>
        <w:t>lag, capabilities</w:t>
      </w:r>
      <w:r>
        <w:rPr>
          <w:rFonts w:ascii="Times New Roman" w:hAnsi="Times New Roman"/>
          <w:sz w:val="24"/>
          <w:szCs w:val="24"/>
        </w:rPr>
        <w:t xml:space="preserve"> accumulate through experience and become embedded in routines competitors cannot easily replicate. The theory complements stakeholder, </w:t>
      </w:r>
      <w:r w:rsidR="003C47A3">
        <w:rPr>
          <w:rFonts w:ascii="Times New Roman" w:hAnsi="Times New Roman"/>
          <w:sz w:val="24"/>
          <w:szCs w:val="24"/>
        </w:rPr>
        <w:t>signalling</w:t>
      </w:r>
      <w:r>
        <w:rPr>
          <w:rFonts w:ascii="Times New Roman" w:hAnsi="Times New Roman"/>
          <w:sz w:val="24"/>
          <w:szCs w:val="24"/>
        </w:rPr>
        <w:t>, and legitimacy frameworks by explaining internal capability development processes through which green finance activities translate into sustained performance advantages.</w:t>
      </w:r>
    </w:p>
    <w:p w14:paraId="101F1272" w14:textId="0F5FEF14" w:rsidR="00B60BE5" w:rsidRDefault="00000000">
      <w:pPr>
        <w:pStyle w:val="Heading3"/>
        <w:spacing w:line="480" w:lineRule="auto"/>
        <w:rPr>
          <w:rFonts w:ascii="Times New Roman" w:hAnsi="Times New Roman" w:cs="Times New Roman"/>
          <w:i/>
          <w:iCs/>
          <w:color w:val="auto"/>
          <w:sz w:val="24"/>
          <w:szCs w:val="24"/>
        </w:rPr>
      </w:pPr>
      <w:bookmarkStart w:id="31" w:name="_Toc222210207"/>
      <w:r>
        <w:rPr>
          <w:rFonts w:ascii="Times New Roman" w:hAnsi="Times New Roman" w:cs="Times New Roman"/>
          <w:i/>
          <w:iCs/>
          <w:color w:val="auto"/>
          <w:sz w:val="24"/>
          <w:szCs w:val="24"/>
        </w:rPr>
        <w:t>Institutional Theory</w:t>
      </w:r>
      <w:bookmarkEnd w:id="31"/>
    </w:p>
    <w:p w14:paraId="131363E7" w14:textId="77777777" w:rsidR="00B60BE5" w:rsidRDefault="00000000">
      <w:pPr>
        <w:spacing w:line="480" w:lineRule="auto"/>
        <w:jc w:val="both"/>
        <w:rPr>
          <w:rFonts w:ascii="Times New Roman" w:hAnsi="Times New Roman"/>
          <w:sz w:val="24"/>
          <w:szCs w:val="24"/>
        </w:rPr>
      </w:pPr>
      <w:r>
        <w:rPr>
          <w:rFonts w:ascii="Times New Roman" w:hAnsi="Times New Roman"/>
          <w:sz w:val="24"/>
          <w:szCs w:val="24"/>
        </w:rPr>
        <w:t>Institutional theory was articulated by Paul DiMaggio and Walter Powell (1983), who explained how organizations become increasingly similar through three isomorphic pressures: coercive (regulatory mandates), mimetic (imitating successful peers under uncertainty), and normative (professional standards). The theory posits organizations conform to institutional norms to gain legitimacy and ensure survival. In banking, institutional theory explains adoption of green finance practices in response to regulatory expectations, industry norms, and professional standards. Kiima, Wamitu, and Wahome (2025) ground their Kenyan bank study in institutional theory, demonstrating governance structures integrating environmental considerations are shaped by institutional forces.</w:t>
      </w:r>
    </w:p>
    <w:p w14:paraId="69EC4924" w14:textId="60BF3B81"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Institutional theory explains green bond issuance as response to coercive, mimetic, and normative pressures. Coercive pressures emanate from Central Bank of Kenya and Capital Markets Authority policy signals. Mimetic pressures operate as leading banks like KCB and Equity issue green bonds, prompting competitors to follow. Normative pressures arise from professional networks and UN Principles for Responsible Banking establishing green bonds as professionalism markers. For Kenyan banks, green bond issuance represents conformity to institutional pressures conferring legitimacy and </w:t>
      </w:r>
      <w:r w:rsidR="003C47A3">
        <w:rPr>
          <w:rFonts w:ascii="Times New Roman" w:hAnsi="Times New Roman"/>
          <w:sz w:val="24"/>
          <w:szCs w:val="24"/>
        </w:rPr>
        <w:t>signalling</w:t>
      </w:r>
      <w:r>
        <w:rPr>
          <w:rFonts w:ascii="Times New Roman" w:hAnsi="Times New Roman"/>
          <w:sz w:val="24"/>
          <w:szCs w:val="24"/>
        </w:rPr>
        <w:t xml:space="preserve"> alignment with </w:t>
      </w:r>
      <w:r w:rsidR="003C47A3">
        <w:rPr>
          <w:rFonts w:ascii="Times New Roman" w:hAnsi="Times New Roman"/>
          <w:sz w:val="24"/>
          <w:szCs w:val="24"/>
        </w:rPr>
        <w:t>field</w:t>
      </w:r>
      <w:r w:rsidR="003C47A3">
        <w:rPr>
          <w:rFonts w:ascii="Times New Roman" w:hAnsi="Times New Roman"/>
          <w:sz w:val="24"/>
          <w:szCs w:val="24"/>
          <w:lang w:val="en-US"/>
        </w:rPr>
        <w:t>,</w:t>
      </w:r>
      <w:r w:rsidR="003C47A3">
        <w:rPr>
          <w:rFonts w:ascii="Times New Roman" w:hAnsi="Times New Roman"/>
          <w:sz w:val="24"/>
          <w:szCs w:val="24"/>
        </w:rPr>
        <w:t xml:space="preserve"> level</w:t>
      </w:r>
      <w:r>
        <w:rPr>
          <w:rFonts w:ascii="Times New Roman" w:hAnsi="Times New Roman"/>
          <w:sz w:val="24"/>
          <w:szCs w:val="24"/>
        </w:rPr>
        <w:t xml:space="preserve"> expectations.</w:t>
      </w:r>
    </w:p>
    <w:p w14:paraId="28BEDB12" w14:textId="77777777" w:rsidR="00B60BE5" w:rsidRDefault="00000000">
      <w:pPr>
        <w:spacing w:line="480" w:lineRule="auto"/>
        <w:jc w:val="both"/>
        <w:rPr>
          <w:rFonts w:ascii="Times New Roman" w:hAnsi="Times New Roman"/>
          <w:sz w:val="24"/>
          <w:szCs w:val="24"/>
        </w:rPr>
      </w:pPr>
      <w:r>
        <w:rPr>
          <w:rFonts w:ascii="Times New Roman" w:hAnsi="Times New Roman"/>
          <w:sz w:val="24"/>
          <w:szCs w:val="24"/>
        </w:rPr>
        <w:lastRenderedPageBreak/>
        <w:t>Green credit policies reflect institutionalization of environmental criteria through isomorphic mechanisms. Coercively, regulatory guidance on climate risk disclosure pressures formal green credit frameworks. Mimetically, banks observe industry leaders developing green assessment tools and adopt similar practices. Normatively, professional networks establish green credit assessment as competency. Comparative analysis of EU and African Union frameworks demonstrates institutional structures actively shape green lending across contexts. Kenyan banks' green credit policies thus emerge from institutional pressures normalizing environmental criteria as standard banking practice.</w:t>
      </w:r>
    </w:p>
    <w:p w14:paraId="3CE71815" w14:textId="77777777" w:rsidR="00B60BE5" w:rsidRDefault="00000000">
      <w:pPr>
        <w:spacing w:line="480" w:lineRule="auto"/>
        <w:jc w:val="both"/>
        <w:rPr>
          <w:rFonts w:ascii="Times New Roman" w:hAnsi="Times New Roman"/>
          <w:sz w:val="24"/>
          <w:szCs w:val="24"/>
        </w:rPr>
      </w:pPr>
      <w:r>
        <w:rPr>
          <w:rFonts w:ascii="Times New Roman" w:hAnsi="Times New Roman"/>
          <w:sz w:val="24"/>
          <w:szCs w:val="24"/>
        </w:rPr>
        <w:t>Carbon asset management depends on institutional frameworks from international climate agreements. Coercive pressures derive from Kenya's Paris Agreement commitments and emerging carbon regulations. Mimetic pressures operate as banks observe global peers developing carbon trading desks. Normative pressures emerge from professional bodies establishing carbon accounting standards. Institutional investors significantly moderate green bonds' carbon efficiency, suggesting powerful field actors shape environmental outcomes. For Kenyan banks, carbon asset management demonstrates conformity with globally institutionalized climate finance expectations.</w:t>
      </w:r>
    </w:p>
    <w:p w14:paraId="0893AF9B" w14:textId="088AFB3C"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Institutional theory links green finance to performance through legitimacy and resource access. Conforming organizations gain legitimacy, facilitating resource access and reducing stakeholder transaction costs. Kiima, Wamitu, and Wahome (2025) find green finance governance practices explain </w:t>
      </w:r>
      <w:r w:rsidR="003C47A3">
        <w:rPr>
          <w:rFonts w:ascii="Times New Roman" w:hAnsi="Times New Roman"/>
          <w:sz w:val="24"/>
          <w:szCs w:val="24"/>
        </w:rPr>
        <w:t>fifty</w:t>
      </w:r>
      <w:r w:rsidR="003C47A3">
        <w:rPr>
          <w:rFonts w:ascii="Times New Roman" w:hAnsi="Times New Roman"/>
          <w:sz w:val="24"/>
          <w:szCs w:val="24"/>
          <w:lang w:val="en-US"/>
        </w:rPr>
        <w:t>,</w:t>
      </w:r>
      <w:r w:rsidR="003C47A3">
        <w:rPr>
          <w:rFonts w:ascii="Times New Roman" w:hAnsi="Times New Roman"/>
          <w:sz w:val="24"/>
          <w:szCs w:val="24"/>
        </w:rPr>
        <w:t xml:space="preserve"> nine</w:t>
      </w:r>
      <w:r>
        <w:rPr>
          <w:rFonts w:ascii="Times New Roman" w:hAnsi="Times New Roman"/>
          <w:sz w:val="24"/>
          <w:szCs w:val="24"/>
        </w:rPr>
        <w:t xml:space="preserve"> percent of performance variance among Nairobi banks. Mwanu (2021) found banking regulations positively affect green finance development, with 76.3% of changes resulting from institutional initiatives. Banks adopting green finance secure legitimacy necessary for stable deposits, </w:t>
      </w:r>
      <w:r w:rsidR="003C47A3">
        <w:rPr>
          <w:rFonts w:ascii="Times New Roman" w:hAnsi="Times New Roman"/>
          <w:sz w:val="24"/>
          <w:szCs w:val="24"/>
        </w:rPr>
        <w:t>favourable</w:t>
      </w:r>
      <w:r>
        <w:rPr>
          <w:rFonts w:ascii="Times New Roman" w:hAnsi="Times New Roman"/>
          <w:sz w:val="24"/>
          <w:szCs w:val="24"/>
        </w:rPr>
        <w:t xml:space="preserve"> regulation, and international climate finance access.</w:t>
      </w:r>
    </w:p>
    <w:p w14:paraId="24C475D9" w14:textId="26110A01" w:rsidR="00B60BE5" w:rsidRDefault="00000000">
      <w:pPr>
        <w:spacing w:line="480" w:lineRule="auto"/>
        <w:jc w:val="both"/>
        <w:rPr>
          <w:rFonts w:ascii="Times New Roman" w:hAnsi="Times New Roman"/>
          <w:sz w:val="24"/>
          <w:szCs w:val="24"/>
        </w:rPr>
      </w:pPr>
      <w:r>
        <w:rPr>
          <w:rFonts w:ascii="Times New Roman" w:hAnsi="Times New Roman"/>
          <w:sz w:val="24"/>
          <w:szCs w:val="24"/>
        </w:rPr>
        <w:lastRenderedPageBreak/>
        <w:t xml:space="preserve">Institutional theory explains how green finance becomes embedded in Kenyan banks through coercive, mimetic, and normative pressures. Its contribution lies in explaining </w:t>
      </w:r>
      <w:r w:rsidR="003C47A3">
        <w:rPr>
          <w:rFonts w:ascii="Times New Roman" w:hAnsi="Times New Roman"/>
          <w:sz w:val="24"/>
          <w:szCs w:val="24"/>
        </w:rPr>
        <w:t>convergence, why</w:t>
      </w:r>
      <w:r>
        <w:rPr>
          <w:rFonts w:ascii="Times New Roman" w:hAnsi="Times New Roman"/>
          <w:sz w:val="24"/>
          <w:szCs w:val="24"/>
        </w:rPr>
        <w:t xml:space="preserve"> banks adopt similar practices despite different competitive </w:t>
      </w:r>
      <w:r w:rsidR="003C47A3">
        <w:rPr>
          <w:rFonts w:ascii="Times New Roman" w:hAnsi="Times New Roman"/>
          <w:sz w:val="24"/>
          <w:szCs w:val="24"/>
        </w:rPr>
        <w:t>conditions, through</w:t>
      </w:r>
      <w:r>
        <w:rPr>
          <w:rFonts w:ascii="Times New Roman" w:hAnsi="Times New Roman"/>
          <w:sz w:val="24"/>
          <w:szCs w:val="24"/>
        </w:rPr>
        <w:t xml:space="preserve"> </w:t>
      </w:r>
      <w:r w:rsidR="003C47A3">
        <w:rPr>
          <w:rFonts w:ascii="Times New Roman" w:hAnsi="Times New Roman"/>
          <w:sz w:val="24"/>
          <w:szCs w:val="24"/>
        </w:rPr>
        <w:t>legitimacy</w:t>
      </w:r>
      <w:r w:rsidR="003C47A3">
        <w:rPr>
          <w:rFonts w:ascii="Times New Roman" w:hAnsi="Times New Roman"/>
          <w:sz w:val="24"/>
          <w:szCs w:val="24"/>
          <w:lang w:val="en-US"/>
        </w:rPr>
        <w:t>,</w:t>
      </w:r>
      <w:r w:rsidR="003C47A3">
        <w:rPr>
          <w:rFonts w:ascii="Times New Roman" w:hAnsi="Times New Roman"/>
          <w:sz w:val="24"/>
          <w:szCs w:val="24"/>
        </w:rPr>
        <w:t xml:space="preserve"> seeking</w:t>
      </w:r>
      <w:r>
        <w:rPr>
          <w:rFonts w:ascii="Times New Roman" w:hAnsi="Times New Roman"/>
          <w:sz w:val="24"/>
          <w:szCs w:val="24"/>
        </w:rPr>
        <w:t xml:space="preserve"> </w:t>
      </w:r>
      <w:r w:rsidR="003C47A3">
        <w:rPr>
          <w:rFonts w:ascii="Times New Roman" w:hAnsi="Times New Roman"/>
          <w:sz w:val="24"/>
          <w:szCs w:val="24"/>
        </w:rPr>
        <w:t>behaviour</w:t>
      </w:r>
      <w:r>
        <w:rPr>
          <w:rFonts w:ascii="Times New Roman" w:hAnsi="Times New Roman"/>
          <w:sz w:val="24"/>
          <w:szCs w:val="24"/>
        </w:rPr>
        <w:t xml:space="preserve">. The theory maps onto constructs: green bonds respond to climate finance expectations; green credit institutionalizes environmental criteria; carbon assets reflect conformity with global climate governance. The theory complements stakeholder and </w:t>
      </w:r>
      <w:r w:rsidR="003C47A3">
        <w:rPr>
          <w:rFonts w:ascii="Times New Roman" w:hAnsi="Times New Roman"/>
          <w:sz w:val="24"/>
          <w:szCs w:val="24"/>
        </w:rPr>
        <w:t>resource</w:t>
      </w:r>
      <w:r w:rsidR="003C47A3">
        <w:rPr>
          <w:rFonts w:ascii="Times New Roman" w:hAnsi="Times New Roman"/>
          <w:sz w:val="24"/>
          <w:szCs w:val="24"/>
          <w:lang w:val="en-US"/>
        </w:rPr>
        <w:t>,</w:t>
      </w:r>
      <w:r w:rsidR="003C47A3">
        <w:rPr>
          <w:rFonts w:ascii="Times New Roman" w:hAnsi="Times New Roman"/>
          <w:sz w:val="24"/>
          <w:szCs w:val="24"/>
        </w:rPr>
        <w:t xml:space="preserve"> based</w:t>
      </w:r>
      <w:r>
        <w:rPr>
          <w:rFonts w:ascii="Times New Roman" w:hAnsi="Times New Roman"/>
          <w:sz w:val="24"/>
          <w:szCs w:val="24"/>
        </w:rPr>
        <w:t xml:space="preserve"> perspectives by explaining external pressures shaping organizational responses and, through legitimacy mechanisms, influencing financial performance.</w:t>
      </w:r>
    </w:p>
    <w:p w14:paraId="1FE9C393" w14:textId="77777777" w:rsidR="00B60BE5" w:rsidRDefault="00000000">
      <w:pPr>
        <w:pStyle w:val="Heading2"/>
        <w:spacing w:line="480" w:lineRule="auto"/>
        <w:rPr>
          <w:rFonts w:ascii="Times New Roman" w:eastAsia="Times New Roman" w:hAnsi="Times New Roman" w:cs="Times New Roman"/>
          <w:b/>
          <w:bCs/>
          <w:color w:val="auto"/>
          <w:sz w:val="24"/>
          <w:szCs w:val="24"/>
        </w:rPr>
      </w:pPr>
      <w:bookmarkStart w:id="32" w:name="_Toc222210208"/>
      <w:r>
        <w:rPr>
          <w:rFonts w:ascii="Times New Roman" w:eastAsia="Times New Roman" w:hAnsi="Times New Roman" w:cs="Times New Roman"/>
          <w:b/>
          <w:bCs/>
          <w:color w:val="auto"/>
          <w:sz w:val="24"/>
          <w:szCs w:val="24"/>
        </w:rPr>
        <w:t>Conceptual review</w:t>
      </w:r>
      <w:bookmarkEnd w:id="32"/>
    </w:p>
    <w:p w14:paraId="6600ABA7" w14:textId="77777777" w:rsidR="00B60BE5" w:rsidRDefault="00000000">
      <w:pPr>
        <w:pStyle w:val="Heading3"/>
        <w:spacing w:line="480" w:lineRule="auto"/>
        <w:rPr>
          <w:rFonts w:ascii="Times New Roman" w:hAnsi="Times New Roman" w:cs="Times New Roman"/>
          <w:color w:val="auto"/>
          <w:sz w:val="24"/>
          <w:szCs w:val="24"/>
        </w:rPr>
      </w:pPr>
      <w:bookmarkStart w:id="33" w:name="_Toc222210209"/>
      <w:r>
        <w:rPr>
          <w:rStyle w:val="Strong"/>
          <w:rFonts w:ascii="Times New Roman" w:hAnsi="Times New Roman" w:cs="Times New Roman"/>
          <w:color w:val="auto"/>
          <w:sz w:val="24"/>
          <w:szCs w:val="24"/>
        </w:rPr>
        <w:t>Green finance</w:t>
      </w:r>
      <w:bookmarkEnd w:id="33"/>
    </w:p>
    <w:p w14:paraId="42C609EC" w14:textId="546A8086" w:rsidR="00B60BE5" w:rsidRDefault="00000000">
      <w:pPr>
        <w:spacing w:line="480" w:lineRule="auto"/>
        <w:jc w:val="both"/>
        <w:rPr>
          <w:rFonts w:ascii="Times New Roman" w:hAnsi="Times New Roman"/>
          <w:sz w:val="24"/>
          <w:szCs w:val="24"/>
        </w:rPr>
      </w:pPr>
      <w:r>
        <w:rPr>
          <w:rFonts w:ascii="Times New Roman" w:eastAsia="Times New Roman" w:hAnsi="Times New Roman" w:cs="Times New Roman"/>
          <w:kern w:val="0"/>
          <w:sz w:val="24"/>
          <w:szCs w:val="24"/>
          <w14:ligatures w14:val="none"/>
        </w:rPr>
        <w:t>Muigua (2024) defines green finance as financial flows from public, private, and non</w:t>
      </w:r>
      <w:r w:rsidR="003C47A3">
        <w:rPr>
          <w:rFonts w:ascii="Times New Roman" w:eastAsia="Times New Roman" w:hAnsi="Times New Roman" w:cs="Times New Roman"/>
          <w:kern w:val="0"/>
          <w:sz w:val="24"/>
          <w:szCs w:val="24"/>
          <w:lang w:val="en-US"/>
          <w14:ligatures w14:val="none"/>
        </w:rPr>
        <w:t>-</w:t>
      </w:r>
      <w:r>
        <w:rPr>
          <w:rFonts w:ascii="Times New Roman" w:eastAsia="Times New Roman" w:hAnsi="Times New Roman" w:cs="Times New Roman"/>
          <w:kern w:val="0"/>
          <w:sz w:val="24"/>
          <w:szCs w:val="24"/>
          <w14:ligatures w14:val="none"/>
        </w:rPr>
        <w:t>profit sectors directed toward sustainable development priorities through instruments such as green bonds and green credit. Similarly, Bylo (2025) conceptualizes green finance as a system of financial instruments and policies designed to support climate change mitigation, resource efficiency, and sustainable economic growth in emerging economies.</w:t>
      </w:r>
      <w:r>
        <w:rPr>
          <w:rFonts w:ascii="Times New Roman" w:eastAsia="Times New Roman" w:hAnsi="Times New Roman" w:cs="Times New Roman"/>
          <w:kern w:val="0"/>
          <w:sz w:val="24"/>
          <w:szCs w:val="24"/>
          <w14:ligatures w14:val="none"/>
        </w:rPr>
        <w:br/>
      </w:r>
      <w:r>
        <w:rPr>
          <w:rFonts w:ascii="Times New Roman" w:hAnsi="Times New Roman"/>
          <w:sz w:val="24"/>
          <w:szCs w:val="24"/>
        </w:rPr>
        <w:t xml:space="preserve">It encompasses the array of financial instruments, policies, and institutional arrangements designed to support environmentally beneficial projects while managing climate-related risks. In the banking sector, green finance has emerged as a strategic response to growing regulatory pressures, stakeholder expectations, and market opportunities associated with climate change mitigation and adaptation (Kiima, Wamitu and Wahome, 2025). For commercial banks, green finance manifests primarily through three key constructs: green bonds (funding environmental projects through debt capital markets), green credit (integrating environmental criteria into lending decisions), and carbon assets (managing emissions-related financial instruments). Mwanu (2021), in an institutional theory-grounded study of Kenyan banks, measured green finance development using indicators including number of green bonds issued, banks with </w:t>
      </w:r>
      <w:r>
        <w:rPr>
          <w:rFonts w:ascii="Times New Roman" w:hAnsi="Times New Roman"/>
          <w:sz w:val="24"/>
          <w:szCs w:val="24"/>
        </w:rPr>
        <w:lastRenderedPageBreak/>
        <w:t xml:space="preserve">environmental lending policies, total value of green instruments relative to banking sector assets, staff trained in environmental risk assessment, and compliance with Central Bank of Kenya green finance guidelines. Mungai, Sang and Maina (2025) measured sustainability </w:t>
      </w:r>
      <w:r w:rsidR="003C47A3">
        <w:rPr>
          <w:rFonts w:ascii="Times New Roman" w:hAnsi="Times New Roman"/>
          <w:sz w:val="24"/>
          <w:szCs w:val="24"/>
        </w:rPr>
        <w:t>practices, including</w:t>
      </w:r>
      <w:r>
        <w:rPr>
          <w:rFonts w:ascii="Times New Roman" w:hAnsi="Times New Roman"/>
          <w:sz w:val="24"/>
          <w:szCs w:val="24"/>
        </w:rPr>
        <w:t xml:space="preserve"> green finance </w:t>
      </w:r>
      <w:r w:rsidR="003C47A3">
        <w:rPr>
          <w:rFonts w:ascii="Times New Roman" w:hAnsi="Times New Roman"/>
          <w:sz w:val="24"/>
          <w:szCs w:val="24"/>
        </w:rPr>
        <w:t>adoption, through</w:t>
      </w:r>
      <w:r>
        <w:rPr>
          <w:rFonts w:ascii="Times New Roman" w:hAnsi="Times New Roman"/>
          <w:sz w:val="24"/>
          <w:szCs w:val="24"/>
        </w:rPr>
        <w:t xml:space="preserve"> a disclosure index based on annual report content analysis, capturing both presence and extent of environmental reporting across Kenyan commercial banks. This study will measure green finance as a composite second-order construct encompassing the three underlying dimensions of green bonds, green credit, and carbon assets, recognizing that banks may engage with these instruments at different stages of adoption and with varying levels of intensity (Kiima, Wamitu and Wahome, 2025).</w:t>
      </w:r>
    </w:p>
    <w:p w14:paraId="42777DEC" w14:textId="77777777" w:rsidR="00B60BE5" w:rsidRDefault="00000000">
      <w:pPr>
        <w:pStyle w:val="Heading4"/>
        <w:rPr>
          <w:rFonts w:ascii="Times New Roman" w:hAnsi="Times New Roman" w:cs="Times New Roman"/>
          <w:color w:val="auto"/>
          <w:sz w:val="24"/>
          <w:szCs w:val="24"/>
        </w:rPr>
      </w:pPr>
      <w:r>
        <w:rPr>
          <w:rFonts w:ascii="Times New Roman" w:hAnsi="Times New Roman" w:cs="Times New Roman"/>
          <w:color w:val="auto"/>
          <w:sz w:val="24"/>
          <w:szCs w:val="24"/>
          <w:lang w:val="en-US"/>
        </w:rPr>
        <w:t>Green Bonds</w:t>
      </w:r>
    </w:p>
    <w:p w14:paraId="7D26A2BE" w14:textId="46BF17ED"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Green bonds are debt instruments specifically issued to raise capital for climate-friendly environmental projects (Meo and Staniewski, 2025). According to the International Capital Market Association Green Bond Principles, green bonds are distinguished from conventional bonds by their explicit commitment to use proceeds exclusively for eligible green projects, which may include renewable energy, energy efficiency, clean transportation, sustainable water management, and climate change adaptation. The defining characteristic lies in their "use of proceeds" clause, which legally binds issuers to allocate funds toward predetermined environmental objectives (Wei, 2025). Globally, green bond measurement has evolved from simple issuance tracking to sophisticated impact assessment. Wei (2025) categorises measurement into three approaches: issuance-based measurement (total value and number of bonds issued), allocation-based measurement (tracking fund deployment to specific project categories), and impact-based measurement (quantifying environmental outcomes using methods such as the social cost of carbon approach). In the African context, Chilambe, Nguvi, Zulu, Jalango and Mundia (2024) measured green bonds by tracking volume of climate-aligned bonds issued by Eastern African entities, proportion of proceeds allocated to agriculture and </w:t>
      </w:r>
      <w:r>
        <w:rPr>
          <w:rFonts w:ascii="Times New Roman" w:hAnsi="Times New Roman"/>
          <w:sz w:val="24"/>
          <w:szCs w:val="24"/>
        </w:rPr>
        <w:lastRenderedPageBreak/>
        <w:t xml:space="preserve">climate adaptation, and alignment with Nationally Determined Contribution goals under the Paris Agreement. In Kenya, Mwanu (2021) measured green bonds using indicators including number of green bonds issued, total value of green bonds relative to banking sector assets, and compliance with Central Bank of Kenya green finance guidelines. Kiima, Wamitu and Wahome (2025) measured green bond oversight through a composite index capturing board-level environmental committees, existence of green finance policies, frequency of environmental reporting, and third-party verification of green claims. Based on this literature, this study will measure green bonds using three dimensions: (1) adoption and </w:t>
      </w:r>
      <w:r w:rsidR="003C47A3">
        <w:rPr>
          <w:rFonts w:ascii="Times New Roman" w:hAnsi="Times New Roman"/>
          <w:sz w:val="24"/>
          <w:szCs w:val="24"/>
        </w:rPr>
        <w:t>volume, whether</w:t>
      </w:r>
      <w:r>
        <w:rPr>
          <w:rFonts w:ascii="Times New Roman" w:hAnsi="Times New Roman"/>
          <w:sz w:val="24"/>
          <w:szCs w:val="24"/>
        </w:rPr>
        <w:t xml:space="preserve"> the bank has issued any green bonds (binary) and cumulative value of green bonds issued relative to total bank assets (Mwanu, 2021); (2) governance </w:t>
      </w:r>
      <w:r w:rsidR="003C47A3">
        <w:rPr>
          <w:rFonts w:ascii="Times New Roman" w:hAnsi="Times New Roman"/>
          <w:sz w:val="24"/>
          <w:szCs w:val="24"/>
        </w:rPr>
        <w:t>infrastructure, a</w:t>
      </w:r>
      <w:r>
        <w:rPr>
          <w:rFonts w:ascii="Times New Roman" w:hAnsi="Times New Roman"/>
          <w:sz w:val="24"/>
          <w:szCs w:val="24"/>
        </w:rPr>
        <w:t xml:space="preserve"> Green Bond Governance Index comprising existence of board-approved green bond framework, presence of dedicated green finance committee, use of external verification, and publication of annual green bond impact reports (Kiima, Wamitu and Wahome, 2025); and (3) allocation and </w:t>
      </w:r>
      <w:r w:rsidR="003C47A3">
        <w:rPr>
          <w:rFonts w:ascii="Times New Roman" w:hAnsi="Times New Roman"/>
          <w:sz w:val="24"/>
          <w:szCs w:val="24"/>
        </w:rPr>
        <w:t>impact, proportion</w:t>
      </w:r>
      <w:r>
        <w:rPr>
          <w:rFonts w:ascii="Times New Roman" w:hAnsi="Times New Roman"/>
          <w:sz w:val="24"/>
          <w:szCs w:val="24"/>
        </w:rPr>
        <w:t xml:space="preserve"> of green bond proceeds allocated to specific environmental categories and reported environmental outcomes such as tonnes of CO2 equivalent reduced per million shillings invested, where data permits (Wei, 2025).</w:t>
      </w:r>
    </w:p>
    <w:p w14:paraId="4E3E5553" w14:textId="77777777" w:rsidR="00B60BE5" w:rsidRDefault="00000000">
      <w:pPr>
        <w:pStyle w:val="Heading4"/>
        <w:rPr>
          <w:rFonts w:ascii="Times New Roman" w:hAnsi="Times New Roman" w:cs="Times New Roman"/>
          <w:color w:val="auto"/>
          <w:sz w:val="24"/>
          <w:szCs w:val="24"/>
        </w:rPr>
      </w:pPr>
      <w:r>
        <w:rPr>
          <w:rFonts w:ascii="Times New Roman" w:hAnsi="Times New Roman" w:cs="Times New Roman"/>
          <w:color w:val="auto"/>
          <w:sz w:val="24"/>
          <w:szCs w:val="24"/>
        </w:rPr>
        <w:t>Green Credit</w:t>
      </w:r>
    </w:p>
    <w:p w14:paraId="485C2632" w14:textId="30CB7D00"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Green credit refers to lending practices that integrate environmental criteria into credit assessment, approval, and monitoring processes (Al Frijat, Al-Msiedeen and Elamer, 2025). It encompasses both positive screening (favouring green projects) and negative screening (excluding polluting activities). Al Frijat, Al-Msiedeen and Elamer (2025) define green credit as "the provision of loans preferentially directed toward environmentally beneficial projects, coupled with the restriction or denial of credit to activities with significant negative environmental impacts." Globally, Al Frijat, Al-Msiedeen and Elamer (2025) conducted a comprehensive study of Jordanian banks measuring green credit through existence of formal </w:t>
      </w:r>
      <w:r>
        <w:rPr>
          <w:rFonts w:ascii="Times New Roman" w:hAnsi="Times New Roman"/>
          <w:sz w:val="24"/>
          <w:szCs w:val="24"/>
        </w:rPr>
        <w:lastRenderedPageBreak/>
        <w:t xml:space="preserve">green credit policies, proportion of loan portfolio classified as "green," training hours on environmental risk assessment for credit officers, and integration of climate risk into credit scoring models. In Eastern Africa, Chilambe, Nguvi, Zulu, Jalango and Mundia (2024) measured climate-related lending through existence of dedicated climate finance products, partnerships with multilateral climate funds, and participation in carbon market readiness programs. In Kenya, Mwanu (2021) measured green credit using indicators including banks with environmental lending policies, number of green loan products offered, and staff trained in environmental risk assessment. Kiima, Wamitu and Wahome (2025) incorporated green credit into their governance framework measuring integration of environmental criteria in lending decisions, environmental risk management systems, and disclosure of financed emissions. Mungai, Sang and Maina (2025) measured environmental lending through content analysis of annual reports capturing disclosures related to environmental credit practices. Based on this literature, this study will measure green credit using three dimensions: (1) policy </w:t>
      </w:r>
      <w:r w:rsidR="003C47A3">
        <w:rPr>
          <w:rFonts w:ascii="Times New Roman" w:hAnsi="Times New Roman"/>
          <w:sz w:val="24"/>
          <w:szCs w:val="24"/>
        </w:rPr>
        <w:t>framework, whether</w:t>
      </w:r>
      <w:r>
        <w:rPr>
          <w:rFonts w:ascii="Times New Roman" w:hAnsi="Times New Roman"/>
          <w:sz w:val="24"/>
          <w:szCs w:val="24"/>
        </w:rPr>
        <w:t xml:space="preserve"> the bank has a formal green credit policy document, defined criteria for classifying loans as "green," sector-specific environmental exclusion lists, and environmental risk assessment requirements for high-impact sectors, combined into a Green Credit Policy Index (Al Frijat, Al-Msiedeen and Elamer, 2025; Kiima, Wamitu and Wahome, 2025); (2) implementation </w:t>
      </w:r>
      <w:r w:rsidR="003C47A3">
        <w:rPr>
          <w:rFonts w:ascii="Times New Roman" w:hAnsi="Times New Roman"/>
          <w:sz w:val="24"/>
          <w:szCs w:val="24"/>
        </w:rPr>
        <w:t>intensity, proportion</w:t>
      </w:r>
      <w:r>
        <w:rPr>
          <w:rFonts w:ascii="Times New Roman" w:hAnsi="Times New Roman"/>
          <w:sz w:val="24"/>
          <w:szCs w:val="24"/>
        </w:rPr>
        <w:t xml:space="preserve"> of credit officers trained in environmental risk assessment, existence of environmental risk scoring in credit approval systems, monitoring mechanisms for verifying borrower environmental compliance, and internal reporting on green credit portfolio performance (Mwanu, 2021); and (3) portfolio </w:t>
      </w:r>
      <w:r w:rsidR="003C47A3">
        <w:rPr>
          <w:rFonts w:ascii="Times New Roman" w:hAnsi="Times New Roman"/>
          <w:sz w:val="24"/>
          <w:szCs w:val="24"/>
        </w:rPr>
        <w:t>composition, volume</w:t>
      </w:r>
      <w:r>
        <w:rPr>
          <w:rFonts w:ascii="Times New Roman" w:hAnsi="Times New Roman"/>
          <w:sz w:val="24"/>
          <w:szCs w:val="24"/>
        </w:rPr>
        <w:t xml:space="preserve"> and proportion of loan portfolio classified as "green" based on bank definitions, and sectoral exposure to environmentally sensitive industries where higher exposure to sensitive sectors indicates lower green credit performance (Al Frijat, Al-Msiedeen and Elamer, 2025).</w:t>
      </w:r>
    </w:p>
    <w:p w14:paraId="12322C3A" w14:textId="77777777" w:rsidR="00B60BE5" w:rsidRDefault="00000000">
      <w:pPr>
        <w:pStyle w:val="Heading4"/>
        <w:spacing w:line="480" w:lineRule="auto"/>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Carbon Assets  </w:t>
      </w:r>
    </w:p>
    <w:p w14:paraId="29D75B4E" w14:textId="26BFB7D2"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Carbon assets are defined as assets arising from carbon dioxide emission rights and emission reductions that can be traded in carbon markets (Wang, 2022). According to Zhang (2024), carbon assets encompass two primary categories: carbon emission allowances (allocated or purchased rights to emit specified quantities of greenhouse gases) and carbon credits (verified emission reductions from projects that can be sold in carbon markets). Liang, He, Wang, Zhang, Guo and Liu (2022) further elaborate that carbon assets include low-carbon technologies, low-carbon equipment, emission rights, and certified voluntary emission reductions from carbon reduction projects. Globally, Zhang (2024) measured carbon asset management among Chinese listed companies through participation in carbon trading markets, volume of carbon assets held (emission allowances and certified emission reductions), existence of dedicated carbon management teams, and carbon disclosure practices. Wang (2022) identifies three primary valuation approaches: cost approach (valuing based on acquisition or development costs), market approach (using observable carbon market prices), and income approach (discounting expected future cash flows from carbon assets). In Eastern Africa, Chilambe, Nguvi, Zulu, Jalango and Mundia (2024) measured carbon market participation through number of Clean Development Mechanism projects registered, volume of certified emission reductions generated, participation in voluntary carbon markets, and institutional readiness for carbon trading, finding that while Kenya has significant carbon asset potential, actual carbon asset management by commercial banks remains nascent. Kenyan banking studies such as Kiima, Wamitu and Wahome (2025) and Mungai, Sang and Maina (2025) focus on green finance broadly without disaggregating carbon assets as a distinct construct, reflecting the emerging nature of this area. Based on this literature, this study will adopt a developmental measurement approach capturing: (1) institutional </w:t>
      </w:r>
      <w:r w:rsidR="003C47A3">
        <w:rPr>
          <w:rFonts w:ascii="Times New Roman" w:hAnsi="Times New Roman"/>
          <w:sz w:val="24"/>
          <w:szCs w:val="24"/>
        </w:rPr>
        <w:t>readiness, whether</w:t>
      </w:r>
      <w:r>
        <w:rPr>
          <w:rFonts w:ascii="Times New Roman" w:hAnsi="Times New Roman"/>
          <w:sz w:val="24"/>
          <w:szCs w:val="24"/>
        </w:rPr>
        <w:t xml:space="preserve"> the bank has a formal carbon asset management policy, existence of staff with carbon market expertise, partnerships with carbon </w:t>
      </w:r>
      <w:r>
        <w:rPr>
          <w:rFonts w:ascii="Times New Roman" w:hAnsi="Times New Roman"/>
          <w:sz w:val="24"/>
          <w:szCs w:val="24"/>
        </w:rPr>
        <w:lastRenderedPageBreak/>
        <w:t xml:space="preserve">project developers, and board-level oversight of carbon-related activities, combined into a Carbon Asset Readiness Index (Zhang, 2024); (2) market </w:t>
      </w:r>
      <w:r w:rsidR="003C47A3">
        <w:rPr>
          <w:rFonts w:ascii="Times New Roman" w:hAnsi="Times New Roman"/>
          <w:sz w:val="24"/>
          <w:szCs w:val="24"/>
        </w:rPr>
        <w:t>participation, whether</w:t>
      </w:r>
      <w:r>
        <w:rPr>
          <w:rFonts w:ascii="Times New Roman" w:hAnsi="Times New Roman"/>
          <w:sz w:val="24"/>
          <w:szCs w:val="24"/>
        </w:rPr>
        <w:t xml:space="preserve"> the bank holds carbon assets on its balance sheet, finances client carbon reduction projects generating carbon assets, participates in carbon trading, or accepts carbon assets as loan collateral; and (3) scale of </w:t>
      </w:r>
      <w:r w:rsidR="003C47A3">
        <w:rPr>
          <w:rFonts w:ascii="Times New Roman" w:hAnsi="Times New Roman"/>
          <w:sz w:val="24"/>
          <w:szCs w:val="24"/>
        </w:rPr>
        <w:t>activity, where</w:t>
      </w:r>
      <w:r>
        <w:rPr>
          <w:rFonts w:ascii="Times New Roman" w:hAnsi="Times New Roman"/>
          <w:sz w:val="24"/>
          <w:szCs w:val="24"/>
        </w:rPr>
        <w:t xml:space="preserve"> data permits, volume of carbon assets held (tonnes CO2 equivalent), value of carbon assets relative to total assets, and number of carbon-linked financing transactions. Given limited public disclosure in Kenya, measurement will rely on annual reports, sustainability reports, and potentially structured questionnaires to bank sustainability officers, capturing variation along the readiness-to-implementation continuum (Chilambe, Nguvi, Zulu, Jalango and Mundia, 2024).</w:t>
      </w:r>
    </w:p>
    <w:p w14:paraId="45D67596" w14:textId="77777777" w:rsidR="00B60BE5" w:rsidRDefault="00000000">
      <w:pPr>
        <w:pStyle w:val="Heading3"/>
        <w:rPr>
          <w:rStyle w:val="Strong"/>
          <w:rFonts w:ascii="Times New Roman" w:hAnsi="Times New Roman" w:cs="Times New Roman"/>
          <w:b w:val="0"/>
          <w:bCs w:val="0"/>
          <w:i/>
          <w:iCs/>
          <w:color w:val="auto"/>
          <w:sz w:val="24"/>
          <w:szCs w:val="24"/>
        </w:rPr>
      </w:pPr>
      <w:bookmarkStart w:id="34" w:name="_Toc222210210"/>
      <w:r>
        <w:rPr>
          <w:rStyle w:val="Strong"/>
          <w:rFonts w:ascii="Times New Roman" w:hAnsi="Times New Roman" w:cs="Times New Roman"/>
          <w:b w:val="0"/>
          <w:bCs w:val="0"/>
          <w:i/>
          <w:iCs/>
          <w:color w:val="auto"/>
          <w:sz w:val="24"/>
          <w:szCs w:val="24"/>
        </w:rPr>
        <w:t>Firm Size</w:t>
      </w:r>
      <w:bookmarkEnd w:id="34"/>
    </w:p>
    <w:p w14:paraId="4F69C273" w14:textId="77777777"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Firm size refers to the scale or magnitude of a business entity's operations, typically measured using indicators such as total assets, total revenue, number of employees, or market capitalization (Farooq and Jibran, 2017). In banking literature, firm size is conventionally operationalized as the natural logarithm of total assets to normalize distribution and reduce heteroscedasticity (Kiima, Wamitu and Wahome, 2025). As a moderating variable, firm size is theorized to influence the strength or direction of the relationship between independent and dependent variables (Gachenga, Muthoni and Metto, 2025). Globally, Zhang and Zhang (2025) examined the impact of green finance policies on corporate ESG performance using Chinese data, identifying a firm size threshold effect revealing that smaller enterprises benefit more from green finance policies, whereas larger firms may face transition challenges. Farooq and Jibran (2017), studying Pakistani firms, found that the leverage-performance relationship was negative for all firms but losses were more prominent for small firms, demonstrating how size fundamentally alters strategic financial relationships. Yao, Umar, Mirza and Qin (2025), in their European SME study, revealed that firm size moderates the impact of environmental factors on </w:t>
      </w:r>
      <w:r>
        <w:rPr>
          <w:rFonts w:ascii="Times New Roman" w:hAnsi="Times New Roman"/>
          <w:sz w:val="24"/>
          <w:szCs w:val="24"/>
        </w:rPr>
        <w:lastRenderedPageBreak/>
        <w:t>financial gearing, highlighting that size shapes how environmental performance translates into financial structure decisions.</w:t>
      </w:r>
    </w:p>
    <w:p w14:paraId="27559025" w14:textId="77777777" w:rsidR="00B60BE5" w:rsidRDefault="00000000">
      <w:pPr>
        <w:spacing w:line="480" w:lineRule="auto"/>
        <w:jc w:val="both"/>
        <w:rPr>
          <w:rFonts w:ascii="Times New Roman" w:hAnsi="Times New Roman" w:cs="Times New Roman"/>
          <w:sz w:val="24"/>
          <w:szCs w:val="24"/>
        </w:rPr>
      </w:pPr>
      <w:r>
        <w:rPr>
          <w:rFonts w:ascii="Times New Roman" w:hAnsi="Times New Roman"/>
          <w:sz w:val="24"/>
          <w:szCs w:val="24"/>
        </w:rPr>
        <w:t>In the Kenyan context, Kiprop (2025) conducted a comprehensive study on environmental risk and financial performance of commercial banks, explicitly examining the moderating effect of firm size. Using panel data from 32 banks for 2016-2021, findings showed that firm size significantly moderates the relationship between environmental risk and financial performance, with branch numbers showing significant moderating effects varying across bank tiers. Mungai, Sang and Maina (2025) demonstrated that firm size significantly influences the extent to which sustainability practices translate into financial outcomes, with larger banks exhibiting different patterns compared to smaller institutions. Gachenga, Muthoni and Metto (2025) found that firm size moderates the connection between credit management practices and financial sustainability of deposit-taking SACCOs in Kenya. Based on this literature, this study will measure firm size using the natural logarithm of total assets, following established practice in Kenyan banking research (Kiima, Wamitu and Wahome, 2025; Mungai, Sang and Maina, 2025). The moderating effect will be tested through interaction terms between firm size and each green finance construct (green bonds, green credit, and carbon assets) in regression models predicting financial performance, following the methodological approach of Gachenga, Muthoni and Metto (2025).</w:t>
      </w:r>
    </w:p>
    <w:p w14:paraId="1887912B" w14:textId="77777777" w:rsidR="00B60BE5" w:rsidRDefault="00000000">
      <w:pPr>
        <w:pStyle w:val="Heading3"/>
        <w:rPr>
          <w:rFonts w:ascii="Times New Roman" w:hAnsi="Times New Roman" w:cs="Times New Roman"/>
          <w:b/>
          <w:bCs/>
          <w:i/>
          <w:iCs/>
          <w:color w:val="auto"/>
          <w:sz w:val="24"/>
          <w:szCs w:val="24"/>
        </w:rPr>
      </w:pPr>
      <w:bookmarkStart w:id="35" w:name="_Toc222210211"/>
      <w:r>
        <w:rPr>
          <w:rStyle w:val="Strong"/>
          <w:rFonts w:ascii="Times New Roman" w:hAnsi="Times New Roman" w:cs="Times New Roman"/>
          <w:b w:val="0"/>
          <w:bCs w:val="0"/>
          <w:i/>
          <w:iCs/>
          <w:color w:val="auto"/>
          <w:sz w:val="24"/>
          <w:szCs w:val="24"/>
        </w:rPr>
        <w:t>Financial performance in banking</w:t>
      </w:r>
      <w:bookmarkEnd w:id="35"/>
    </w:p>
    <w:p w14:paraId="23D8DB2A" w14:textId="77777777"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Financial performance in banking refers to the extent to which a bank achieves its monetary and economic goals, reflected through profitability, efficiency, and shareholder value creation (Kiima, Wamitu and Wahome, 2025). Globally, Al Frijat, Al-Msiedeen and Elamer (2025) measured banking financial performance in their Jordanian study using return on assets (ROA), return on equity (ROE), and net interest margin (NIM), finding that green credit policies positively influenced these indicators with climate change practices reinforcing the effect. In </w:t>
      </w:r>
      <w:r>
        <w:rPr>
          <w:rFonts w:ascii="Times New Roman" w:hAnsi="Times New Roman"/>
          <w:sz w:val="24"/>
          <w:szCs w:val="24"/>
        </w:rPr>
        <w:lastRenderedPageBreak/>
        <w:t>the African context, Kissa and Lotto (2025) examined Tanzanian commercial banks, measuring financial performance through ROA, ROE, and earnings per share while investigating how digitalization moderates the relationship between sustainability practices and profitability outcomes. In Kenya, Kiima, Wamitu and Wahome (2025) measured financial performance of Nairobi County commercial banks using ROA and ROE drawn from audited financial statements, finding that green finance governance practices explained fifty-nine percent of performance variance. Mungai, Sang and Maina (2025) similarly employed ROA, ROE, and profit margins in their sustainability-performance study. Kiprop (2025), in his study of environmental risk and financial performance, measured performance using ROA and ROE across 32 Kenyan banks from 2016 to 2021, with linear mixed effects regression revealing relationships between environmental factors and bank profitability. Following established practice in Kenyan banking research, this study will measure financial performance using Return on Assets (ROA) calculated as net income divided by total assets (Kiima, Wamitu and Wahome, 2025; Mungai, Sang and Maina, 2025). Data will be extracted from audited annual financial statements of commercial banks operating in Kenya over the study period.</w:t>
      </w:r>
    </w:p>
    <w:p w14:paraId="515CAB1B" w14:textId="77777777" w:rsidR="00B60BE5" w:rsidRDefault="00000000">
      <w:pPr>
        <w:pStyle w:val="Heading2"/>
        <w:spacing w:line="480" w:lineRule="auto"/>
        <w:rPr>
          <w:rFonts w:ascii="Times New Roman" w:eastAsia="Times New Roman" w:hAnsi="Times New Roman" w:cs="Times New Roman"/>
          <w:b/>
          <w:bCs/>
          <w:color w:val="auto"/>
          <w:sz w:val="24"/>
          <w:szCs w:val="24"/>
        </w:rPr>
      </w:pPr>
      <w:bookmarkStart w:id="36" w:name="_Toc222210212"/>
      <w:r>
        <w:rPr>
          <w:rFonts w:ascii="Times New Roman" w:eastAsia="Times New Roman" w:hAnsi="Times New Roman" w:cs="Times New Roman"/>
          <w:b/>
          <w:bCs/>
          <w:color w:val="auto"/>
          <w:sz w:val="24"/>
          <w:szCs w:val="24"/>
        </w:rPr>
        <w:t>Empirical Review</w:t>
      </w:r>
      <w:bookmarkEnd w:id="36"/>
    </w:p>
    <w:p w14:paraId="6B1D0445"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This section presents a review of recent empirical studies related to the constructs of this study. The review aims to highlight key findings, identify gaps, and establish the linkage between previous studies and the study objectives.</w:t>
      </w:r>
    </w:p>
    <w:p w14:paraId="5339C69F" w14:textId="77777777" w:rsidR="00B60BE5" w:rsidRDefault="00000000">
      <w:pPr>
        <w:pStyle w:val="Heading3"/>
        <w:rPr>
          <w:rFonts w:ascii="Times New Roman" w:hAnsi="Times New Roman" w:cs="Times New Roman"/>
          <w:b/>
          <w:bCs/>
          <w:color w:val="auto"/>
          <w:sz w:val="24"/>
          <w:szCs w:val="24"/>
        </w:rPr>
      </w:pPr>
      <w:bookmarkStart w:id="37" w:name="_Toc222210213"/>
      <w:r>
        <w:rPr>
          <w:rFonts w:ascii="Times New Roman" w:hAnsi="Times New Roman" w:cs="Times New Roman"/>
          <w:i/>
          <w:iCs/>
          <w:color w:val="auto"/>
          <w:sz w:val="24"/>
          <w:szCs w:val="24"/>
        </w:rPr>
        <w:t>Green Finance and Financial Performance</w:t>
      </w:r>
      <w:bookmarkEnd w:id="37"/>
    </w:p>
    <w:p w14:paraId="6A85AFD4" w14:textId="77777777"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Globally, empirical evidence on the relationship between green finance and financial performance presents a complex and often contradictory picture. Salguero (2025), synthesizing 22 systematic reviews, revealed that the impact of sustainable finance on profitability remains ambiguous, with an emerging consensus on a modest negative premium for green bonds while broader profitability effects remain inconclusive. Mamo, Hassan and Ahmad (2025) </w:t>
      </w:r>
      <w:r>
        <w:rPr>
          <w:rFonts w:ascii="Times New Roman" w:hAnsi="Times New Roman"/>
          <w:sz w:val="24"/>
          <w:szCs w:val="24"/>
        </w:rPr>
        <w:lastRenderedPageBreak/>
        <w:t>established an overall positive but statistically insignificant effect size for green banking activities on profitability, implying that benefits do not consistently translate into financial outcomes. Zhou, Zhang and Wen (2024) paradoxically found a negative impact of green loan balances on net profits in China, while Li and Wu (2025) established significant positive effects through the income mechanism. Huang, Zhang and Guo (2025) observed that green credit boosted net interest income, and Pradnyani, Astiti and Suardana (2024) concluded sustainable banking practices improve performance by reducing credit risk exposure. Xue, Zhang and Li (2024) documented significant U-shaped relationships between green investment and financial performance, while Wu, Yang and Chen (2023) found inverted U-shaped patterns where benefits diminish beyond optimal thresholds. In Africa, Kissa and Lotto (2025) examined Tanzanian commercial banks, finding that digitalization moderates the relationship between sustainability practices and profitability. Chilambe, Nguvi, Zulu, Jalango and Mundia (2024) documented that African green finance measurement faces challenges including limited verification infrastructure and inconsistent reporting standards.</w:t>
      </w:r>
    </w:p>
    <w:p w14:paraId="25B751B3" w14:textId="67E45DAA"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In Kenya, empirical evidence demonstrates consistent positive relationships between green finance and bank performance. Kiima, Wamitu and Wahome (2025) conducted a comprehensive study of Nairobi County commercial banks, finding that green finance governance practices explained fifty-nine percent of the variance in financial performance, with regression confirming that a one-unit increase in green governance leads to significant performance improvement (β = 0.704, p &lt; 0.05). Mungai, Sang and Maina (2025) found that sustainability practices significantly influence bank performance with corporate reputation serving as a full mediator, while their complementary study revealed that firm size significantly influences the extent to which sustainability practices translate into financial outcomes. Kiprop (2025) </w:t>
      </w:r>
      <w:r w:rsidR="003C47A3">
        <w:rPr>
          <w:rFonts w:ascii="Times New Roman" w:hAnsi="Times New Roman"/>
          <w:sz w:val="24"/>
          <w:szCs w:val="24"/>
        </w:rPr>
        <w:t>analysed</w:t>
      </w:r>
      <w:r>
        <w:rPr>
          <w:rFonts w:ascii="Times New Roman" w:hAnsi="Times New Roman"/>
          <w:sz w:val="24"/>
          <w:szCs w:val="24"/>
        </w:rPr>
        <w:t xml:space="preserve"> panel data from 32 Kenyan banks, demonstrating that firm size significantly moderates the relationship between environmental risk and financial performance, with branch </w:t>
      </w:r>
      <w:r>
        <w:rPr>
          <w:rFonts w:ascii="Times New Roman" w:hAnsi="Times New Roman"/>
          <w:sz w:val="24"/>
          <w:szCs w:val="24"/>
        </w:rPr>
        <w:lastRenderedPageBreak/>
        <w:t xml:space="preserve">numbers showing significant moderating effects varying across bank tiers. Shianda and Jemaiyo (2025) found </w:t>
      </w:r>
      <w:r w:rsidR="003C47A3">
        <w:rPr>
          <w:rFonts w:ascii="Times New Roman" w:hAnsi="Times New Roman"/>
          <w:sz w:val="24"/>
          <w:szCs w:val="24"/>
        </w:rPr>
        <w:t>favourable</w:t>
      </w:r>
      <w:r>
        <w:rPr>
          <w:rFonts w:ascii="Times New Roman" w:hAnsi="Times New Roman"/>
          <w:sz w:val="24"/>
          <w:szCs w:val="24"/>
        </w:rPr>
        <w:t xml:space="preserve"> relationships between green financing initiatives and enhanced financial performance, highlighting corporate governance as a mediating mechanism. The UCW study (2025) established that ESG-driven finance significantly improved bank asset quality (B = 0.462, p &lt; 0.001) through reduced default rates. Mwanu (2021) found that regulatory guidance from the Central Bank of Kenya significantly influenced green finance adoption, with 76.3% of changes in green finance development resulting from banking institution initiatives. Collectively, Kenyan evidence confirms positive relationships between green finance practices and bank performance, with governance, reputation, and firm size emerging as critical mediating and moderating factors.</w:t>
      </w:r>
    </w:p>
    <w:p w14:paraId="04C61945" w14:textId="77777777" w:rsidR="00B60BE5" w:rsidRDefault="00000000">
      <w:pPr>
        <w:pStyle w:val="Heading3"/>
        <w:rPr>
          <w:rFonts w:ascii="Times New Roman" w:hAnsi="Times New Roman" w:cs="Times New Roman"/>
          <w:b/>
          <w:bCs/>
          <w:color w:val="auto"/>
          <w:sz w:val="24"/>
          <w:szCs w:val="24"/>
        </w:rPr>
      </w:pPr>
      <w:bookmarkStart w:id="38" w:name="_Toc222210214"/>
      <w:r>
        <w:rPr>
          <w:rFonts w:ascii="Times New Roman" w:hAnsi="Times New Roman" w:cs="Times New Roman"/>
          <w:i/>
          <w:iCs/>
          <w:color w:val="auto"/>
          <w:sz w:val="24"/>
          <w:szCs w:val="24"/>
        </w:rPr>
        <w:t>Firm size as a moderator</w:t>
      </w:r>
      <w:bookmarkEnd w:id="38"/>
    </w:p>
    <w:p w14:paraId="3EC42C5B" w14:textId="77777777"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Globally, empirical evidence demonstrates that firm size significantly moderates the relationship between environmental practices and financial performance, though the direction and magnitude of this effect vary across contexts. Postiglione, Carini and Falini (2025), in their study of ESG performance and corporate survival, examined the moderating role of firm size and found that larger firms face diminishing returns from governance-related gains, suggesting that the benefits of sustainability practices weaken as organizations grow in scale. The meta-analytic review by INFONA (2025) synthesized research on corporate environmental performance and financial performance, revealing that small firms benefit from environmental performance as much as or more than large firms, indicating that size-based resource advantages do not necessarily translate into superior environmental-financial returns. Feng, Ma and Wu (2025) investigated ESG performance and corporate innovation under the moderating effect of firm size, finding that size significantly conditions how environmental practices translate into innovative outcomes that drive financial performance. Iqbal, Suzan and Mulia (2025) examined the moderating role of firm size on the relationship between environmental </w:t>
      </w:r>
      <w:r>
        <w:rPr>
          <w:rFonts w:ascii="Times New Roman" w:hAnsi="Times New Roman"/>
          <w:sz w:val="24"/>
          <w:szCs w:val="24"/>
        </w:rPr>
        <w:lastRenderedPageBreak/>
        <w:t>performance and financial performance in Indonesian consumer non-cyclicals firms, finding that larger firms tend to weaken the positive association connecting sustainability performance to corporate earnings. This finding aligns with the broader global evidence that while environmental performance positively influences financial outcomes, firm size negatively moderates this relationship, meaning the effectiveness of sustainability efforts varies inversely with organizational scale.</w:t>
      </w:r>
    </w:p>
    <w:p w14:paraId="06E6730F" w14:textId="3B87EF82" w:rsidR="00B60BE5" w:rsidRDefault="00000000">
      <w:pPr>
        <w:spacing w:line="480" w:lineRule="auto"/>
        <w:jc w:val="both"/>
        <w:rPr>
          <w:rFonts w:ascii="Times New Roman" w:hAnsi="Times New Roman"/>
          <w:sz w:val="24"/>
          <w:szCs w:val="24"/>
        </w:rPr>
      </w:pPr>
      <w:r>
        <w:rPr>
          <w:rFonts w:ascii="Times New Roman" w:hAnsi="Times New Roman"/>
          <w:sz w:val="24"/>
          <w:szCs w:val="24"/>
        </w:rPr>
        <w:t xml:space="preserve">In the African and Kenyan contexts, rigorous empirical studies have examined the moderating effect of firm size on environmental and green finance relationships. Kiprop (2025) conducted a comprehensive doctoral study on environmental risk and financial performance of commercial banks in Kenya, </w:t>
      </w:r>
      <w:r w:rsidR="003C47A3">
        <w:rPr>
          <w:rFonts w:ascii="Times New Roman" w:hAnsi="Times New Roman"/>
          <w:sz w:val="24"/>
          <w:szCs w:val="24"/>
        </w:rPr>
        <w:t>analysing</w:t>
      </w:r>
      <w:r>
        <w:rPr>
          <w:rFonts w:ascii="Times New Roman" w:hAnsi="Times New Roman"/>
          <w:sz w:val="24"/>
          <w:szCs w:val="24"/>
        </w:rPr>
        <w:t xml:space="preserve"> panel data from 32 purposively sampled commercial banks for the years 2016 to 2021 using linear mixed effects multiple regression. The findings revealed that firm size significantly moderates the relationship between environmental risk and financial performance, with the number of branches showing significant moderating effects varying across bank tiers. Specifically, in tier 3 banks compared to tier 1, a higher number of branches negatively affected ROA (beta: -0.22, 95% CI: -0.31 to -0.14, p-value: &lt;0.01), demonstrating that the environmental risk-performance relationship is conditioned by bank size characteristics. Njuguna, Mwangi and Waweru (2025) investigated the moderating effect of bank size on the relationship between Environmental, Social, and Governance (ESG) practices and the financial performance of listed commercial banks in Africa. Using panel data from fifteen banks across South Africa, Egypt, and Morocco over ten years (2013–2022) with fixed effects regression, their baseline moderation model showed that environmental score (β = 0.0001823, p = 0.005) and governance score (β = 0.0001298, p &lt; 0.001) had significant positive effects on ROA. Crucially, in the extended interaction model, the governance × size interaction was significant and negative (β = -0.0000048, p = 0.003), suggesting that the profitability benefits of governance weaken in larger banks, with the interaction model explaining 59.6% </w:t>
      </w:r>
      <w:r>
        <w:rPr>
          <w:rFonts w:ascii="Times New Roman" w:hAnsi="Times New Roman"/>
          <w:sz w:val="24"/>
          <w:szCs w:val="24"/>
        </w:rPr>
        <w:lastRenderedPageBreak/>
        <w:t>of profitability variation (R² overall = 0.5957). Arodi (2023) examined funding sources, competitiveness, firm size and performance of commercial banks in Kenya, finding that bank size moderates the relationship between funding sources and performance, but only when customer deposits are used as a funding source. Ishmail (2024) investigated financial risk, firm size and financial performance of microfinance banks in Kenya, while the JKUAT study (2024) on strategic drivers and agency banking performance found that firm size significantly moderates the relationship between strategic drivers and agency banking performance in commercial banks. Collectively, these studies provide robust empirical evidence that firm size plays a critical moderating role in how environmental, governance, and financial practices translate into bank performance outcomes, with the consistent finding that larger banks face diminishing returns from sustainability and governance initiatives compared to their smaller counterparts.</w:t>
      </w:r>
    </w:p>
    <w:p w14:paraId="51D8AB50" w14:textId="77777777" w:rsidR="00B60BE5" w:rsidRDefault="00B60BE5">
      <w:pPr>
        <w:rPr>
          <w:rFonts w:ascii="Times New Roman" w:hAnsi="Times New Roman"/>
          <w:sz w:val="24"/>
          <w:szCs w:val="24"/>
        </w:rPr>
      </w:pPr>
    </w:p>
    <w:p w14:paraId="003103FE" w14:textId="77777777" w:rsidR="00B60BE5" w:rsidRDefault="00B60BE5">
      <w:pPr>
        <w:rPr>
          <w:rFonts w:ascii="Times New Roman" w:hAnsi="Times New Roman"/>
          <w:sz w:val="24"/>
          <w:szCs w:val="24"/>
        </w:rPr>
      </w:pPr>
    </w:p>
    <w:p w14:paraId="7372D846" w14:textId="77777777" w:rsidR="00B60BE5" w:rsidRDefault="00B60BE5">
      <w:pPr>
        <w:rPr>
          <w:rFonts w:ascii="Times New Roman" w:hAnsi="Times New Roman"/>
          <w:sz w:val="24"/>
          <w:szCs w:val="24"/>
        </w:rPr>
      </w:pPr>
    </w:p>
    <w:p w14:paraId="17DFEDB2" w14:textId="77777777" w:rsidR="00B60BE5" w:rsidRDefault="00B60BE5">
      <w:pPr>
        <w:rPr>
          <w:rFonts w:ascii="Times New Roman" w:hAnsi="Times New Roman"/>
          <w:sz w:val="24"/>
          <w:szCs w:val="24"/>
        </w:rPr>
      </w:pPr>
    </w:p>
    <w:p w14:paraId="04AE75B2" w14:textId="77777777" w:rsidR="00B60BE5" w:rsidRDefault="00B60BE5">
      <w:pPr>
        <w:rPr>
          <w:rFonts w:ascii="Times New Roman" w:hAnsi="Times New Roman"/>
          <w:sz w:val="24"/>
          <w:szCs w:val="24"/>
        </w:rPr>
      </w:pPr>
    </w:p>
    <w:p w14:paraId="33E5F1B3" w14:textId="77777777" w:rsidR="00B60BE5" w:rsidRDefault="00B60BE5">
      <w:pPr>
        <w:rPr>
          <w:rFonts w:ascii="Times New Roman" w:hAnsi="Times New Roman"/>
          <w:sz w:val="24"/>
          <w:szCs w:val="24"/>
        </w:rPr>
      </w:pPr>
    </w:p>
    <w:p w14:paraId="1776372C" w14:textId="77777777" w:rsidR="00B60BE5" w:rsidRDefault="00B60BE5">
      <w:pPr>
        <w:rPr>
          <w:rFonts w:ascii="Times New Roman" w:hAnsi="Times New Roman"/>
          <w:sz w:val="24"/>
          <w:szCs w:val="24"/>
        </w:rPr>
      </w:pPr>
    </w:p>
    <w:p w14:paraId="3CBF4B2B" w14:textId="77777777" w:rsidR="00B11B57" w:rsidRDefault="00B11B57">
      <w:pPr>
        <w:rPr>
          <w:rFonts w:ascii="Times New Roman" w:hAnsi="Times New Roman"/>
          <w:sz w:val="24"/>
          <w:szCs w:val="24"/>
        </w:rPr>
      </w:pPr>
    </w:p>
    <w:p w14:paraId="314AB13D" w14:textId="77777777" w:rsidR="00B11B57" w:rsidRDefault="00B11B57">
      <w:pPr>
        <w:rPr>
          <w:rFonts w:ascii="Times New Roman" w:hAnsi="Times New Roman"/>
          <w:sz w:val="24"/>
          <w:szCs w:val="24"/>
        </w:rPr>
      </w:pPr>
    </w:p>
    <w:p w14:paraId="1C0A7C71" w14:textId="77777777" w:rsidR="00B11B57" w:rsidRDefault="00B11B57">
      <w:pPr>
        <w:rPr>
          <w:rFonts w:ascii="Times New Roman" w:hAnsi="Times New Roman"/>
          <w:sz w:val="24"/>
          <w:szCs w:val="24"/>
        </w:rPr>
      </w:pPr>
    </w:p>
    <w:p w14:paraId="251C3026" w14:textId="77777777" w:rsidR="00B11B57" w:rsidRDefault="00B11B57">
      <w:pPr>
        <w:rPr>
          <w:rFonts w:ascii="Times New Roman" w:hAnsi="Times New Roman"/>
          <w:sz w:val="24"/>
          <w:szCs w:val="24"/>
        </w:rPr>
      </w:pPr>
    </w:p>
    <w:p w14:paraId="2D2F4FFA" w14:textId="77777777" w:rsidR="00B60BE5" w:rsidRDefault="00B60BE5">
      <w:pPr>
        <w:rPr>
          <w:rFonts w:ascii="Times New Roman" w:hAnsi="Times New Roman"/>
          <w:sz w:val="24"/>
          <w:szCs w:val="24"/>
        </w:rPr>
      </w:pPr>
    </w:p>
    <w:p w14:paraId="0B1BFE1E" w14:textId="77777777" w:rsidR="00B60BE5" w:rsidRDefault="00B60BE5">
      <w:pPr>
        <w:rPr>
          <w:rFonts w:ascii="Times New Roman" w:hAnsi="Times New Roman"/>
          <w:sz w:val="24"/>
          <w:szCs w:val="24"/>
        </w:rPr>
      </w:pPr>
    </w:p>
    <w:p w14:paraId="4BF085A3" w14:textId="77777777" w:rsidR="00B60BE5" w:rsidRDefault="00000000">
      <w:pPr>
        <w:pStyle w:val="Heading2"/>
        <w:spacing w:line="480" w:lineRule="auto"/>
        <w:rPr>
          <w:rFonts w:ascii="Times New Roman" w:eastAsia="Times New Roman" w:hAnsi="Times New Roman" w:cs="Times New Roman"/>
          <w:b/>
          <w:bCs/>
          <w:color w:val="auto"/>
          <w:sz w:val="24"/>
          <w:szCs w:val="24"/>
        </w:rPr>
      </w:pPr>
      <w:bookmarkStart w:id="39" w:name="_Toc222210215"/>
      <w:r>
        <w:rPr>
          <w:rFonts w:ascii="Times New Roman" w:eastAsia="Times New Roman" w:hAnsi="Times New Roman" w:cs="Times New Roman"/>
          <w:b/>
          <w:bCs/>
          <w:color w:val="auto"/>
          <w:sz w:val="24"/>
          <w:szCs w:val="24"/>
        </w:rPr>
        <w:lastRenderedPageBreak/>
        <w:t>Summary and research gaps</w:t>
      </w:r>
      <w:bookmarkEnd w:id="39"/>
    </w:p>
    <w:tbl>
      <w:tblPr>
        <w:tblStyle w:val="TableGrid"/>
        <w:tblpPr w:leftFromText="180" w:rightFromText="180" w:vertAnchor="text" w:horzAnchor="page" w:tblpX="833" w:tblpY="609"/>
        <w:tblOverlap w:val="never"/>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2410"/>
        <w:gridCol w:w="1985"/>
        <w:gridCol w:w="2967"/>
        <w:gridCol w:w="2136"/>
      </w:tblGrid>
      <w:tr w:rsidR="00B60BE5" w:rsidRPr="00B11B57" w14:paraId="099C0EDB" w14:textId="77777777" w:rsidTr="00B11B57">
        <w:trPr>
          <w:trHeight w:val="274"/>
        </w:trPr>
        <w:tc>
          <w:tcPr>
            <w:tcW w:w="1134" w:type="dxa"/>
            <w:tcBorders>
              <w:top w:val="single" w:sz="4" w:space="0" w:color="auto"/>
              <w:bottom w:val="single" w:sz="4" w:space="0" w:color="auto"/>
            </w:tcBorders>
            <w:vAlign w:val="center"/>
          </w:tcPr>
          <w:p w14:paraId="654395A7" w14:textId="77777777" w:rsidR="00B60BE5" w:rsidRPr="00B11B57" w:rsidRDefault="00000000">
            <w:pPr>
              <w:spacing w:line="250" w:lineRule="atLeast"/>
              <w:rPr>
                <w:rFonts w:ascii="Times New Roman" w:hAnsi="Times New Roman" w:cs="Times New Roman"/>
                <w:b/>
                <w:bCs/>
                <w:sz w:val="20"/>
                <w:szCs w:val="20"/>
              </w:rPr>
            </w:pPr>
            <w:r w:rsidRPr="00B11B57">
              <w:rPr>
                <w:rStyle w:val="Strong"/>
                <w:rFonts w:ascii="Times New Roman" w:eastAsia="Segoe UI" w:hAnsi="Times New Roman" w:cs="Times New Roman"/>
                <w:color w:val="0F1115"/>
                <w:kern w:val="0"/>
                <w:sz w:val="20"/>
                <w:szCs w:val="20"/>
                <w:lang w:val="en-US" w:eastAsia="zh-CN" w:bidi="ar"/>
              </w:rPr>
              <w:t>Objective</w:t>
            </w:r>
          </w:p>
        </w:tc>
        <w:tc>
          <w:tcPr>
            <w:tcW w:w="2410" w:type="dxa"/>
            <w:tcBorders>
              <w:top w:val="single" w:sz="4" w:space="0" w:color="auto"/>
              <w:bottom w:val="single" w:sz="4" w:space="0" w:color="auto"/>
            </w:tcBorders>
            <w:vAlign w:val="center"/>
          </w:tcPr>
          <w:p w14:paraId="6CD126E5" w14:textId="77777777" w:rsidR="00B60BE5" w:rsidRPr="00B11B57" w:rsidRDefault="00000000">
            <w:pPr>
              <w:spacing w:line="250" w:lineRule="atLeast"/>
              <w:rPr>
                <w:rFonts w:ascii="Times New Roman" w:hAnsi="Times New Roman" w:cs="Times New Roman"/>
                <w:b/>
                <w:bCs/>
                <w:sz w:val="20"/>
                <w:szCs w:val="20"/>
              </w:rPr>
            </w:pPr>
            <w:r w:rsidRPr="00B11B57">
              <w:rPr>
                <w:rStyle w:val="Strong"/>
                <w:rFonts w:ascii="Times New Roman" w:eastAsia="Segoe UI" w:hAnsi="Times New Roman" w:cs="Times New Roman"/>
                <w:color w:val="0F1115"/>
                <w:kern w:val="0"/>
                <w:sz w:val="20"/>
                <w:szCs w:val="20"/>
                <w:lang w:val="en-US" w:eastAsia="zh-CN" w:bidi="ar"/>
              </w:rPr>
              <w:t>Global Studies</w:t>
            </w:r>
          </w:p>
        </w:tc>
        <w:tc>
          <w:tcPr>
            <w:tcW w:w="1985" w:type="dxa"/>
            <w:tcBorders>
              <w:top w:val="single" w:sz="4" w:space="0" w:color="auto"/>
              <w:bottom w:val="single" w:sz="4" w:space="0" w:color="auto"/>
            </w:tcBorders>
            <w:vAlign w:val="center"/>
          </w:tcPr>
          <w:p w14:paraId="2ECE095E" w14:textId="77777777" w:rsidR="00B60BE5" w:rsidRPr="00B11B57" w:rsidRDefault="00000000">
            <w:pPr>
              <w:spacing w:line="250" w:lineRule="atLeast"/>
              <w:rPr>
                <w:rFonts w:ascii="Times New Roman" w:hAnsi="Times New Roman" w:cs="Times New Roman"/>
                <w:b/>
                <w:bCs/>
                <w:sz w:val="20"/>
                <w:szCs w:val="20"/>
              </w:rPr>
            </w:pPr>
            <w:r w:rsidRPr="00B11B57">
              <w:rPr>
                <w:rStyle w:val="Strong"/>
                <w:rFonts w:ascii="Times New Roman" w:eastAsia="Segoe UI" w:hAnsi="Times New Roman" w:cs="Times New Roman"/>
                <w:color w:val="0F1115"/>
                <w:kern w:val="0"/>
                <w:sz w:val="20"/>
                <w:szCs w:val="20"/>
                <w:lang w:val="en-US" w:eastAsia="zh-CN" w:bidi="ar"/>
              </w:rPr>
              <w:t>African Studies</w:t>
            </w:r>
          </w:p>
        </w:tc>
        <w:tc>
          <w:tcPr>
            <w:tcW w:w="2967" w:type="dxa"/>
            <w:tcBorders>
              <w:top w:val="single" w:sz="4" w:space="0" w:color="auto"/>
              <w:bottom w:val="single" w:sz="4" w:space="0" w:color="auto"/>
            </w:tcBorders>
            <w:vAlign w:val="center"/>
          </w:tcPr>
          <w:p w14:paraId="314A1D76" w14:textId="77777777" w:rsidR="00B60BE5" w:rsidRPr="00B11B57" w:rsidRDefault="00000000">
            <w:pPr>
              <w:spacing w:line="250" w:lineRule="atLeast"/>
              <w:rPr>
                <w:rFonts w:ascii="Times New Roman" w:hAnsi="Times New Roman" w:cs="Times New Roman"/>
                <w:b/>
                <w:bCs/>
                <w:sz w:val="20"/>
                <w:szCs w:val="20"/>
              </w:rPr>
            </w:pPr>
            <w:r w:rsidRPr="00B11B57">
              <w:rPr>
                <w:rStyle w:val="Strong"/>
                <w:rFonts w:ascii="Times New Roman" w:eastAsia="Segoe UI" w:hAnsi="Times New Roman" w:cs="Times New Roman"/>
                <w:color w:val="0F1115"/>
                <w:kern w:val="0"/>
                <w:sz w:val="20"/>
                <w:szCs w:val="20"/>
                <w:lang w:val="en-US" w:eastAsia="zh-CN" w:bidi="ar"/>
              </w:rPr>
              <w:t>Kenyan Studies</w:t>
            </w:r>
          </w:p>
        </w:tc>
        <w:tc>
          <w:tcPr>
            <w:tcW w:w="2136" w:type="dxa"/>
            <w:tcBorders>
              <w:top w:val="single" w:sz="4" w:space="0" w:color="auto"/>
              <w:bottom w:val="single" w:sz="4" w:space="0" w:color="auto"/>
            </w:tcBorders>
            <w:vAlign w:val="center"/>
          </w:tcPr>
          <w:p w14:paraId="03590832" w14:textId="77777777" w:rsidR="00B60BE5" w:rsidRPr="00B11B57" w:rsidRDefault="00000000">
            <w:pPr>
              <w:spacing w:line="250" w:lineRule="atLeast"/>
              <w:rPr>
                <w:rFonts w:ascii="Times New Roman" w:hAnsi="Times New Roman" w:cs="Times New Roman"/>
                <w:b/>
                <w:bCs/>
                <w:sz w:val="20"/>
                <w:szCs w:val="20"/>
              </w:rPr>
            </w:pPr>
            <w:r w:rsidRPr="00B11B57">
              <w:rPr>
                <w:rStyle w:val="Strong"/>
                <w:rFonts w:ascii="Times New Roman" w:eastAsia="Segoe UI" w:hAnsi="Times New Roman" w:cs="Times New Roman"/>
                <w:color w:val="0F1115"/>
                <w:kern w:val="0"/>
                <w:sz w:val="20"/>
                <w:szCs w:val="20"/>
                <w:lang w:val="en-US" w:eastAsia="zh-CN" w:bidi="ar"/>
              </w:rPr>
              <w:t>Research Gap</w:t>
            </w:r>
          </w:p>
        </w:tc>
      </w:tr>
      <w:tr w:rsidR="00B60BE5" w:rsidRPr="00B11B57" w14:paraId="377192F7" w14:textId="77777777" w:rsidTr="00B11B57">
        <w:trPr>
          <w:trHeight w:val="4820"/>
        </w:trPr>
        <w:tc>
          <w:tcPr>
            <w:tcW w:w="1134" w:type="dxa"/>
            <w:tcBorders>
              <w:top w:val="single" w:sz="4" w:space="0" w:color="auto"/>
            </w:tcBorders>
            <w:vAlign w:val="center"/>
          </w:tcPr>
          <w:p w14:paraId="42F28CDF" w14:textId="77777777" w:rsidR="00B60BE5" w:rsidRPr="00B11B57" w:rsidRDefault="00000000">
            <w:pPr>
              <w:spacing w:line="250" w:lineRule="atLeast"/>
              <w:rPr>
                <w:rFonts w:ascii="Times New Roman" w:hAnsi="Times New Roman" w:cs="Times New Roman"/>
                <w:sz w:val="20"/>
                <w:szCs w:val="20"/>
              </w:rPr>
            </w:pPr>
            <w:r w:rsidRPr="00B11B57">
              <w:rPr>
                <w:rStyle w:val="Strong"/>
                <w:rFonts w:ascii="Times New Roman" w:eastAsia="Segoe UI" w:hAnsi="Times New Roman" w:cs="Times New Roman"/>
                <w:color w:val="0F1115"/>
                <w:kern w:val="0"/>
                <w:sz w:val="20"/>
                <w:szCs w:val="20"/>
                <w:lang w:val="en-US" w:eastAsia="zh-CN" w:bidi="ar"/>
              </w:rPr>
              <w:t>i. Influence of Green Bonds on Financial Performance</w:t>
            </w:r>
          </w:p>
        </w:tc>
        <w:tc>
          <w:tcPr>
            <w:tcW w:w="2410" w:type="dxa"/>
            <w:tcBorders>
              <w:top w:val="single" w:sz="4" w:space="0" w:color="auto"/>
            </w:tcBorders>
            <w:vAlign w:val="center"/>
          </w:tcPr>
          <w:p w14:paraId="6E133262"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Ferilli, Palmieri and Rega (2025) investigated how green bond duration interacts with ESG pillars to influence profitability, cost of funding, and loan portfolio quality using 4,143 green bond issuances by 178 banks worldwide (2015–2024). Their study examined moderating effects of ESG dimensions but did not disaggregate green bonds as a standalone construct separate from broader ESG performance </w:t>
            </w:r>
            <w:hyperlink r:id="rId10" w:tgtFrame="https://chat.deepseek.com/a/chat/s/_blank" w:history="1"/>
            <w:r w:rsidRPr="00B11B57">
              <w:rPr>
                <w:rFonts w:ascii="Times New Roman" w:eastAsia="Segoe UI" w:hAnsi="Times New Roman" w:cs="Times New Roman"/>
                <w:color w:val="0F1115"/>
                <w:kern w:val="0"/>
                <w:sz w:val="20"/>
                <w:szCs w:val="20"/>
                <w:lang w:val="en-US" w:eastAsia="zh-CN" w:bidi="ar"/>
              </w:rPr>
              <w:t>.</w:t>
            </w:r>
          </w:p>
        </w:tc>
        <w:tc>
          <w:tcPr>
            <w:tcW w:w="1985" w:type="dxa"/>
            <w:tcBorders>
              <w:top w:val="single" w:sz="4" w:space="0" w:color="auto"/>
            </w:tcBorders>
            <w:vAlign w:val="center"/>
          </w:tcPr>
          <w:p w14:paraId="7180BE9A"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Njuguna, Mwangi and Waweru (2025) examined ESG practices and financial performance of listed banks in South Africa, Egypt, and Morocco, but their study focused on aggregated ESG scores rather than green bonds specifically, with no disaggregation of green bond effects from environmental pillar scores </w:t>
            </w:r>
            <w:hyperlink r:id="rId11" w:tgtFrame="https://chat.deepseek.com/a/chat/s/_blank" w:history="1"/>
            <w:r w:rsidRPr="00B11B57">
              <w:rPr>
                <w:rFonts w:ascii="Times New Roman" w:eastAsia="Segoe UI" w:hAnsi="Times New Roman" w:cs="Times New Roman"/>
                <w:color w:val="0F1115"/>
                <w:kern w:val="0"/>
                <w:sz w:val="20"/>
                <w:szCs w:val="20"/>
                <w:lang w:val="en-US" w:eastAsia="zh-CN" w:bidi="ar"/>
              </w:rPr>
              <w:t>.</w:t>
            </w:r>
          </w:p>
        </w:tc>
        <w:tc>
          <w:tcPr>
            <w:tcW w:w="2967" w:type="dxa"/>
            <w:tcBorders>
              <w:top w:val="single" w:sz="4" w:space="0" w:color="auto"/>
            </w:tcBorders>
            <w:vAlign w:val="center"/>
          </w:tcPr>
          <w:p w14:paraId="731D1473"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Kiima, Wamitu and Wahome (2025) examined green finance governance practices in Nairobi County commercial banks, finding that fifty-nine percent of performance variance is explained by green governance. However, their study used a composite governance index without isolating green bonds as a distinct construct </w:t>
            </w:r>
            <w:hyperlink r:id="rId12" w:tgtFrame="https://chat.deepseek.com/a/chat/s/_blank" w:history="1"/>
            <w:r w:rsidRPr="00B11B57">
              <w:rPr>
                <w:rFonts w:ascii="Times New Roman" w:eastAsia="Segoe UI" w:hAnsi="Times New Roman" w:cs="Times New Roman"/>
                <w:color w:val="0F1115"/>
                <w:kern w:val="0"/>
                <w:sz w:val="20"/>
                <w:szCs w:val="20"/>
                <w:lang w:val="en-US" w:eastAsia="zh-CN" w:bidi="ar"/>
              </w:rPr>
              <w:t>. Mangwa and Jagongo (2022) identified contextual, conceptual and population gaps in green financing research but did not empirically test green bonds specifically </w:t>
            </w:r>
            <w:hyperlink r:id="rId13" w:tgtFrame="https://chat.deepseek.com/a/chat/s/_blank" w:history="1"/>
            <w:r w:rsidRPr="00B11B57">
              <w:rPr>
                <w:rFonts w:ascii="Times New Roman" w:eastAsia="Segoe UI" w:hAnsi="Times New Roman" w:cs="Times New Roman"/>
                <w:color w:val="0F1115"/>
                <w:kern w:val="0"/>
                <w:sz w:val="20"/>
                <w:szCs w:val="20"/>
                <w:lang w:val="en-US" w:eastAsia="zh-CN" w:bidi="ar"/>
              </w:rPr>
              <w:t>.</w:t>
            </w:r>
          </w:p>
        </w:tc>
        <w:tc>
          <w:tcPr>
            <w:tcW w:w="2136" w:type="dxa"/>
            <w:tcBorders>
              <w:top w:val="single" w:sz="4" w:space="0" w:color="auto"/>
            </w:tcBorders>
            <w:vAlign w:val="center"/>
          </w:tcPr>
          <w:p w14:paraId="3DA67F61"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Existing studies examine green bonds within aggregated ESG or governance frameworks rather than isolating green bonds as a distinct independent variable. No Kenyan study has specifically quantified the direct influence of green bond issuance on bank financial performance using ROA as the outcome measure.</w:t>
            </w:r>
          </w:p>
        </w:tc>
      </w:tr>
      <w:tr w:rsidR="00B60BE5" w:rsidRPr="00B11B57" w14:paraId="1D2E7AC5" w14:textId="77777777" w:rsidTr="00B11B57">
        <w:tc>
          <w:tcPr>
            <w:tcW w:w="1134" w:type="dxa"/>
            <w:vAlign w:val="center"/>
          </w:tcPr>
          <w:p w14:paraId="1B1FE8B2" w14:textId="77777777" w:rsidR="00B60BE5" w:rsidRPr="00B11B57" w:rsidRDefault="00000000">
            <w:pPr>
              <w:spacing w:line="250" w:lineRule="atLeast"/>
              <w:rPr>
                <w:rFonts w:ascii="Times New Roman" w:hAnsi="Times New Roman" w:cs="Times New Roman"/>
                <w:sz w:val="20"/>
                <w:szCs w:val="20"/>
              </w:rPr>
            </w:pPr>
            <w:r w:rsidRPr="00B11B57">
              <w:rPr>
                <w:rStyle w:val="Strong"/>
                <w:rFonts w:ascii="Times New Roman" w:eastAsia="Segoe UI" w:hAnsi="Times New Roman" w:cs="Times New Roman"/>
                <w:color w:val="0F1115"/>
                <w:kern w:val="0"/>
                <w:sz w:val="20"/>
                <w:szCs w:val="20"/>
                <w:lang w:val="en-US" w:eastAsia="zh-CN" w:bidi="ar"/>
              </w:rPr>
              <w:t>ii. Influence of Green Credit on Financial Performance</w:t>
            </w:r>
          </w:p>
        </w:tc>
        <w:tc>
          <w:tcPr>
            <w:tcW w:w="2410" w:type="dxa"/>
            <w:vAlign w:val="center"/>
          </w:tcPr>
          <w:p w14:paraId="322EBBC6"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Zhang and Liu (2025) examined whether green enterprises receive lower loan interest rates using loan-level data from a Chinese province (2020–2022), finding that green enterprises benefit from preferential rates driven by environmental regulations and market competition. Their study focused on pricing mechanisms rather than the direct link between green credit portfolios and bank profitability </w:t>
            </w:r>
            <w:hyperlink r:id="rId14" w:tgtFrame="https://chat.deepseek.com/a/chat/s/_blank" w:history="1"/>
            <w:r w:rsidRPr="00B11B57">
              <w:rPr>
                <w:rFonts w:ascii="Times New Roman" w:eastAsia="Segoe UI" w:hAnsi="Times New Roman" w:cs="Times New Roman"/>
                <w:color w:val="0F1115"/>
                <w:kern w:val="0"/>
                <w:sz w:val="20"/>
                <w:szCs w:val="20"/>
                <w:lang w:val="en-US" w:eastAsia="zh-CN" w:bidi="ar"/>
              </w:rPr>
              <w:t>.</w:t>
            </w:r>
          </w:p>
        </w:tc>
        <w:tc>
          <w:tcPr>
            <w:tcW w:w="1985" w:type="dxa"/>
            <w:vAlign w:val="center"/>
          </w:tcPr>
          <w:p w14:paraId="45E65CDE"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Chilambe, Nguvi, Zulu, Jalango and Mundia (2024) documented climate finance instruments in Eastern Africa but noted that "green credit" as a formal category is rarely tracked separately from general lending, with measurement relying on proxy indicators rather than direct portfolio analysis.</w:t>
            </w:r>
          </w:p>
        </w:tc>
        <w:tc>
          <w:tcPr>
            <w:tcW w:w="2967" w:type="dxa"/>
            <w:vAlign w:val="center"/>
          </w:tcPr>
          <w:p w14:paraId="3185847F"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Shianda and Jemaiyo (2025) conducted a literature review connecting carbon-linked assets and sustainability credit products to improved ROI and brand positioning, but their study was conceptual rather than empirical, identifying policy inconsistencies and lack of ESG uniformity as challenges without providing quantitative estimates </w:t>
            </w:r>
            <w:hyperlink r:id="rId15" w:tgtFrame="https://chat.deepseek.com/a/chat/s/_blank" w:history="1"/>
            <w:r w:rsidRPr="00B11B57">
              <w:rPr>
                <w:rFonts w:ascii="Times New Roman" w:eastAsia="Segoe UI" w:hAnsi="Times New Roman" w:cs="Times New Roman"/>
                <w:color w:val="0F1115"/>
                <w:kern w:val="0"/>
                <w:sz w:val="20"/>
                <w:szCs w:val="20"/>
                <w:lang w:val="en-US" w:eastAsia="zh-CN" w:bidi="ar"/>
              </w:rPr>
              <w:t>.</w:t>
            </w:r>
          </w:p>
        </w:tc>
        <w:tc>
          <w:tcPr>
            <w:tcW w:w="2136" w:type="dxa"/>
            <w:vAlign w:val="center"/>
          </w:tcPr>
          <w:p w14:paraId="6A38B96D"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While global studies examine green credit pricing mechanisms and Kenyan studies acknowledge green credit conceptually, no empirical study in Kenya has quantified the relationship between green credit portfolio composition and financial performance using bank-level data.</w:t>
            </w:r>
          </w:p>
        </w:tc>
      </w:tr>
      <w:tr w:rsidR="00B60BE5" w:rsidRPr="00B11B57" w14:paraId="47DA58FE" w14:textId="77777777" w:rsidTr="00B11B57">
        <w:tc>
          <w:tcPr>
            <w:tcW w:w="1134" w:type="dxa"/>
            <w:vAlign w:val="center"/>
          </w:tcPr>
          <w:p w14:paraId="1B2887D3" w14:textId="77777777" w:rsidR="00B60BE5" w:rsidRPr="00B11B57" w:rsidRDefault="00000000">
            <w:pPr>
              <w:spacing w:line="250" w:lineRule="atLeast"/>
              <w:rPr>
                <w:rFonts w:ascii="Times New Roman" w:hAnsi="Times New Roman" w:cs="Times New Roman"/>
                <w:sz w:val="20"/>
                <w:szCs w:val="20"/>
              </w:rPr>
            </w:pPr>
            <w:r w:rsidRPr="00B11B57">
              <w:rPr>
                <w:rStyle w:val="Strong"/>
                <w:rFonts w:ascii="Times New Roman" w:eastAsia="Segoe UI" w:hAnsi="Times New Roman" w:cs="Times New Roman"/>
                <w:color w:val="0F1115"/>
                <w:kern w:val="0"/>
                <w:sz w:val="20"/>
                <w:szCs w:val="20"/>
                <w:lang w:val="en-US" w:eastAsia="zh-CN" w:bidi="ar"/>
              </w:rPr>
              <w:t>iii. Influence of Carbon Assets on Financial Performance</w:t>
            </w:r>
          </w:p>
        </w:tc>
        <w:tc>
          <w:tcPr>
            <w:tcW w:w="2410" w:type="dxa"/>
            <w:vAlign w:val="center"/>
          </w:tcPr>
          <w:p w14:paraId="7CEF5C3A"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 xml:space="preserve">Zhang (2024) examined carbon asset management among Chinese listed companies, finding that carbon asset management levels significantly promote firm value with ESG performance mediating the relationship. However, this study focused on non-financial </w:t>
            </w:r>
            <w:r w:rsidRPr="00B11B57">
              <w:rPr>
                <w:rFonts w:ascii="Times New Roman" w:eastAsia="Segoe UI" w:hAnsi="Times New Roman" w:cs="Times New Roman"/>
                <w:color w:val="0F1115"/>
                <w:kern w:val="0"/>
                <w:sz w:val="20"/>
                <w:szCs w:val="20"/>
                <w:lang w:val="en-US" w:eastAsia="zh-CN" w:bidi="ar"/>
              </w:rPr>
              <w:lastRenderedPageBreak/>
              <w:t>firms rather than commercial banks.</w:t>
            </w:r>
          </w:p>
        </w:tc>
        <w:tc>
          <w:tcPr>
            <w:tcW w:w="1985" w:type="dxa"/>
            <w:vAlign w:val="center"/>
          </w:tcPr>
          <w:p w14:paraId="05B20E37"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lastRenderedPageBreak/>
              <w:t xml:space="preserve">Chilambe et al. (2024) measured carbon market participation in Eastern Africa through CDM projects and voluntary carbon markets, finding that while Kenya has significant carbon asset potential, actual </w:t>
            </w:r>
            <w:r w:rsidRPr="00B11B57">
              <w:rPr>
                <w:rFonts w:ascii="Times New Roman" w:eastAsia="Segoe UI" w:hAnsi="Times New Roman" w:cs="Times New Roman"/>
                <w:color w:val="0F1115"/>
                <w:kern w:val="0"/>
                <w:sz w:val="20"/>
                <w:szCs w:val="20"/>
                <w:lang w:val="en-US" w:eastAsia="zh-CN" w:bidi="ar"/>
              </w:rPr>
              <w:lastRenderedPageBreak/>
              <w:t>carbon asset management by commercial banks remains nascent and unmeasured.</w:t>
            </w:r>
          </w:p>
        </w:tc>
        <w:tc>
          <w:tcPr>
            <w:tcW w:w="2967" w:type="dxa"/>
            <w:vAlign w:val="center"/>
          </w:tcPr>
          <w:p w14:paraId="1AD81240"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lastRenderedPageBreak/>
              <w:t xml:space="preserve">Wainaina, Aluoch and Kimutai (2025) examined carbon financing and profitability of renewable energy firms in Kenya, finding significant effects of carbon credits on profitability. However, this study focused on energy firms rather than commercial banks. Shianda and Jemaiyo (2025) conceptually linked carbon assets to bank </w:t>
            </w:r>
            <w:r w:rsidRPr="00B11B57">
              <w:rPr>
                <w:rFonts w:ascii="Times New Roman" w:eastAsia="Segoe UI" w:hAnsi="Times New Roman" w:cs="Times New Roman"/>
                <w:color w:val="0F1115"/>
                <w:kern w:val="0"/>
                <w:sz w:val="20"/>
                <w:szCs w:val="20"/>
                <w:lang w:val="en-US" w:eastAsia="zh-CN" w:bidi="ar"/>
              </w:rPr>
              <w:lastRenderedPageBreak/>
              <w:t>performance but provided no empirical testing </w:t>
            </w:r>
            <w:hyperlink r:id="rId16" w:tgtFrame="https://chat.deepseek.com/a/chat/s/_blank" w:history="1"/>
            <w:r w:rsidRPr="00B11B57">
              <w:rPr>
                <w:rFonts w:ascii="Times New Roman" w:eastAsia="Segoe UI" w:hAnsi="Times New Roman" w:cs="Times New Roman"/>
                <w:color w:val="0F1115"/>
                <w:kern w:val="0"/>
                <w:sz w:val="20"/>
                <w:szCs w:val="20"/>
                <w:lang w:val="en-US" w:eastAsia="zh-CN" w:bidi="ar"/>
              </w:rPr>
              <w:t>.</w:t>
            </w:r>
          </w:p>
        </w:tc>
        <w:tc>
          <w:tcPr>
            <w:tcW w:w="2136" w:type="dxa"/>
            <w:vAlign w:val="center"/>
          </w:tcPr>
          <w:p w14:paraId="6E40D28D"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lastRenderedPageBreak/>
              <w:t xml:space="preserve">Carbon assets remain the least empirically examined construct in Kenyan banking literature. Existing studies focus on non-bank firms or provide only conceptual linkages, with no empirical testing of how bank-level carbon asset management </w:t>
            </w:r>
            <w:r w:rsidRPr="00B11B57">
              <w:rPr>
                <w:rFonts w:ascii="Times New Roman" w:eastAsia="Segoe UI" w:hAnsi="Times New Roman" w:cs="Times New Roman"/>
                <w:color w:val="0F1115"/>
                <w:kern w:val="0"/>
                <w:sz w:val="20"/>
                <w:szCs w:val="20"/>
                <w:lang w:val="en-US" w:eastAsia="zh-CN" w:bidi="ar"/>
              </w:rPr>
              <w:lastRenderedPageBreak/>
              <w:t>(holdings, trading, financing) influences financial performance.</w:t>
            </w:r>
          </w:p>
        </w:tc>
      </w:tr>
      <w:tr w:rsidR="00B60BE5" w:rsidRPr="00B11B57" w14:paraId="5586B2CD" w14:textId="77777777" w:rsidTr="00B11B57">
        <w:tc>
          <w:tcPr>
            <w:tcW w:w="1134" w:type="dxa"/>
            <w:vAlign w:val="center"/>
          </w:tcPr>
          <w:p w14:paraId="1E94E629" w14:textId="77777777" w:rsidR="00B60BE5" w:rsidRPr="00B11B57" w:rsidRDefault="00000000">
            <w:pPr>
              <w:spacing w:line="250" w:lineRule="atLeast"/>
              <w:rPr>
                <w:rFonts w:ascii="Times New Roman" w:hAnsi="Times New Roman" w:cs="Times New Roman"/>
                <w:sz w:val="20"/>
                <w:szCs w:val="20"/>
              </w:rPr>
            </w:pPr>
            <w:r w:rsidRPr="00B11B57">
              <w:rPr>
                <w:rStyle w:val="Strong"/>
                <w:rFonts w:ascii="Times New Roman" w:eastAsia="Segoe UI" w:hAnsi="Times New Roman" w:cs="Times New Roman"/>
                <w:color w:val="0F1115"/>
                <w:kern w:val="0"/>
                <w:sz w:val="20"/>
                <w:szCs w:val="20"/>
                <w:lang w:val="en-US" w:eastAsia="zh-CN" w:bidi="ar"/>
              </w:rPr>
              <w:lastRenderedPageBreak/>
              <w:t>iv. Moderating Influence of Firm Size on Green Finance–Performance Relationship</w:t>
            </w:r>
          </w:p>
        </w:tc>
        <w:tc>
          <w:tcPr>
            <w:tcW w:w="2410" w:type="dxa"/>
            <w:vAlign w:val="center"/>
          </w:tcPr>
          <w:p w14:paraId="514E7D39"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Postiglione, Carini and Falini (2025) examined firm size as a moderator of ESG performance and corporate survival, finding larger firms face diminishing returns. Feng, Ma and Wu (2025) investigated ESG performance and innovation under firm size moderation. Iqbal, Suzan and Mulia (2025) found larger Indonesian firms weaken the positive association between environmental performance and earnings. These studies focus on corporate rather than banking contexts.</w:t>
            </w:r>
          </w:p>
        </w:tc>
        <w:tc>
          <w:tcPr>
            <w:tcW w:w="1985" w:type="dxa"/>
            <w:vAlign w:val="center"/>
          </w:tcPr>
          <w:p w14:paraId="4B26D4BD"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Njuguna, Mwangi and Waweru (2025) examined bank size as a moderator of ESG practices and financial performance of listed banks in Africa, finding that the governance × size interaction was significant and negative (β = -0.0000048, p = 0.003), suggesting profitability benefits of governance weaken in larger banks. Their study focused on aggregated ESG scores rather than green bonds, green credit, and carbon assets as distinct constructs </w:t>
            </w:r>
            <w:hyperlink r:id="rId17" w:tgtFrame="https://chat.deepseek.com/a/chat/s/_blank" w:history="1"/>
            <w:r w:rsidRPr="00B11B57">
              <w:rPr>
                <w:rFonts w:ascii="Times New Roman" w:eastAsia="Segoe UI" w:hAnsi="Times New Roman" w:cs="Times New Roman"/>
                <w:color w:val="0F1115"/>
                <w:kern w:val="0"/>
                <w:sz w:val="20"/>
                <w:szCs w:val="20"/>
                <w:lang w:val="en-US" w:eastAsia="zh-CN" w:bidi="ar"/>
              </w:rPr>
              <w:t>.</w:t>
            </w:r>
          </w:p>
        </w:tc>
        <w:tc>
          <w:tcPr>
            <w:tcW w:w="2967" w:type="dxa"/>
            <w:vAlign w:val="center"/>
          </w:tcPr>
          <w:p w14:paraId="2BBC391E"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Kiprop (2025) found firm size significantly moderates the relationship between environmental risk and financial performance of Kenyan banks, with branch numbers showing significant moderating effects varying across bank tiers (tier 3 banks: beta = -0.22, p &lt; 0.01). Mungai, Sang and Maina (2025) found firm size influences the extent to which sustainability practices translate into financial outcomes. However, these studies examined environmental risk and sustainability broadly rather than the specific green finance constructs of green bonds, green credit, and carbon assets.</w:t>
            </w:r>
          </w:p>
        </w:tc>
        <w:tc>
          <w:tcPr>
            <w:tcW w:w="2136" w:type="dxa"/>
            <w:vAlign w:val="center"/>
          </w:tcPr>
          <w:p w14:paraId="6EE8014C" w14:textId="77777777" w:rsidR="00B60BE5" w:rsidRPr="00B11B57" w:rsidRDefault="00000000">
            <w:pPr>
              <w:spacing w:line="250" w:lineRule="atLeast"/>
              <w:rPr>
                <w:rFonts w:ascii="Times New Roman" w:hAnsi="Times New Roman" w:cs="Times New Roman"/>
                <w:sz w:val="20"/>
                <w:szCs w:val="20"/>
              </w:rPr>
            </w:pPr>
            <w:r w:rsidRPr="00B11B57">
              <w:rPr>
                <w:rFonts w:ascii="Times New Roman" w:eastAsia="Segoe UI" w:hAnsi="Times New Roman" w:cs="Times New Roman"/>
                <w:color w:val="0F1115"/>
                <w:kern w:val="0"/>
                <w:sz w:val="20"/>
                <w:szCs w:val="20"/>
                <w:lang w:val="en-US" w:eastAsia="zh-CN" w:bidi="ar"/>
              </w:rPr>
              <w:t>While African and Kenyan studies have established that firm size moderates ESG–performance and environmental risk–performance relationships, no study has specifically examined the moderating effect of firm size on the relationships between the three distinct green finance constructs (green bonds, green credit, carbon assets) and financial performance in Kenyan commercial banks.</w:t>
            </w:r>
          </w:p>
        </w:tc>
      </w:tr>
    </w:tbl>
    <w:p w14:paraId="2B86356B" w14:textId="58B8EE95" w:rsidR="00B60BE5" w:rsidRDefault="00000000">
      <w:pPr>
        <w:pStyle w:val="Caption"/>
        <w:rPr>
          <w:rFonts w:ascii="Times New Roman" w:hAnsi="Times New Roman" w:cs="Times New Roman"/>
          <w:i w:val="0"/>
          <w:iCs w:val="0"/>
          <w:sz w:val="24"/>
          <w:szCs w:val="24"/>
        </w:rPr>
      </w:pPr>
      <w:r>
        <w:rPr>
          <w:rFonts w:ascii="Times New Roman" w:hAnsi="Times New Roman" w:cs="Times New Roman"/>
          <w:color w:val="auto"/>
          <w:sz w:val="24"/>
          <w:szCs w:val="24"/>
        </w:rPr>
        <w:t xml:space="preserve">Figure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Figure \* ARABIC </w:instrText>
      </w:r>
      <w:r>
        <w:rPr>
          <w:rFonts w:ascii="Times New Roman" w:hAnsi="Times New Roman" w:cs="Times New Roman"/>
          <w:color w:val="auto"/>
          <w:sz w:val="24"/>
          <w:szCs w:val="24"/>
        </w:rPr>
        <w:fldChar w:fldCharType="separate"/>
      </w:r>
      <w:r>
        <w:rPr>
          <w:rFonts w:ascii="Times New Roman" w:hAnsi="Times New Roman" w:cs="Times New Roman"/>
          <w:color w:val="auto"/>
          <w:sz w:val="24"/>
          <w:szCs w:val="24"/>
        </w:rPr>
        <w:t>1</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 Summary and research gaps</w:t>
      </w:r>
      <w:r>
        <w:rPr>
          <w:rFonts w:ascii="Times New Roman" w:hAnsi="Times New Roman" w:cs="Times New Roman"/>
          <w:sz w:val="24"/>
          <w:szCs w:val="24"/>
        </w:rPr>
        <w:br w:type="page"/>
      </w:r>
    </w:p>
    <w:p w14:paraId="56BC26A2" w14:textId="77777777" w:rsidR="00B60BE5" w:rsidRDefault="00000000">
      <w:pPr>
        <w:pStyle w:val="Heading2"/>
        <w:rPr>
          <w:rFonts w:ascii="Times New Roman" w:eastAsia="Times New Roman" w:hAnsi="Times New Roman" w:cs="Times New Roman"/>
          <w:b/>
          <w:bCs/>
          <w:color w:val="auto"/>
          <w:sz w:val="24"/>
          <w:szCs w:val="24"/>
        </w:rPr>
      </w:pPr>
      <w:bookmarkStart w:id="40" w:name="_Toc222210216"/>
      <w:r>
        <w:rPr>
          <w:rFonts w:ascii="Times New Roman" w:eastAsia="Times New Roman" w:hAnsi="Times New Roman" w:cs="Times New Roman"/>
          <w:b/>
          <w:bCs/>
          <w:color w:val="auto"/>
          <w:sz w:val="24"/>
          <w:szCs w:val="24"/>
        </w:rPr>
        <w:lastRenderedPageBreak/>
        <w:t>Conceptual framework</w:t>
      </w:r>
      <w:bookmarkEnd w:id="40"/>
    </w:p>
    <w:p w14:paraId="0B22E9C0" w14:textId="77777777" w:rsidR="00B60BE5" w:rsidRDefault="00000000">
      <w:pPr>
        <w:jc w:val="both"/>
        <w:rPr>
          <w:rFonts w:ascii="Times New Roman" w:hAnsi="Times New Roman" w:cs="Times New Roman"/>
          <w:sz w:val="24"/>
          <w:szCs w:val="24"/>
        </w:rPr>
      </w:pPr>
      <w:r>
        <w:rPr>
          <w:rFonts w:ascii="Times New Roman" w:hAnsi="Times New Roman" w:cs="Times New Roman"/>
          <w:sz w:val="24"/>
          <w:szCs w:val="24"/>
        </w:rPr>
        <w:t>The conceptual framework integrates theoretical developments and empirical findings from recent literature:</w:t>
      </w:r>
    </w:p>
    <w:p w14:paraId="556E1682" w14:textId="77777777" w:rsidR="00B60BE5" w:rsidRDefault="00000000">
      <w:pPr>
        <w:jc w:val="both"/>
        <w:rPr>
          <w:rFonts w:ascii="Times New Roman" w:hAnsi="Times New Roman" w:cs="Times New Roman"/>
          <w:sz w:val="24"/>
          <w:szCs w:val="24"/>
          <w:lang w:val="en-US"/>
        </w:rPr>
      </w:pPr>
      <w:r>
        <w:rPr>
          <w:rFonts w:ascii="Times New Roman" w:hAnsi="Times New Roman" w:cs="Times New Roman"/>
          <w:noProof/>
          <w:sz w:val="24"/>
          <w:szCs w:val="24"/>
        </w:rPr>
        <mc:AlternateContent>
          <mc:Choice Requires="wpg">
            <w:drawing>
              <wp:anchor distT="0" distB="0" distL="0" distR="0" simplePos="0" relativeHeight="251659264" behindDoc="0" locked="0" layoutInCell="1" allowOverlap="1" wp14:anchorId="6F6D69C4" wp14:editId="537F7139">
                <wp:simplePos x="0" y="0"/>
                <wp:positionH relativeFrom="column">
                  <wp:posOffset>58420</wp:posOffset>
                </wp:positionH>
                <wp:positionV relativeFrom="paragraph">
                  <wp:posOffset>93345</wp:posOffset>
                </wp:positionV>
                <wp:extent cx="5674360" cy="6756400"/>
                <wp:effectExtent l="6350" t="6350" r="8890" b="6350"/>
                <wp:wrapNone/>
                <wp:docPr id="33" name="Group 18"/>
                <wp:cNvGraphicFramePr/>
                <a:graphic xmlns:a="http://schemas.openxmlformats.org/drawingml/2006/main">
                  <a:graphicData uri="http://schemas.microsoft.com/office/word/2010/wordprocessingGroup">
                    <wpg:wgp>
                      <wpg:cNvGrpSpPr/>
                      <wpg:grpSpPr>
                        <a:xfrm>
                          <a:off x="0" y="0"/>
                          <a:ext cx="5674360" cy="6756400"/>
                          <a:chOff x="0" y="0"/>
                          <a:chExt cx="5740400" cy="4222750"/>
                        </a:xfrm>
                      </wpg:grpSpPr>
                      <wpg:grpSp>
                        <wpg:cNvPr id="34" name="Group 1"/>
                        <wpg:cNvGrpSpPr/>
                        <wpg:grpSpPr>
                          <a:xfrm>
                            <a:off x="0" y="0"/>
                            <a:ext cx="5740400" cy="4222750"/>
                            <a:chOff x="50800" y="0"/>
                            <a:chExt cx="5740400" cy="4222750"/>
                          </a:xfrm>
                        </wpg:grpSpPr>
                        <wpg:grpSp>
                          <wpg:cNvPr id="35" name="Group 2"/>
                          <wpg:cNvGrpSpPr/>
                          <wpg:grpSpPr>
                            <a:xfrm>
                              <a:off x="2571750" y="3575051"/>
                              <a:ext cx="1581150" cy="647699"/>
                              <a:chOff x="63500" y="-361949"/>
                              <a:chExt cx="1581150" cy="647699"/>
                            </a:xfrm>
                            <a:grpFill/>
                          </wpg:grpSpPr>
                          <wps:wsp>
                            <wps:cNvPr id="3" name="Rounded Rectangle 3"/>
                            <wps:cNvSpPr/>
                            <wps:spPr>
                              <a:xfrm>
                                <a:off x="63500" y="-38100"/>
                                <a:ext cx="1581150" cy="323850"/>
                              </a:xfrm>
                              <a:prstGeom prst="roundRect">
                                <a:avLst/>
                              </a:prstGeom>
                              <a:grpFill/>
                              <a:ln w="12700" cap="flat" cmpd="sng">
                                <a:solidFill>
                                  <a:srgbClr val="1C3053"/>
                                </a:solidFill>
                                <a:prstDash val="solid"/>
                                <a:miter/>
                              </a:ln>
                            </wps:spPr>
                            <wps:txbx>
                              <w:txbxContent>
                                <w:p w14:paraId="2D9630F6" w14:textId="77777777" w:rsidR="00B60BE5" w:rsidRDefault="00000000">
                                  <w:pPr>
                                    <w:jc w:val="center"/>
                                    <w:rPr>
                                      <w:rFonts w:ascii="Times New Roman" w:hAnsi="Times New Roman" w:cs="Times New Roman"/>
                                      <w:color w:val="002060"/>
                                      <w:sz w:val="24"/>
                                      <w:szCs w:val="24"/>
                                    </w:rPr>
                                  </w:pPr>
                                  <w:r>
                                    <w:rPr>
                                      <w:rFonts w:ascii="Times New Roman" w:hAnsi="Times New Roman" w:cs="Times New Roman"/>
                                      <w:color w:val="002060"/>
                                      <w:sz w:val="24"/>
                                      <w:szCs w:val="24"/>
                                    </w:rPr>
                                    <w:t>Firm size</w:t>
                                  </w:r>
                                </w:p>
                              </w:txbxContent>
                            </wps:txbx>
                            <wps:bodyPr vert="horz" wrap="square" lIns="91440" tIns="45720" rIns="91440" bIns="45720" anchor="ctr">
                              <a:noAutofit/>
                            </wps:bodyPr>
                          </wps:wsp>
                          <wps:wsp>
                            <wps:cNvPr id="4" name="Rounded Rectangle 4"/>
                            <wps:cNvSpPr/>
                            <wps:spPr>
                              <a:xfrm>
                                <a:off x="63500" y="-361949"/>
                                <a:ext cx="1581150" cy="323850"/>
                              </a:xfrm>
                              <a:prstGeom prst="roundRect">
                                <a:avLst/>
                              </a:prstGeom>
                              <a:grpFill/>
                              <a:ln w="12700" cap="flat" cmpd="sng">
                                <a:solidFill>
                                  <a:srgbClr val="1C3053"/>
                                </a:solidFill>
                                <a:prstDash val="solid"/>
                                <a:miter/>
                              </a:ln>
                            </wps:spPr>
                            <wps:txbx>
                              <w:txbxContent>
                                <w:p w14:paraId="54E444E3" w14:textId="77777777" w:rsidR="00B60BE5" w:rsidRDefault="00000000">
                                  <w:pPr>
                                    <w:jc w:val="center"/>
                                    <w:rPr>
                                      <w:rFonts w:ascii="Times New Roman" w:hAnsi="Times New Roman" w:cs="Times New Roman"/>
                                      <w:color w:val="002060"/>
                                      <w:sz w:val="24"/>
                                      <w:szCs w:val="24"/>
                                    </w:rPr>
                                  </w:pPr>
                                  <w:r>
                                    <w:rPr>
                                      <w:rFonts w:ascii="Times New Roman" w:hAnsi="Times New Roman" w:cs="Times New Roman"/>
                                      <w:color w:val="002060"/>
                                      <w:sz w:val="24"/>
                                      <w:szCs w:val="24"/>
                                    </w:rPr>
                                    <w:t>Moderating Variable</w:t>
                                  </w:r>
                                </w:p>
                              </w:txbxContent>
                            </wps:txbx>
                            <wps:bodyPr vert="horz" wrap="square" lIns="91440" tIns="45720" rIns="91440" bIns="45720" anchor="ctr">
                              <a:noAutofit/>
                            </wps:bodyPr>
                          </wps:wsp>
                        </wpg:grpSp>
                        <wpg:grpSp>
                          <wpg:cNvPr id="36" name="Group 5"/>
                          <wpg:cNvGrpSpPr/>
                          <wpg:grpSpPr>
                            <a:xfrm>
                              <a:off x="50800" y="0"/>
                              <a:ext cx="5740400" cy="3575050"/>
                              <a:chOff x="50800" y="0"/>
                              <a:chExt cx="5740400" cy="3575050"/>
                            </a:xfrm>
                            <a:grpFill/>
                          </wpg:grpSpPr>
                          <wpg:grpSp>
                            <wpg:cNvPr id="37" name="Group 6"/>
                            <wpg:cNvGrpSpPr/>
                            <wpg:grpSpPr>
                              <a:xfrm>
                                <a:off x="50800" y="0"/>
                                <a:ext cx="1581150" cy="787400"/>
                                <a:chOff x="50800" y="0"/>
                                <a:chExt cx="1581150" cy="787400"/>
                              </a:xfrm>
                              <a:grpFill/>
                            </wpg:grpSpPr>
                            <wps:wsp>
                              <wps:cNvPr id="7" name="Rounded Rectangle 7"/>
                              <wps:cNvSpPr/>
                              <wps:spPr>
                                <a:xfrm>
                                  <a:off x="68678" y="266700"/>
                                  <a:ext cx="1563272" cy="520700"/>
                                </a:xfrm>
                                <a:prstGeom prst="roundRect">
                                  <a:avLst/>
                                </a:prstGeom>
                                <a:grpFill/>
                                <a:ln w="12700" cap="flat" cmpd="sng">
                                  <a:solidFill>
                                    <a:srgbClr val="1C3053"/>
                                  </a:solidFill>
                                  <a:prstDash val="solid"/>
                                  <a:miter/>
                                </a:ln>
                              </wps:spPr>
                              <wps:txbx>
                                <w:txbxContent>
                                  <w:p w14:paraId="5D352154" w14:textId="77777777" w:rsidR="00B60BE5" w:rsidRDefault="00000000">
                                    <w:pPr>
                                      <w:spacing w:after="0" w:line="276" w:lineRule="auto"/>
                                      <w:jc w:val="center"/>
                                      <w:rPr>
                                        <w:rFonts w:ascii="Times New Roman" w:hAnsi="Times New Roman" w:cs="Times New Roman"/>
                                        <w:color w:val="002060"/>
                                      </w:rPr>
                                    </w:pPr>
                                    <w:r>
                                      <w:rPr>
                                        <w:rFonts w:ascii="Times New Roman" w:hAnsi="Times New Roman" w:cs="Times New Roman"/>
                                        <w:color w:val="002060"/>
                                      </w:rPr>
                                      <w:t>Green bonds</w:t>
                                    </w:r>
                                  </w:p>
                                  <w:p w14:paraId="5A4C8209" w14:textId="77777777" w:rsidR="00B60BE5" w:rsidRDefault="00000000">
                                    <w:pPr>
                                      <w:spacing w:after="0" w:line="276" w:lineRule="auto"/>
                                      <w:jc w:val="center"/>
                                      <w:rPr>
                                        <w:rFonts w:ascii="Times New Roman" w:hAnsi="Times New Roman" w:cs="Times New Roman"/>
                                        <w:color w:val="002060"/>
                                      </w:rPr>
                                    </w:pPr>
                                    <w:r>
                                      <w:rPr>
                                        <w:rFonts w:ascii="Times New Roman" w:hAnsi="Times New Roman" w:cs="Times New Roman"/>
                                        <w:color w:val="002060"/>
                                      </w:rPr>
                                      <w:t>GB/TB</w:t>
                                    </w:r>
                                  </w:p>
                                  <w:p w14:paraId="44256A09" w14:textId="77777777" w:rsidR="00B60BE5" w:rsidRDefault="00B60BE5">
                                    <w:pPr>
                                      <w:spacing w:after="0" w:line="276" w:lineRule="auto"/>
                                      <w:jc w:val="center"/>
                                      <w:rPr>
                                        <w:rFonts w:ascii="Times New Roman" w:hAnsi="Times New Roman" w:cs="Times New Roman"/>
                                        <w:color w:val="002060"/>
                                      </w:rPr>
                                    </w:pPr>
                                  </w:p>
                                </w:txbxContent>
                              </wps:txbx>
                              <wps:bodyPr vert="horz" wrap="square" lIns="91440" tIns="45720" rIns="91440" bIns="45720" anchor="ctr">
                                <a:noAutofit/>
                              </wps:bodyPr>
                            </wps:wsp>
                            <wps:wsp>
                              <wps:cNvPr id="8" name="Rounded Rectangle 8"/>
                              <wps:cNvSpPr/>
                              <wps:spPr>
                                <a:xfrm>
                                  <a:off x="50800" y="0"/>
                                  <a:ext cx="1581150" cy="266700"/>
                                </a:xfrm>
                                <a:prstGeom prst="roundRect">
                                  <a:avLst/>
                                </a:prstGeom>
                                <a:grpFill/>
                                <a:ln w="12700" cap="flat" cmpd="sng">
                                  <a:solidFill>
                                    <a:srgbClr val="1C3053"/>
                                  </a:solidFill>
                                  <a:prstDash val="solid"/>
                                  <a:miter/>
                                </a:ln>
                              </wps:spPr>
                              <wps:txbx>
                                <w:txbxContent>
                                  <w:p w14:paraId="4361EE57" w14:textId="77777777" w:rsidR="00B60BE5" w:rsidRDefault="00000000">
                                    <w:pPr>
                                      <w:jc w:val="center"/>
                                      <w:rPr>
                                        <w:rFonts w:ascii="Times New Roman" w:hAnsi="Times New Roman" w:cs="Times New Roman"/>
                                        <w:color w:val="002060"/>
                                      </w:rPr>
                                    </w:pPr>
                                    <w:r>
                                      <w:rPr>
                                        <w:rFonts w:ascii="Times New Roman" w:hAnsi="Times New Roman" w:cs="Times New Roman"/>
                                        <w:color w:val="002060"/>
                                      </w:rPr>
                                      <w:t>Green Finance (IV)</w:t>
                                    </w:r>
                                  </w:p>
                                  <w:p w14:paraId="1F0164D6" w14:textId="77777777" w:rsidR="00B60BE5" w:rsidRDefault="00B60BE5">
                                    <w:pPr>
                                      <w:jc w:val="center"/>
                                      <w:rPr>
                                        <w:rFonts w:ascii="Times New Roman" w:hAnsi="Times New Roman" w:cs="Times New Roman"/>
                                        <w:color w:val="002060"/>
                                      </w:rPr>
                                    </w:pPr>
                                  </w:p>
                                </w:txbxContent>
                              </wps:txbx>
                              <wps:bodyPr vert="horz" wrap="square" lIns="91440" tIns="45720" rIns="91440" bIns="45720" anchor="ctr">
                                <a:noAutofit/>
                              </wps:bodyPr>
                            </wps:wsp>
                          </wpg:grpSp>
                          <wpg:grpSp>
                            <wpg:cNvPr id="38" name="Group 9"/>
                            <wpg:cNvGrpSpPr/>
                            <wpg:grpSpPr>
                              <a:xfrm>
                                <a:off x="107950" y="1237411"/>
                                <a:ext cx="1587500" cy="787400"/>
                                <a:chOff x="89484" y="-331839"/>
                                <a:chExt cx="1720850" cy="673100"/>
                              </a:xfrm>
                              <a:grpFill/>
                            </wpg:grpSpPr>
                            <wps:wsp>
                              <wps:cNvPr id="10" name="Rounded Rectangle 10"/>
                              <wps:cNvSpPr/>
                              <wps:spPr>
                                <a:xfrm>
                                  <a:off x="89484" y="-65139"/>
                                  <a:ext cx="1720850" cy="406400"/>
                                </a:xfrm>
                                <a:prstGeom prst="roundRect">
                                  <a:avLst/>
                                </a:prstGeom>
                                <a:grpFill/>
                                <a:ln w="12700" cap="flat" cmpd="sng">
                                  <a:solidFill>
                                    <a:srgbClr val="1C3053"/>
                                  </a:solidFill>
                                  <a:prstDash val="solid"/>
                                  <a:miter/>
                                </a:ln>
                              </wps:spPr>
                              <wps:txbx>
                                <w:txbxContent>
                                  <w:p w14:paraId="1CC9D0C4" w14:textId="77777777" w:rsidR="00B60BE5" w:rsidRDefault="00000000">
                                    <w:pPr>
                                      <w:jc w:val="center"/>
                                      <w:rPr>
                                        <w:rFonts w:ascii="Times New Roman" w:hAnsi="Times New Roman" w:cs="Times New Roman"/>
                                        <w:color w:val="002060"/>
                                      </w:rPr>
                                    </w:pPr>
                                    <w:r>
                                      <w:rPr>
                                        <w:rFonts w:ascii="Times New Roman" w:hAnsi="Times New Roman" w:cs="Times New Roman"/>
                                        <w:color w:val="002060"/>
                                      </w:rPr>
                                      <w:t>GC/TC</w:t>
                                    </w:r>
                                  </w:p>
                                </w:txbxContent>
                              </wps:txbx>
                              <wps:bodyPr vert="horz" wrap="square" lIns="91440" tIns="45720" rIns="91440" bIns="45720" anchor="ctr">
                                <a:noAutofit/>
                              </wps:bodyPr>
                            </wps:wsp>
                            <wps:wsp>
                              <wps:cNvPr id="11" name="Rounded Rectangle 11"/>
                              <wps:cNvSpPr/>
                              <wps:spPr>
                                <a:xfrm>
                                  <a:off x="148107" y="-331839"/>
                                  <a:ext cx="1581149" cy="266700"/>
                                </a:xfrm>
                                <a:prstGeom prst="roundRect">
                                  <a:avLst/>
                                </a:prstGeom>
                                <a:grpFill/>
                                <a:ln w="12700" cap="flat" cmpd="sng">
                                  <a:solidFill>
                                    <a:srgbClr val="1C3053"/>
                                  </a:solidFill>
                                  <a:prstDash val="solid"/>
                                  <a:miter/>
                                </a:ln>
                              </wps:spPr>
                              <wps:txbx>
                                <w:txbxContent>
                                  <w:p w14:paraId="022B12DC" w14:textId="77777777" w:rsidR="00B60BE5" w:rsidRDefault="00000000">
                                    <w:pPr>
                                      <w:spacing w:after="0" w:line="276" w:lineRule="auto"/>
                                      <w:jc w:val="center"/>
                                      <w:rPr>
                                        <w:rFonts w:ascii="Times New Roman" w:hAnsi="Times New Roman" w:cs="Times New Roman"/>
                                        <w:color w:val="002060"/>
                                      </w:rPr>
                                    </w:pPr>
                                    <w:r>
                                      <w:rPr>
                                        <w:rFonts w:ascii="Times New Roman" w:hAnsi="Times New Roman" w:cs="Times New Roman"/>
                                        <w:color w:val="002060"/>
                                      </w:rPr>
                                      <w:t>Green Credit</w:t>
                                    </w:r>
                                  </w:p>
                                  <w:p w14:paraId="497F3553" w14:textId="77777777" w:rsidR="00B60BE5" w:rsidRDefault="00B60BE5">
                                    <w:pPr>
                                      <w:jc w:val="center"/>
                                      <w:rPr>
                                        <w:rFonts w:ascii="Times New Roman" w:hAnsi="Times New Roman" w:cs="Times New Roman"/>
                                        <w:color w:val="002060"/>
                                      </w:rPr>
                                    </w:pPr>
                                  </w:p>
                                </w:txbxContent>
                              </wps:txbx>
                              <wps:bodyPr vert="horz" wrap="square" lIns="91440" tIns="45720" rIns="91440" bIns="45720" anchor="ctr">
                                <a:noAutofit/>
                              </wps:bodyPr>
                            </wps:wsp>
                          </wpg:grpSp>
                          <wpg:grpSp>
                            <wpg:cNvPr id="39" name="Group 12"/>
                            <wpg:cNvGrpSpPr/>
                            <wpg:grpSpPr>
                              <a:xfrm>
                                <a:off x="162030" y="2425700"/>
                                <a:ext cx="1551977" cy="762000"/>
                                <a:chOff x="158606" y="-431800"/>
                                <a:chExt cx="1581150" cy="762000"/>
                              </a:xfrm>
                              <a:grpFill/>
                            </wpg:grpSpPr>
                            <wps:wsp>
                              <wps:cNvPr id="13" name="Rounded Rectangle 13"/>
                              <wps:cNvSpPr/>
                              <wps:spPr>
                                <a:xfrm>
                                  <a:off x="158606" y="-76200"/>
                                  <a:ext cx="1581150" cy="406400"/>
                                </a:xfrm>
                                <a:prstGeom prst="roundRect">
                                  <a:avLst/>
                                </a:prstGeom>
                                <a:grpFill/>
                                <a:ln w="12700" cap="flat" cmpd="sng">
                                  <a:solidFill>
                                    <a:srgbClr val="1C3053"/>
                                  </a:solidFill>
                                  <a:prstDash val="solid"/>
                                  <a:miter/>
                                </a:ln>
                              </wps:spPr>
                              <wps:txbx>
                                <w:txbxContent>
                                  <w:p w14:paraId="5BF57512" w14:textId="77777777" w:rsidR="00B60BE5" w:rsidRDefault="00000000">
                                    <w:pPr>
                                      <w:jc w:val="center"/>
                                      <w:rPr>
                                        <w:rFonts w:ascii="Times New Roman" w:hAnsi="Times New Roman" w:cs="Times New Roman"/>
                                        <w:color w:val="002060"/>
                                      </w:rPr>
                                    </w:pPr>
                                    <w:r>
                                      <w:rPr>
                                        <w:rFonts w:ascii="Times New Roman" w:hAnsi="Times New Roman" w:cs="Times New Roman"/>
                                        <w:color w:val="002060"/>
                                      </w:rPr>
                                      <w:t>CA/TA</w:t>
                                    </w:r>
                                  </w:p>
                                </w:txbxContent>
                              </wps:txbx>
                              <wps:bodyPr vert="horz" wrap="square" lIns="91440" tIns="45720" rIns="91440" bIns="45720" anchor="ctr">
                                <a:noAutofit/>
                              </wps:bodyPr>
                            </wps:wsp>
                            <wps:wsp>
                              <wps:cNvPr id="14" name="Rounded Rectangle 14"/>
                              <wps:cNvSpPr/>
                              <wps:spPr>
                                <a:xfrm>
                                  <a:off x="158606" y="-431800"/>
                                  <a:ext cx="1581150" cy="355600"/>
                                </a:xfrm>
                                <a:prstGeom prst="roundRect">
                                  <a:avLst/>
                                </a:prstGeom>
                                <a:grpFill/>
                                <a:ln w="12700" cap="flat" cmpd="sng">
                                  <a:solidFill>
                                    <a:srgbClr val="1C3053"/>
                                  </a:solidFill>
                                  <a:prstDash val="solid"/>
                                  <a:miter/>
                                </a:ln>
                              </wps:spPr>
                              <wps:txbx>
                                <w:txbxContent>
                                  <w:p w14:paraId="773B1608" w14:textId="77777777" w:rsidR="00B60BE5" w:rsidRDefault="00000000">
                                    <w:pPr>
                                      <w:spacing w:after="0" w:line="276" w:lineRule="auto"/>
                                      <w:jc w:val="center"/>
                                      <w:rPr>
                                        <w:rFonts w:ascii="Times New Roman" w:hAnsi="Times New Roman" w:cs="Times New Roman"/>
                                        <w:color w:val="002060"/>
                                      </w:rPr>
                                    </w:pPr>
                                    <w:r>
                                      <w:rPr>
                                        <w:rFonts w:ascii="Times New Roman" w:hAnsi="Times New Roman" w:cs="Times New Roman"/>
                                        <w:color w:val="002060"/>
                                      </w:rPr>
                                      <w:t>Carbon Assets</w:t>
                                    </w:r>
                                  </w:p>
                                  <w:p w14:paraId="30C937DA" w14:textId="77777777" w:rsidR="00B60BE5" w:rsidRDefault="00B60BE5">
                                    <w:pPr>
                                      <w:jc w:val="center"/>
                                      <w:rPr>
                                        <w:rFonts w:ascii="Times New Roman" w:hAnsi="Times New Roman" w:cs="Times New Roman"/>
                                        <w:color w:val="002060"/>
                                      </w:rPr>
                                    </w:pPr>
                                  </w:p>
                                </w:txbxContent>
                              </wps:txbx>
                              <wps:bodyPr vert="horz" wrap="square" lIns="91440" tIns="45720" rIns="91440" bIns="45720" anchor="ctr">
                                <a:noAutofit/>
                              </wps:bodyPr>
                            </wps:wsp>
                          </wpg:grpSp>
                          <wpg:grpSp>
                            <wpg:cNvPr id="40" name="Group 15"/>
                            <wpg:cNvGrpSpPr/>
                            <wpg:grpSpPr>
                              <a:xfrm>
                                <a:off x="3873500" y="1269161"/>
                                <a:ext cx="1917700" cy="660400"/>
                                <a:chOff x="-155262" y="-502489"/>
                                <a:chExt cx="1953747" cy="660400"/>
                              </a:xfrm>
                              <a:grpFill/>
                            </wpg:grpSpPr>
                            <wps:wsp>
                              <wps:cNvPr id="16" name="Rounded Rectangle 16"/>
                              <wps:cNvSpPr/>
                              <wps:spPr>
                                <a:xfrm>
                                  <a:off x="524018" y="-146889"/>
                                  <a:ext cx="905711" cy="304800"/>
                                </a:xfrm>
                                <a:prstGeom prst="roundRect">
                                  <a:avLst/>
                                </a:prstGeom>
                                <a:grpFill/>
                                <a:ln w="12700" cap="flat" cmpd="sng">
                                  <a:solidFill>
                                    <a:srgbClr val="1C3053"/>
                                  </a:solidFill>
                                  <a:prstDash val="solid"/>
                                  <a:miter/>
                                </a:ln>
                              </wps:spPr>
                              <wps:txbx>
                                <w:txbxContent>
                                  <w:p w14:paraId="21B5E1E4" w14:textId="77777777" w:rsidR="00B60BE5" w:rsidRDefault="00000000">
                                    <w:pPr>
                                      <w:jc w:val="center"/>
                                      <w:rPr>
                                        <w:rFonts w:ascii="Times New Roman" w:hAnsi="Times New Roman" w:cs="Times New Roman"/>
                                        <w:color w:val="002060"/>
                                      </w:rPr>
                                    </w:pPr>
                                    <w:r>
                                      <w:rPr>
                                        <w:rFonts w:ascii="Times New Roman" w:hAnsi="Times New Roman" w:cs="Times New Roman"/>
                                        <w:color w:val="002060"/>
                                      </w:rPr>
                                      <w:t>ROA</w:t>
                                    </w:r>
                                  </w:p>
                                </w:txbxContent>
                              </wps:txbx>
                              <wps:bodyPr vert="horz" wrap="square" lIns="91440" tIns="45720" rIns="91440" bIns="45720" anchor="ctr">
                                <a:noAutofit/>
                              </wps:bodyPr>
                            </wps:wsp>
                            <wps:wsp>
                              <wps:cNvPr id="17" name="Rounded Rectangle 17"/>
                              <wps:cNvSpPr/>
                              <wps:spPr>
                                <a:xfrm>
                                  <a:off x="-155262" y="-502489"/>
                                  <a:ext cx="1953747" cy="355600"/>
                                </a:xfrm>
                                <a:prstGeom prst="roundRect">
                                  <a:avLst/>
                                </a:prstGeom>
                                <a:grpFill/>
                                <a:ln w="12700" cap="flat" cmpd="sng">
                                  <a:solidFill>
                                    <a:srgbClr val="1C3053"/>
                                  </a:solidFill>
                                  <a:prstDash val="solid"/>
                                  <a:miter/>
                                </a:ln>
                              </wps:spPr>
                              <wps:txbx>
                                <w:txbxContent>
                                  <w:p w14:paraId="10AFB1F9" w14:textId="77777777" w:rsidR="00B60BE5" w:rsidRDefault="00000000">
                                    <w:pPr>
                                      <w:jc w:val="center"/>
                                      <w:rPr>
                                        <w:rFonts w:ascii="Times New Roman" w:hAnsi="Times New Roman" w:cs="Times New Roman"/>
                                        <w:color w:val="002060"/>
                                      </w:rPr>
                                    </w:pPr>
                                    <w:r>
                                      <w:rPr>
                                        <w:rFonts w:ascii="Times New Roman" w:hAnsi="Times New Roman" w:cs="Times New Roman"/>
                                        <w:color w:val="002060"/>
                                      </w:rPr>
                                      <w:t>Financial Performance (DV)</w:t>
                                    </w:r>
                                  </w:p>
                                </w:txbxContent>
                              </wps:txbx>
                              <wps:bodyPr vert="horz" wrap="square" lIns="91440" tIns="45720" rIns="91440" bIns="45720" anchor="ctr">
                                <a:noAutofit/>
                              </wps:bodyPr>
                            </wps:wsp>
                          </wpg:grpSp>
                          <wps:wsp>
                            <wps:cNvPr id="18" name="Right Bracket 18"/>
                            <wps:cNvSpPr/>
                            <wps:spPr>
                              <a:xfrm>
                                <a:off x="1543050" y="279400"/>
                                <a:ext cx="1314450" cy="2501900"/>
                              </a:xfrm>
                              <a:prstGeom prst="rightBracket">
                                <a:avLst/>
                              </a:prstGeom>
                              <a:grpFill/>
                              <a:ln w="12700" cap="flat" cmpd="sng">
                                <a:solidFill>
                                  <a:srgbClr val="4472C4"/>
                                </a:solidFill>
                                <a:prstDash val="solid"/>
                                <a:miter/>
                              </a:ln>
                            </wps:spPr>
                            <wps:bodyPr/>
                          </wps:wsp>
                          <wps:wsp>
                            <wps:cNvPr id="19" name="Straight Arrow Connector 19"/>
                            <wps:cNvCnPr/>
                            <wps:spPr>
                              <a:xfrm flipV="1">
                                <a:off x="1492250" y="1492250"/>
                                <a:ext cx="2381250" cy="45719"/>
                              </a:xfrm>
                              <a:prstGeom prst="straightConnector1">
                                <a:avLst/>
                              </a:prstGeom>
                              <a:grpFill/>
                              <a:ln w="6350" cap="flat" cmpd="sng">
                                <a:solidFill>
                                  <a:srgbClr val="4472C4"/>
                                </a:solidFill>
                                <a:prstDash val="solid"/>
                                <a:miter/>
                                <a:tailEnd type="triangle" w="med" len="med"/>
                              </a:ln>
                            </wps:spPr>
                            <wps:bodyPr/>
                          </wps:wsp>
                          <wps:wsp>
                            <wps:cNvPr id="20" name="Straight Arrow Connector 20"/>
                            <wps:cNvCnPr/>
                            <wps:spPr>
                              <a:xfrm flipV="1">
                                <a:off x="3434081" y="1492250"/>
                                <a:ext cx="0" cy="2082800"/>
                              </a:xfrm>
                              <a:prstGeom prst="straightConnector1">
                                <a:avLst/>
                              </a:prstGeom>
                              <a:grpFill/>
                              <a:ln w="6350" cap="flat" cmpd="sng">
                                <a:solidFill>
                                  <a:srgbClr val="4472C4"/>
                                </a:solidFill>
                                <a:prstDash val="solid"/>
                                <a:miter/>
                                <a:tailEnd type="triangle" w="med" len="med"/>
                              </a:ln>
                            </wps:spPr>
                            <wps:bodyPr/>
                          </wps:wsp>
                        </wpg:grpSp>
                      </wpg:grpSp>
                      <wps:wsp>
                        <wps:cNvPr id="21" name="Rounded Rectangle 21"/>
                        <wps:cNvSpPr/>
                        <wps:spPr>
                          <a:xfrm>
                            <a:off x="1758950" y="222250"/>
                            <a:ext cx="889000" cy="304800"/>
                          </a:xfrm>
                          <a:prstGeom prst="roundRect">
                            <a:avLst/>
                          </a:prstGeom>
                          <a:ln>
                            <a:noFill/>
                          </a:ln>
                        </wps:spPr>
                        <wps:txbx>
                          <w:txbxContent>
                            <w:p w14:paraId="489D64CA" w14:textId="77777777" w:rsidR="00B60BE5" w:rsidRDefault="00000000">
                              <w:pPr>
                                <w:jc w:val="center"/>
                                <w:rPr>
                                  <w:rFonts w:ascii="Times New Roman" w:hAnsi="Times New Roman" w:cs="Times New Roman"/>
                                  <w:color w:val="002060"/>
                                  <w:vertAlign w:val="subscript"/>
                                </w:rPr>
                              </w:pPr>
                              <w:r>
                                <w:rPr>
                                  <w:rFonts w:ascii="Times New Roman" w:hAnsi="Times New Roman" w:cs="Times New Roman"/>
                                  <w:color w:val="002060"/>
                                </w:rPr>
                                <w:t>H</w:t>
                              </w:r>
                              <w:r>
                                <w:rPr>
                                  <w:rFonts w:ascii="Times New Roman" w:hAnsi="Times New Roman" w:cs="Times New Roman"/>
                                  <w:color w:val="002060"/>
                                  <w:vertAlign w:val="subscript"/>
                                </w:rPr>
                                <w:t>1</w:t>
                              </w:r>
                            </w:p>
                          </w:txbxContent>
                        </wps:txbx>
                        <wps:bodyPr vert="horz" wrap="square" lIns="91440" tIns="45720" rIns="91440" bIns="45720" anchor="ctr">
                          <a:noAutofit/>
                        </wps:bodyPr>
                      </wps:wsp>
                      <wps:wsp>
                        <wps:cNvPr id="22" name="Rounded Rectangle 22"/>
                        <wps:cNvSpPr/>
                        <wps:spPr>
                          <a:xfrm>
                            <a:off x="1758950" y="1517650"/>
                            <a:ext cx="889000" cy="304800"/>
                          </a:xfrm>
                          <a:prstGeom prst="roundRect">
                            <a:avLst/>
                          </a:prstGeom>
                          <a:ln>
                            <a:noFill/>
                          </a:ln>
                        </wps:spPr>
                        <wps:txbx>
                          <w:txbxContent>
                            <w:p w14:paraId="3076BDC3" w14:textId="77777777" w:rsidR="00B60BE5" w:rsidRDefault="00000000">
                              <w:pPr>
                                <w:jc w:val="center"/>
                                <w:rPr>
                                  <w:rFonts w:ascii="Times New Roman" w:hAnsi="Times New Roman" w:cs="Times New Roman"/>
                                  <w:color w:val="002060"/>
                                  <w:vertAlign w:val="subscript"/>
                                </w:rPr>
                              </w:pPr>
                              <w:r>
                                <w:rPr>
                                  <w:rFonts w:ascii="Times New Roman" w:hAnsi="Times New Roman" w:cs="Times New Roman"/>
                                  <w:color w:val="002060"/>
                                </w:rPr>
                                <w:t>H</w:t>
                              </w:r>
                              <w:r>
                                <w:rPr>
                                  <w:rFonts w:ascii="Times New Roman" w:hAnsi="Times New Roman" w:cs="Times New Roman"/>
                                  <w:color w:val="002060"/>
                                  <w:vertAlign w:val="subscript"/>
                                </w:rPr>
                                <w:t>2</w:t>
                              </w:r>
                            </w:p>
                          </w:txbxContent>
                        </wps:txbx>
                        <wps:bodyPr vert="horz" wrap="square" lIns="91440" tIns="45720" rIns="91440" bIns="45720" anchor="ctr">
                          <a:noAutofit/>
                        </wps:bodyPr>
                      </wps:wsp>
                      <wps:wsp>
                        <wps:cNvPr id="23" name="Rounded Rectangle 23"/>
                        <wps:cNvSpPr/>
                        <wps:spPr>
                          <a:xfrm>
                            <a:off x="1847850" y="2686050"/>
                            <a:ext cx="889000" cy="304800"/>
                          </a:xfrm>
                          <a:prstGeom prst="roundRect">
                            <a:avLst/>
                          </a:prstGeom>
                          <a:ln>
                            <a:noFill/>
                          </a:ln>
                        </wps:spPr>
                        <wps:txbx>
                          <w:txbxContent>
                            <w:p w14:paraId="714F1A59" w14:textId="77777777" w:rsidR="00B60BE5" w:rsidRDefault="00000000">
                              <w:pPr>
                                <w:jc w:val="center"/>
                                <w:rPr>
                                  <w:rFonts w:ascii="Times New Roman" w:hAnsi="Times New Roman" w:cs="Times New Roman"/>
                                  <w:color w:val="002060"/>
                                  <w:vertAlign w:val="subscript"/>
                                </w:rPr>
                              </w:pPr>
                              <w:r>
                                <w:rPr>
                                  <w:rFonts w:ascii="Times New Roman" w:hAnsi="Times New Roman" w:cs="Times New Roman"/>
                                  <w:color w:val="002060"/>
                                </w:rPr>
                                <w:t>H</w:t>
                              </w:r>
                              <w:r>
                                <w:rPr>
                                  <w:rFonts w:ascii="Times New Roman" w:hAnsi="Times New Roman" w:cs="Times New Roman"/>
                                  <w:color w:val="002060"/>
                                  <w:vertAlign w:val="subscript"/>
                                </w:rPr>
                                <w:t>3</w:t>
                              </w:r>
                            </w:p>
                          </w:txbxContent>
                        </wps:txbx>
                        <wps:bodyPr vert="horz" wrap="square" lIns="91440" tIns="45720" rIns="91440" bIns="45720" anchor="ctr">
                          <a:noAutofit/>
                        </wps:bodyPr>
                      </wps:wsp>
                      <wps:wsp>
                        <wps:cNvPr id="24" name="Rounded Rectangle 24"/>
                        <wps:cNvSpPr/>
                        <wps:spPr>
                          <a:xfrm>
                            <a:off x="3016250" y="2305050"/>
                            <a:ext cx="889000" cy="304800"/>
                          </a:xfrm>
                          <a:prstGeom prst="roundRect">
                            <a:avLst/>
                          </a:prstGeom>
                          <a:ln>
                            <a:noFill/>
                          </a:ln>
                        </wps:spPr>
                        <wps:txbx>
                          <w:txbxContent>
                            <w:p w14:paraId="1C152BF0" w14:textId="77777777" w:rsidR="00B60BE5" w:rsidRDefault="00000000">
                              <w:pPr>
                                <w:jc w:val="center"/>
                                <w:rPr>
                                  <w:rFonts w:ascii="Times New Roman" w:hAnsi="Times New Roman" w:cs="Times New Roman"/>
                                  <w:color w:val="002060"/>
                                  <w:vertAlign w:val="subscript"/>
                                </w:rPr>
                              </w:pPr>
                              <w:r>
                                <w:rPr>
                                  <w:rFonts w:ascii="Times New Roman" w:hAnsi="Times New Roman" w:cs="Times New Roman"/>
                                  <w:color w:val="002060"/>
                                </w:rPr>
                                <w:t>H</w:t>
                              </w:r>
                              <w:r>
                                <w:rPr>
                                  <w:rFonts w:ascii="Times New Roman" w:hAnsi="Times New Roman" w:cs="Times New Roman"/>
                                  <w:color w:val="002060"/>
                                  <w:vertAlign w:val="subscript"/>
                                </w:rPr>
                                <w:t>4</w:t>
                              </w:r>
                            </w:p>
                          </w:txbxContent>
                        </wps:txbx>
                        <wps:bodyPr vert="horz" wrap="square" lIns="91440" tIns="45720" rIns="91440" bIns="45720" anchor="ctr">
                          <a:noAutofit/>
                        </wps:bodyPr>
                      </wps:wsp>
                    </wpg:wgp>
                  </a:graphicData>
                </a:graphic>
              </wp:anchor>
            </w:drawing>
          </mc:Choice>
          <mc:Fallback>
            <w:pict>
              <v:group w14:anchorId="6F6D69C4" id="Group 18" o:spid="_x0000_s1026" style="position:absolute;left:0;text-align:left;margin-left:4.6pt;margin-top:7.35pt;width:446.8pt;height:532pt;z-index:251659264;mso-wrap-distance-left:0;mso-wrap-distance-right:0" coordsize="57404,42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leSrQYAAMMuAAAOAAAAZHJzL2Uyb0RvYy54bWzsWttu4zYQfS/QfxD0nrVIkdQF6yy22QsK&#10;FO1i0/adkWRbqG6llDjp13dIkbRsxYnt3TpG3JdEsiiKcztzOMO37+7LwrnLRJvX1dRFbzzXyaqk&#10;TvNqPnX/+P3TReg6bcerlBd1lU3dh6x1313++MPbZRNnuF7URZoJByap2njZTN1F1zXxZNImi6zk&#10;7Zu6ySp4OKtFyTu4FfNJKvgSZi+LCfY8NlnWIm1EnWRtC79+6B+6l2r+2SxLut9mszbrnGLqwto6&#10;9Veovzfy7+TyLY/ngjeLPNHL4AesouR5BR+1U33gHXduRT6aqswTUbf1rHuT1OWkns3yJFMygDTI&#10;25Dms6hvGyXLPF7OG6smUO2Gng6eNvn17rNorpsvAjSxbOagC3UnZbmfiVL+h1U690plD1Zl2X3n&#10;JPAjZQHxGWg2gWcsoIx4WqnJAjQ/ei9ZfDRvBsSTg9WbBGMcUPXmxHx4srYce9MvE9b9RTh5OnV9&#10;4joVL8G3lLocJG0qR3+zaFsWyGMrGvVCKcFKLf+BeHRdPHyAeJgGSGpXLtSncEWVknhsrIhoiJAc&#10;oKxIAhZFfWRYSZlPtaQXPkMRsc+NObdMYa0pQ6P5lBcFWGfTshD67cq722/z7usFbzIVNK10AeMl&#10;Rotf69sqzVLnK0ADr+ZF5vi9RtVoGwht3EJMPBIFQ0WEyDj7o4r0sR9u+DSPG9F2n7O6dOTF1IUI&#10;r1K5FoUe/O6XtpMKWo3rQcVojsdF5SwBaHGgQocDZM4K3oHlygaCoa3maqK2LvJUalu+3or5zVUh&#10;nDsOIIiufI8qkeEja8Pkgj7wdtGPU496JyjzLhP9qopKWc9oZ9m0cXd/c68iro1v6vQB9A3pACRb&#10;1OIf11kCtMKy/r7lInOd4ucKrBshQsDXOnVDaIDhRgyf3Ayf8CqBqaZu0gklWlW/v+3qWa70JBfQ&#10;f1WvCxxJRv8RPMrCztijyMEeNQitM3cphe0ay42NX96zVsg1yJY23RisYQZs+oxEe3fYKyONMotx&#10;BzrMSj2Ybybc0btbstLg7Z1gWpODkbjBurjse4q7llaCEITfQ9otL+8k7BEQxOptjCDBfggSsgB4&#10;NmR3zJhMDIDHw+TOfBzgPrlT7OkBAy28ypykAESzpdMBkKOkJvCFnhGPHSvcy7FGSGJQaC2yVk53&#10;Fj5l+eKp0J3dkpJ1ij4pKQK/5zYJeUGktxEI+wFB420EbC70NuJRsA4jEgJxAqS68H0U+uNtBLBB&#10;SZr1ftLXDHvgWC+6jUCwsm2hBc80D4Ztx/MbiYEqGEVGEzbAhnogntlWD/TwekHb0udTCbCjgDYE&#10;03bXskR4J9dCBHamwC42w8w6l9zuwxZeBdmZobcm46fDCHZDbzDWWpHrkDIQYtjzAcAkTyRQExoT&#10;RYqiAPxGVoECGGwG2CoQpH3mwe5GOhYB/F4N+KiremvEYDXHALdeFr99o8cxNUI2se8WZANdKEE3&#10;WfegpHZmAK53gKcTY8cB8CcqQsjmtL19axhnawBuWJJPKesDcRBlr5cd2K3xqbCDnQBcFjzXAPyQ&#10;opAfBrYMjzCLENsk4BEK+sIwIDRjqr+iagEWwS8QpZhBMUBCOPUwCccUPKLA7XUaWE0ycK6XhXBb&#10;XXsEwi3y7BRmFBMP9YWTC0RYaHRhwizyoHECtEzmQ98jOt0NFPF6o8zWCU4lyo4D4U+U5JAFnp18&#10;a2ugGedCwzA7MwzXxYfTIQjrGH6E2q+EHV1IyOeLzvlJ8OQvOKYAv+9TRECUQDtPc/ogstVx62Q+&#10;9NoMUcDUQ9GzTEEuR6/mWD1JQgJ8pRgSYOv36En2oAWKBLsqYx6pJ4jsNu26E1wZ9r0Q9dK5qqsK&#10;mry1cGDIysBXlT53YRqq/dkHZ1bkzZ/Qq1UG0McvYMOOwYIqc5trlduNraHbjNQAma6grdp/aXu2&#10;avUS7dr6z+3cg5adcMiN+7egv8HcPO54XnysUqd7aODIRydy1cSHRvPULbMUWswZnEOSV9L6sl0+&#10;ali/lHPINncf8ludA4Yc5hw+8YkXAlUB0z/qHNJS8AyKq/hZGvO/Y1jUGOaF4fVR2Ah+oiIIz1ae&#10;8nyxGY7/hKZ0D0etJEysYQdQX1nt+b5MV8Yej6vanPp5NBrl8ZG+1299/6woJ4a9mCYCo5NJ8OxQ&#10;IyOKAnaKVrZ+e15WfqLuiPesO4YkUB0yCecM6rGnaGXruOdl5ScqgHi/CqDvIWbYHpYU/xStbB33&#10;VKysUjSclFbUT5/qlkexh/eKD67Onl/+CwAA//8DAFBLAwQUAAYACAAAACEAu7V/Q+AAAAAJAQAA&#10;DwAAAGRycy9kb3ducmV2LnhtbEyPzWrDMBCE74W+g9hCb41k98eJYzmE0PYUCk0KJbeNvbFNLMlY&#10;iu28fben9rgzw+w32WoyrRio942zGqKZAkG2cGVjKw1f+7eHOQgf0JbYOksaruRhld/eZJiWbrSf&#10;NOxCJbjE+hQ11CF0qZS+qMmgn7mOLHsn1xsMfPaVLHscudy0MlbqRRpsLH+osaNNTcV5dzEa3kcc&#10;14/R67A9nzbXw/7543sbkdb3d9N6CSLQFP7C8IvP6JAz09FdbOlFq2ERc5DlpwQE2wsV85IjCyqZ&#10;JyDzTP5fkP8AAAD//wMAUEsBAi0AFAAGAAgAAAAhALaDOJL+AAAA4QEAABMAAAAAAAAAAAAAAAAA&#10;AAAAAFtDb250ZW50X1R5cGVzXS54bWxQSwECLQAUAAYACAAAACEAOP0h/9YAAACUAQAACwAAAAAA&#10;AAAAAAAAAAAvAQAAX3JlbHMvLnJlbHNQSwECLQAUAAYACAAAACEArTJXkq0GAADDLgAADgAAAAAA&#10;AAAAAAAAAAAuAgAAZHJzL2Uyb0RvYy54bWxQSwECLQAUAAYACAAAACEAu7V/Q+AAAAAJAQAADwAA&#10;AAAAAAAAAAAAAAAHCQAAZHJzL2Rvd25yZXYueG1sUEsFBgAAAAAEAAQA8wAAABQKAAAAAA==&#10;">
                <v:group id="Group 1" o:spid="_x0000_s1027" style="position:absolute;width:57404;height:42227" coordorigin="508" coordsize="57404,42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oup 2" o:spid="_x0000_s1028" style="position:absolute;left:25717;top:35750;width:15812;height:6477" coordorigin="635,-3619" coordsize="15811,6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oundrect id="Rounded Rectangle 3" o:spid="_x0000_s1029" style="position:absolute;left:635;top:-381;width:15811;height:32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W4MwQAAANoAAAAPAAAAZHJzL2Rvd25yZXYueG1sRI9Ba8JA&#10;FITvBf/D8oTe6kYtKtFVRFB6qsR68PjIPpNg9m3cXU3017uFQo/DzHzDLFadqcWdnK8sKxgOEhDE&#10;udUVFwqOP9uPGQgfkDXWlknBgzyslr23BabatpzR/RAKESHsU1RQhtCkUvq8JIN+YBvi6J2tMxii&#10;dIXUDtsIN7UcJclEGqw4LpTY0Kak/HK4GQW7Z+ua6YRP10+X7b9lFogzrdR7v1vPQQTqwn/4r/2l&#10;FYzh90q8AXL5AgAA//8DAFBLAQItABQABgAIAAAAIQDb4fbL7gAAAIUBAAATAAAAAAAAAAAAAAAA&#10;AAAAAABbQ29udGVudF9UeXBlc10ueG1sUEsBAi0AFAAGAAgAAAAhAFr0LFu/AAAAFQEAAAsAAAAA&#10;AAAAAAAAAAAAHwEAAF9yZWxzLy5yZWxzUEsBAi0AFAAGAAgAAAAhAB6hbgzBAAAA2gAAAA8AAAAA&#10;AAAAAAAAAAAABwIAAGRycy9kb3ducmV2LnhtbFBLBQYAAAAAAwADALcAAAD1AgAAAAA=&#10;" filled="f" strokecolor="#1c3053" strokeweight="1pt">
                      <v:stroke joinstyle="miter"/>
                      <v:textbox>
                        <w:txbxContent>
                          <w:p w14:paraId="2D9630F6" w14:textId="77777777" w:rsidR="00B60BE5" w:rsidRDefault="00000000">
                            <w:pPr>
                              <w:jc w:val="center"/>
                              <w:rPr>
                                <w:rFonts w:ascii="Times New Roman" w:hAnsi="Times New Roman" w:cs="Times New Roman"/>
                                <w:color w:val="002060"/>
                                <w:sz w:val="24"/>
                                <w:szCs w:val="24"/>
                              </w:rPr>
                            </w:pPr>
                            <w:r>
                              <w:rPr>
                                <w:rFonts w:ascii="Times New Roman" w:hAnsi="Times New Roman" w:cs="Times New Roman"/>
                                <w:color w:val="002060"/>
                                <w:sz w:val="24"/>
                                <w:szCs w:val="24"/>
                              </w:rPr>
                              <w:t>Firm size</w:t>
                            </w:r>
                          </w:p>
                        </w:txbxContent>
                      </v:textbox>
                    </v:roundrect>
                    <v:roundrect id="Rounded Rectangle 4" o:spid="_x0000_s1030" style="position:absolute;left:635;top:-3619;width:15811;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PZ4wgAAANoAAAAPAAAAZHJzL2Rvd25yZXYueG1sRI9Ba8JA&#10;FITvgv9heYXezKYStKRZRQotPVmiHnp8ZF+TYPZt3F2T1F/fLRQ8DjPzDVNsJ9OJgZxvLSt4SlIQ&#10;xJXVLdcKTse3xTMIH5A1dpZJwQ952G7mswJzbUcuaTiEWkQI+xwVNCH0uZS+asigT2xPHL1v6wyG&#10;KF0ttcMxwk0nl2m6kgZbjgsN9vTaUHU+XI2C99vo+vWKvy6ZKz/3sgzEpVbq8WHavYAINIV7+L/9&#10;oRVk8Hcl3gC5+QUAAP//AwBQSwECLQAUAAYACAAAACEA2+H2y+4AAACFAQAAEwAAAAAAAAAAAAAA&#10;AAAAAAAAW0NvbnRlbnRfVHlwZXNdLnhtbFBLAQItABQABgAIAAAAIQBa9CxbvwAAABUBAAALAAAA&#10;AAAAAAAAAAAAAB8BAABfcmVscy8ucmVsc1BLAQItABQABgAIAAAAIQCRSPZ4wgAAANoAAAAPAAAA&#10;AAAAAAAAAAAAAAcCAABkcnMvZG93bnJldi54bWxQSwUGAAAAAAMAAwC3AAAA9gIAAAAA&#10;" filled="f" strokecolor="#1c3053" strokeweight="1pt">
                      <v:stroke joinstyle="miter"/>
                      <v:textbox>
                        <w:txbxContent>
                          <w:p w14:paraId="54E444E3" w14:textId="77777777" w:rsidR="00B60BE5" w:rsidRDefault="00000000">
                            <w:pPr>
                              <w:jc w:val="center"/>
                              <w:rPr>
                                <w:rFonts w:ascii="Times New Roman" w:hAnsi="Times New Roman" w:cs="Times New Roman"/>
                                <w:color w:val="002060"/>
                                <w:sz w:val="24"/>
                                <w:szCs w:val="24"/>
                              </w:rPr>
                            </w:pPr>
                            <w:r>
                              <w:rPr>
                                <w:rFonts w:ascii="Times New Roman" w:hAnsi="Times New Roman" w:cs="Times New Roman"/>
                                <w:color w:val="002060"/>
                                <w:sz w:val="24"/>
                                <w:szCs w:val="24"/>
                              </w:rPr>
                              <w:t>Moderating Variable</w:t>
                            </w:r>
                          </w:p>
                        </w:txbxContent>
                      </v:textbox>
                    </v:roundrect>
                  </v:group>
                  <v:group id="Group 5" o:spid="_x0000_s1031" style="position:absolute;left:508;width:57404;height:35750" coordorigin="508" coordsize="57404,3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oup 6" o:spid="_x0000_s1032" style="position:absolute;left:508;width:15811;height:7874" coordorigin="508" coordsize="15811,7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oundrect id="Rounded Rectangle 7" o:spid="_x0000_s1033" style="position:absolute;left:686;top:2667;width:15633;height:52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gPwgAAANoAAAAPAAAAZHJzL2Rvd25yZXYueG1sRI9Ba8JA&#10;FITvgv9heYXezKZSTEmzigiWnixJe+jxkX1Ngtm3cXc10V/vFgo9DjPzDVNsJtOLCznfWVbwlKQg&#10;iGurO24UfH3uFy8gfEDW2FsmBVfysFnPZwXm2o5c0qUKjYgQ9jkqaEMYcil93ZJBn9iBOHo/1hkM&#10;UbpGaodjhJteLtN0JQ12HBdaHGjXUn2szkbB2210Q7bi79OzKz8OsgzEpVbq8WHavoIINIX/8F/7&#10;XSvI4PdKvAFyfQcAAP//AwBQSwECLQAUAAYACAAAACEA2+H2y+4AAACFAQAAEwAAAAAAAAAAAAAA&#10;AAAAAAAAW0NvbnRlbnRfVHlwZXNdLnhtbFBLAQItABQABgAIAAAAIQBa9CxbvwAAABUBAAALAAAA&#10;AAAAAAAAAAAAAB8BAABfcmVscy8ucmVsc1BLAQItABQABgAIAAAAIQBhmmgPwgAAANoAAAAPAAAA&#10;AAAAAAAAAAAAAAcCAABkcnMvZG93bnJldi54bWxQSwUGAAAAAAMAAwC3AAAA9gIAAAAA&#10;" filled="f" strokecolor="#1c3053" strokeweight="1pt">
                        <v:stroke joinstyle="miter"/>
                        <v:textbox>
                          <w:txbxContent>
                            <w:p w14:paraId="5D352154" w14:textId="77777777" w:rsidR="00B60BE5" w:rsidRDefault="00000000">
                              <w:pPr>
                                <w:spacing w:after="0" w:line="276" w:lineRule="auto"/>
                                <w:jc w:val="center"/>
                                <w:rPr>
                                  <w:rFonts w:ascii="Times New Roman" w:hAnsi="Times New Roman" w:cs="Times New Roman"/>
                                  <w:color w:val="002060"/>
                                </w:rPr>
                              </w:pPr>
                              <w:r>
                                <w:rPr>
                                  <w:rFonts w:ascii="Times New Roman" w:hAnsi="Times New Roman" w:cs="Times New Roman"/>
                                  <w:color w:val="002060"/>
                                </w:rPr>
                                <w:t>Green bonds</w:t>
                              </w:r>
                            </w:p>
                            <w:p w14:paraId="5A4C8209" w14:textId="77777777" w:rsidR="00B60BE5" w:rsidRDefault="00000000">
                              <w:pPr>
                                <w:spacing w:after="0" w:line="276" w:lineRule="auto"/>
                                <w:jc w:val="center"/>
                                <w:rPr>
                                  <w:rFonts w:ascii="Times New Roman" w:hAnsi="Times New Roman" w:cs="Times New Roman"/>
                                  <w:color w:val="002060"/>
                                </w:rPr>
                              </w:pPr>
                              <w:r>
                                <w:rPr>
                                  <w:rFonts w:ascii="Times New Roman" w:hAnsi="Times New Roman" w:cs="Times New Roman"/>
                                  <w:color w:val="002060"/>
                                </w:rPr>
                                <w:t>GB/TB</w:t>
                              </w:r>
                            </w:p>
                            <w:p w14:paraId="44256A09" w14:textId="77777777" w:rsidR="00B60BE5" w:rsidRDefault="00B60BE5">
                              <w:pPr>
                                <w:spacing w:after="0" w:line="276" w:lineRule="auto"/>
                                <w:jc w:val="center"/>
                                <w:rPr>
                                  <w:rFonts w:ascii="Times New Roman" w:hAnsi="Times New Roman" w:cs="Times New Roman"/>
                                  <w:color w:val="002060"/>
                                </w:rPr>
                              </w:pPr>
                            </w:p>
                          </w:txbxContent>
                        </v:textbox>
                      </v:roundrect>
                      <v:roundrect id="Rounded Rectangle 8" o:spid="_x0000_s1034" style="position:absolute;left:508;width:15811;height:2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fx9vwAAANoAAAAPAAAAZHJzL2Rvd25yZXYueG1sRE/Pa8Iw&#10;FL4P/B/CE7zNVBEnXdMyBhNPSt0OHh/NW1vWvNQktnV//XIQdvz4fmfFZDoxkPOtZQWrZQKCuLK6&#10;5VrB1+fH8w6ED8gaO8uk4E4einz2lGGq7cglDedQixjCPkUFTQh9KqWvGjLol7Ynjty3dQZDhK6W&#10;2uEYw00n10mylQZbjg0N9vTeUPVzvhkF+9/R9S9bvlw3rjwdZRmIS63UYj69vYIINIV/8cN90Ari&#10;1ngl3gCZ/wEAAP//AwBQSwECLQAUAAYACAAAACEA2+H2y+4AAACFAQAAEwAAAAAAAAAAAAAAAAAA&#10;AAAAW0NvbnRlbnRfVHlwZXNdLnhtbFBLAQItABQABgAIAAAAIQBa9CxbvwAAABUBAAALAAAAAAAA&#10;AAAAAAAAAB8BAABfcmVscy8ucmVsc1BLAQItABQABgAIAAAAIQAQBfx9vwAAANoAAAAPAAAAAAAA&#10;AAAAAAAAAAcCAABkcnMvZG93bnJldi54bWxQSwUGAAAAAAMAAwC3AAAA8wIAAAAA&#10;" filled="f" strokecolor="#1c3053" strokeweight="1pt">
                        <v:stroke joinstyle="miter"/>
                        <v:textbox>
                          <w:txbxContent>
                            <w:p w14:paraId="4361EE57" w14:textId="77777777" w:rsidR="00B60BE5" w:rsidRDefault="00000000">
                              <w:pPr>
                                <w:jc w:val="center"/>
                                <w:rPr>
                                  <w:rFonts w:ascii="Times New Roman" w:hAnsi="Times New Roman" w:cs="Times New Roman"/>
                                  <w:color w:val="002060"/>
                                </w:rPr>
                              </w:pPr>
                              <w:r>
                                <w:rPr>
                                  <w:rFonts w:ascii="Times New Roman" w:hAnsi="Times New Roman" w:cs="Times New Roman"/>
                                  <w:color w:val="002060"/>
                                </w:rPr>
                                <w:t>Green Finance (IV)</w:t>
                              </w:r>
                            </w:p>
                            <w:p w14:paraId="1F0164D6" w14:textId="77777777" w:rsidR="00B60BE5" w:rsidRDefault="00B60BE5">
                              <w:pPr>
                                <w:jc w:val="center"/>
                                <w:rPr>
                                  <w:rFonts w:ascii="Times New Roman" w:hAnsi="Times New Roman" w:cs="Times New Roman"/>
                                  <w:color w:val="002060"/>
                                </w:rPr>
                              </w:pPr>
                            </w:p>
                          </w:txbxContent>
                        </v:textbox>
                      </v:roundrect>
                    </v:group>
                    <v:group id="Group 9" o:spid="_x0000_s1035" style="position:absolute;left:1079;top:12374;width:15875;height:7874" coordorigin="894,-3318" coordsize="17208,6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oundrect id="Rounded Rectangle 10" o:spid="_x0000_s1036" style="position:absolute;left:894;top:-651;width:17209;height:40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mQYwwAAANsAAAAPAAAAZHJzL2Rvd25yZXYueG1sRI9Ba8JA&#10;EIXvQv/DMgVvuqmILdFVpNDSkxLbQ49DdkyC2dl0dzXRX+8chN5meG/e+2a1GVyrLhRi49nAyzQD&#10;RVx623Bl4Of7Y/IGKiZki61nMnClCJv102iFufU9F3Q5pEpJCMccDdQpdbnWsazJYZz6jli0ow8O&#10;k6yh0jZgL+Gu1bMsW2iHDUtDjR2911SeDmdn4PPWh+51wb9/81Dsd7pIxIU1Zvw8bJegEg3p3/y4&#10;/rKCL/Tyiwyg13cAAAD//wMAUEsBAi0AFAAGAAgAAAAhANvh9svuAAAAhQEAABMAAAAAAAAAAAAA&#10;AAAAAAAAAFtDb250ZW50X1R5cGVzXS54bWxQSwECLQAUAAYACAAAACEAWvQsW78AAAAVAQAACwAA&#10;AAAAAAAAAAAAAAAfAQAAX3JlbHMvLnJlbHNQSwECLQAUAAYACAAAACEAOn5kGMMAAADbAAAADwAA&#10;AAAAAAAAAAAAAAAHAgAAZHJzL2Rvd25yZXYueG1sUEsFBgAAAAADAAMAtwAAAPcCAAAAAA==&#10;" filled="f" strokecolor="#1c3053" strokeweight="1pt">
                        <v:stroke joinstyle="miter"/>
                        <v:textbox>
                          <w:txbxContent>
                            <w:p w14:paraId="1CC9D0C4" w14:textId="77777777" w:rsidR="00B60BE5" w:rsidRDefault="00000000">
                              <w:pPr>
                                <w:jc w:val="center"/>
                                <w:rPr>
                                  <w:rFonts w:ascii="Times New Roman" w:hAnsi="Times New Roman" w:cs="Times New Roman"/>
                                  <w:color w:val="002060"/>
                                </w:rPr>
                              </w:pPr>
                              <w:r>
                                <w:rPr>
                                  <w:rFonts w:ascii="Times New Roman" w:hAnsi="Times New Roman" w:cs="Times New Roman"/>
                                  <w:color w:val="002060"/>
                                </w:rPr>
                                <w:t>GC/TC</w:t>
                              </w:r>
                            </w:p>
                          </w:txbxContent>
                        </v:textbox>
                      </v:roundrect>
                      <v:roundrect id="Rounded Rectangle 11" o:spid="_x0000_s1037" style="position:absolute;left:1481;top:-3318;width:15811;height:26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GDvwAAANsAAAAPAAAAZHJzL2Rvd25yZXYueG1sRE9Ni8Iw&#10;EL0v+B/CCN7WVBGVahQRFE8udffgcWjGtthMahJt9ddvFha8zeN9znLdmVo8yPnKsoLRMAFBnFtd&#10;caHg53v3OQfhA7LG2jIpeJKH9ar3scRU25YzepxCIWII+xQVlCE0qZQ+L8mgH9qGOHIX6wyGCF0h&#10;tcM2hptajpNkKg1WHBtKbGhbUn493Y2C/at1zWzK59vEZV9HmQXiTCs16HebBYhAXXiL/90HHeeP&#10;4O+XeIBc/QIAAP//AwBQSwECLQAUAAYACAAAACEA2+H2y+4AAACFAQAAEwAAAAAAAAAAAAAAAAAA&#10;AAAAW0NvbnRlbnRfVHlwZXNdLnhtbFBLAQItABQABgAIAAAAIQBa9CxbvwAAABUBAAALAAAAAAAA&#10;AAAAAAAAAB8BAABfcmVscy8ucmVsc1BLAQItABQABgAIAAAAIQBVMsGDvwAAANsAAAAPAAAAAAAA&#10;AAAAAAAAAAcCAABkcnMvZG93bnJldi54bWxQSwUGAAAAAAMAAwC3AAAA8wIAAAAA&#10;" filled="f" strokecolor="#1c3053" strokeweight="1pt">
                        <v:stroke joinstyle="miter"/>
                        <v:textbox>
                          <w:txbxContent>
                            <w:p w14:paraId="022B12DC" w14:textId="77777777" w:rsidR="00B60BE5" w:rsidRDefault="00000000">
                              <w:pPr>
                                <w:spacing w:after="0" w:line="276" w:lineRule="auto"/>
                                <w:jc w:val="center"/>
                                <w:rPr>
                                  <w:rFonts w:ascii="Times New Roman" w:hAnsi="Times New Roman" w:cs="Times New Roman"/>
                                  <w:color w:val="002060"/>
                                </w:rPr>
                              </w:pPr>
                              <w:r>
                                <w:rPr>
                                  <w:rFonts w:ascii="Times New Roman" w:hAnsi="Times New Roman" w:cs="Times New Roman"/>
                                  <w:color w:val="002060"/>
                                </w:rPr>
                                <w:t>Green Credit</w:t>
                              </w:r>
                            </w:p>
                            <w:p w14:paraId="497F3553" w14:textId="77777777" w:rsidR="00B60BE5" w:rsidRDefault="00B60BE5">
                              <w:pPr>
                                <w:jc w:val="center"/>
                                <w:rPr>
                                  <w:rFonts w:ascii="Times New Roman" w:hAnsi="Times New Roman" w:cs="Times New Roman"/>
                                  <w:color w:val="002060"/>
                                </w:rPr>
                              </w:pPr>
                            </w:p>
                          </w:txbxContent>
                        </v:textbox>
                      </v:roundrect>
                    </v:group>
                    <v:group id="Group 12" o:spid="_x0000_s1038" style="position:absolute;left:1620;top:24257;width:15520;height:7620" coordorigin="1586,-4318" coordsize="15811,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oundrect id="Rounded Rectangle 13" o:spid="_x0000_s1039" style="position:absolute;left:1586;top:-762;width:15811;height:4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PpvwAAAANsAAAAPAAAAZHJzL2Rvd25yZXYueG1sRE9Ni8Iw&#10;EL0v+B/CCHtbU3VRqUYRQdnTSl0PHodmbIvNpCbRVn+9WVjY2zze5yxWnanFnZyvLCsYDhIQxLnV&#10;FRcKjj/bjxkIH5A11pZJwYM8rJa9twWm2rac0f0QChFD2KeooAyhSaX0eUkG/cA2xJE7W2cwROgK&#10;qR22MdzUcpQkE2mw4thQYkObkvLL4WYU7J6ta6YTPl0/Xbb/llkgzrRS7/1uPQcRqAv/4j/3l47z&#10;x/D7SzxALl8AAAD//wMAUEsBAi0AFAAGAAgAAAAhANvh9svuAAAAhQEAABMAAAAAAAAAAAAAAAAA&#10;AAAAAFtDb250ZW50X1R5cGVzXS54bWxQSwECLQAUAAYACAAAACEAWvQsW78AAAAVAQAACwAAAAAA&#10;AAAAAAAAAAAfAQAAX3JlbHMvLnJlbHNQSwECLQAUAAYACAAAACEAyqz6b8AAAADbAAAADwAAAAAA&#10;AAAAAAAAAAAHAgAAZHJzL2Rvd25yZXYueG1sUEsFBgAAAAADAAMAtwAAAPQCAAAAAA==&#10;" filled="f" strokecolor="#1c3053" strokeweight="1pt">
                        <v:stroke joinstyle="miter"/>
                        <v:textbox>
                          <w:txbxContent>
                            <w:p w14:paraId="5BF57512" w14:textId="77777777" w:rsidR="00B60BE5" w:rsidRDefault="00000000">
                              <w:pPr>
                                <w:jc w:val="center"/>
                                <w:rPr>
                                  <w:rFonts w:ascii="Times New Roman" w:hAnsi="Times New Roman" w:cs="Times New Roman"/>
                                  <w:color w:val="002060"/>
                                </w:rPr>
                              </w:pPr>
                              <w:r>
                                <w:rPr>
                                  <w:rFonts w:ascii="Times New Roman" w:hAnsi="Times New Roman" w:cs="Times New Roman"/>
                                  <w:color w:val="002060"/>
                                </w:rPr>
                                <w:t>CA/TA</w:t>
                              </w:r>
                            </w:p>
                          </w:txbxContent>
                        </v:textbox>
                      </v:roundrect>
                      <v:roundrect id="Rounded Rectangle 14" o:spid="_x0000_s1040" style="position:absolute;left:1586;top:-4318;width:15811;height:35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WIbvwAAANsAAAAPAAAAZHJzL2Rvd25yZXYueG1sRE9Ni8Iw&#10;EL0v+B/CCN7W1EVcqUYRQfGk1N2Dx6EZ22IzqUnWVn+9EYS9zeN9znzZmVrcyPnKsoLRMAFBnFtd&#10;caHg92fzOQXhA7LG2jIpuJOH5aL3McdU25Yzuh1DIWII+xQVlCE0qZQ+L8mgH9qGOHJn6wyGCF0h&#10;tcM2hptafiXJRBqsODaU2NC6pPxy/DMKto/WNd8TPl3HLjvsZRaIM63UoN+tZiACdeFf/HbvdJw/&#10;htcv8QC5eAIAAP//AwBQSwECLQAUAAYACAAAACEA2+H2y+4AAACFAQAAEwAAAAAAAAAAAAAAAAAA&#10;AAAAW0NvbnRlbnRfVHlwZXNdLnhtbFBLAQItABQABgAIAAAAIQBa9CxbvwAAABUBAAALAAAAAAAA&#10;AAAAAAAAAB8BAABfcmVscy8ucmVsc1BLAQItABQABgAIAAAAIQBFRWIbvwAAANsAAAAPAAAAAAAA&#10;AAAAAAAAAAcCAABkcnMvZG93bnJldi54bWxQSwUGAAAAAAMAAwC3AAAA8wIAAAAA&#10;" filled="f" strokecolor="#1c3053" strokeweight="1pt">
                        <v:stroke joinstyle="miter"/>
                        <v:textbox>
                          <w:txbxContent>
                            <w:p w14:paraId="773B1608" w14:textId="77777777" w:rsidR="00B60BE5" w:rsidRDefault="00000000">
                              <w:pPr>
                                <w:spacing w:after="0" w:line="276" w:lineRule="auto"/>
                                <w:jc w:val="center"/>
                                <w:rPr>
                                  <w:rFonts w:ascii="Times New Roman" w:hAnsi="Times New Roman" w:cs="Times New Roman"/>
                                  <w:color w:val="002060"/>
                                </w:rPr>
                              </w:pPr>
                              <w:r>
                                <w:rPr>
                                  <w:rFonts w:ascii="Times New Roman" w:hAnsi="Times New Roman" w:cs="Times New Roman"/>
                                  <w:color w:val="002060"/>
                                </w:rPr>
                                <w:t>Carbon Assets</w:t>
                              </w:r>
                            </w:p>
                            <w:p w14:paraId="30C937DA" w14:textId="77777777" w:rsidR="00B60BE5" w:rsidRDefault="00B60BE5">
                              <w:pPr>
                                <w:jc w:val="center"/>
                                <w:rPr>
                                  <w:rFonts w:ascii="Times New Roman" w:hAnsi="Times New Roman" w:cs="Times New Roman"/>
                                  <w:color w:val="002060"/>
                                </w:rPr>
                              </w:pPr>
                            </w:p>
                          </w:txbxContent>
                        </v:textbox>
                      </v:roundrect>
                    </v:group>
                    <v:group id="Group 15" o:spid="_x0000_s1041" style="position:absolute;left:38735;top:12691;width:19177;height:6604" coordorigin="-1552,-5024" coordsize="19537,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oundrect id="Rounded Rectangle 16" o:spid="_x0000_s1042" style="position:absolute;left:5240;top:-1468;width:9057;height:30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1n3wQAAANsAAAAPAAAAZHJzL2Rvd25yZXYueG1sRE9Na8JA&#10;EL0L/odlhN7MxiKppK5BhIqnlqiHHofsNAnNzsbdNUn767uFQm/zeJ+zLSbTiYGcby0rWCUpCOLK&#10;6pZrBdfLy3IDwgdkjZ1lUvBFHordfLbFXNuRSxrOoRYxhH2OCpoQ+lxKXzVk0Ce2J47ch3UGQ4Su&#10;ltrhGMNNJx/TNJMGW44NDfZ0aKj6PN+NguP36PqnjN9va1e+vcoyEJdaqYfFtH8GEWgK/+I/90nH&#10;+Rn8/hIPkLsfAAAA//8DAFBLAQItABQABgAIAAAAIQDb4fbL7gAAAIUBAAATAAAAAAAAAAAAAAAA&#10;AAAAAABbQ29udGVudF9UeXBlc10ueG1sUEsBAi0AFAAGAAgAAAAhAFr0LFu/AAAAFQEAAAsAAAAA&#10;AAAAAAAAAAAAHwEAAF9yZWxzLy5yZWxzUEsBAi0AFAAGAAgAAAAhANrbWffBAAAA2wAAAA8AAAAA&#10;AAAAAAAAAAAABwIAAGRycy9kb3ducmV2LnhtbFBLBQYAAAAAAwADALcAAAD1AgAAAAA=&#10;" filled="f" strokecolor="#1c3053" strokeweight="1pt">
                        <v:stroke joinstyle="miter"/>
                        <v:textbox>
                          <w:txbxContent>
                            <w:p w14:paraId="21B5E1E4" w14:textId="77777777" w:rsidR="00B60BE5" w:rsidRDefault="00000000">
                              <w:pPr>
                                <w:jc w:val="center"/>
                                <w:rPr>
                                  <w:rFonts w:ascii="Times New Roman" w:hAnsi="Times New Roman" w:cs="Times New Roman"/>
                                  <w:color w:val="002060"/>
                                </w:rPr>
                              </w:pPr>
                              <w:r>
                                <w:rPr>
                                  <w:rFonts w:ascii="Times New Roman" w:hAnsi="Times New Roman" w:cs="Times New Roman"/>
                                  <w:color w:val="002060"/>
                                </w:rPr>
                                <w:t>ROA</w:t>
                              </w:r>
                            </w:p>
                          </w:txbxContent>
                        </v:textbox>
                      </v:roundrect>
                      <v:roundrect id="Rounded Rectangle 17" o:spid="_x0000_s1043" style="position:absolute;left:-1552;top:-5024;width:19536;height:35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xsvwAAANsAAAAPAAAAZHJzL2Rvd25yZXYueG1sRE9Ni8Iw&#10;EL0v+B/CCN7W1EVUqlFkYcWTUvXgcWjGtthMapK1dX/9RhC8zeN9zmLVmVrcyfnKsoLRMAFBnFtd&#10;caHgdPz5nIHwAVljbZkUPMjDatn7WGCqbcsZ3Q+hEDGEfYoKyhCaVEqfl2TQD21DHLmLdQZDhK6Q&#10;2mEbw00tv5JkIg1WHBtKbOi7pPx6+DUKNn+ta6YTPt/GLtvvZBaIM63UoN+t5yACdeEtfrm3Os6f&#10;wvOXeIBc/gMAAP//AwBQSwECLQAUAAYACAAAACEA2+H2y+4AAACFAQAAEwAAAAAAAAAAAAAAAAAA&#10;AAAAW0NvbnRlbnRfVHlwZXNdLnhtbFBLAQItABQABgAIAAAAIQBa9CxbvwAAABUBAAALAAAAAAAA&#10;AAAAAAAAAB8BAABfcmVscy8ucmVsc1BLAQItABQABgAIAAAAIQC1l/xsvwAAANsAAAAPAAAAAAAA&#10;AAAAAAAAAAcCAABkcnMvZG93bnJldi54bWxQSwUGAAAAAAMAAwC3AAAA8wIAAAAA&#10;" filled="f" strokecolor="#1c3053" strokeweight="1pt">
                        <v:stroke joinstyle="miter"/>
                        <v:textbox>
                          <w:txbxContent>
                            <w:p w14:paraId="10AFB1F9" w14:textId="77777777" w:rsidR="00B60BE5" w:rsidRDefault="00000000">
                              <w:pPr>
                                <w:jc w:val="center"/>
                                <w:rPr>
                                  <w:rFonts w:ascii="Times New Roman" w:hAnsi="Times New Roman" w:cs="Times New Roman"/>
                                  <w:color w:val="002060"/>
                                </w:rPr>
                              </w:pPr>
                              <w:r>
                                <w:rPr>
                                  <w:rFonts w:ascii="Times New Roman" w:hAnsi="Times New Roman" w:cs="Times New Roman"/>
                                  <w:color w:val="002060"/>
                                </w:rPr>
                                <w:t>Financial Performance (DV)</w:t>
                              </w:r>
                            </w:p>
                          </w:txbxContent>
                        </v:textbox>
                      </v:roundrect>
                    </v:group>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8" o:spid="_x0000_s1044" type="#_x0000_t86" style="position:absolute;left:15430;top:2794;width:13145;height:25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e1XwQAAANsAAAAPAAAAZHJzL2Rvd25yZXYueG1sRI9BSwMx&#10;EIXvgv8hjODNZm1BZW1aRCjYgge36nnYjJvgZrIksY3/vnMo9DbDe/PeN8t1DaM6UMo+soH7WQOK&#10;uI/W82Dgc7+5ewKVC7LFMTIZ+KcM69X11RJbG4/8QYeuDEpCOLdowJUytVrn3lHAPIsTsWg/MQUs&#10;sqZB24RHCQ+jnjfNgw7oWRocTvTqqP/t/oKBd9thTd5Pu0eMizR81a37rsbc3tSXZ1CFarmYz9dv&#10;VvAFVn6RAfTqBAAA//8DAFBLAQItABQABgAIAAAAIQDb4fbL7gAAAIUBAAATAAAAAAAAAAAAAAAA&#10;AAAAAABbQ29udGVudF9UeXBlc10ueG1sUEsBAi0AFAAGAAgAAAAhAFr0LFu/AAAAFQEAAAsAAAAA&#10;AAAAAAAAAAAAHwEAAF9yZWxzLy5yZWxzUEsBAi0AFAAGAAgAAAAhAKvB7VfBAAAA2wAAAA8AAAAA&#10;AAAAAAAAAAAABwIAAGRycy9kb3ducmV2LnhtbFBLBQYAAAAAAwADALcAAAD1AgAAAAA=&#10;" adj="946" strokecolor="#4472c4" strokeweight="1pt">
                      <v:stroke joinstyle="miter"/>
                    </v:shape>
                    <v:shapetype id="_x0000_t32" coordsize="21600,21600" o:spt="32" o:oned="t" path="m,l21600,21600e" filled="f">
                      <v:path arrowok="t" fillok="f" o:connecttype="none"/>
                      <o:lock v:ext="edit" shapetype="t"/>
                    </v:shapetype>
                    <v:shape id="Straight Arrow Connector 19" o:spid="_x0000_s1045" type="#_x0000_t32" style="position:absolute;left:14922;top:14922;width:2381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cewQAAANsAAAAPAAAAZHJzL2Rvd25yZXYueG1sRE9Na8JA&#10;EL0L/Q/LCL3pRg+iqatoQOihl6Yl4G3ITpPg7mzY3Sbx33cLgrd5vM/ZHydrxEA+dI4VrJYZCOLa&#10;6Y4bBd9fl8UWRIjIGo1jUnCnAMfDy2yPuXYjf9JQxkakEA45Kmhj7HMpQ92SxbB0PXHifpy3GBP0&#10;jdQexxRujVxn2UZa7Dg1tNhT0VJ9K3+tgtFczqfK3MuNqa7FR7EebmcvlXqdT6c3EJGm+BQ/3O86&#10;zd/B/y/pAHn4AwAA//8DAFBLAQItABQABgAIAAAAIQDb4fbL7gAAAIUBAAATAAAAAAAAAAAAAAAA&#10;AAAAAABbQ29udGVudF9UeXBlc10ueG1sUEsBAi0AFAAGAAgAAAAhAFr0LFu/AAAAFQEAAAsAAAAA&#10;AAAAAAAAAAAAHwEAAF9yZWxzLy5yZWxzUEsBAi0AFAAGAAgAAAAhAIZPNx7BAAAA2wAAAA8AAAAA&#10;AAAAAAAAAAAABwIAAGRycy9kb3ducmV2LnhtbFBLBQYAAAAAAwADALcAAAD1AgAAAAA=&#10;" strokecolor="#4472c4" strokeweight=".5pt">
                      <v:stroke endarrow="block" joinstyle="miter"/>
                    </v:shape>
                    <v:shape id="Straight Arrow Connector 20" o:spid="_x0000_s1046" type="#_x0000_t32" style="position:absolute;left:34340;top:14922;width:0;height:2082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VQ+vwAAANsAAAAPAAAAZHJzL2Rvd25yZXYueG1sRE9Ni8Iw&#10;EL0L+x/CCHvT1B5EukbRguDBy1YRvA3NbFtMJiXJtvXfbw4LHh/ve7ufrBED+dA5VrBaZiCIa6c7&#10;bhTcrqfFBkSIyBqNY1LwogD73cdsi4V2I3/TUMVGpBAOBSpoY+wLKUPdksWwdD1x4n6ctxgT9I3U&#10;HscUbo3Ms2wtLXacGlrsqWypfla/VsFoTsfD3byqtbk/ykuZD8+jl0p9zqfDF4hIU3yL/91nrSBP&#10;69OX9APk7g8AAP//AwBQSwECLQAUAAYACAAAACEA2+H2y+4AAACFAQAAEwAAAAAAAAAAAAAAAAAA&#10;AAAAW0NvbnRlbnRfVHlwZXNdLnhtbFBLAQItABQABgAIAAAAIQBa9CxbvwAAABUBAAALAAAAAAAA&#10;AAAAAAAAAB8BAABfcmVscy8ucmVsc1BLAQItABQABgAIAAAAIQDZGVQ+vwAAANsAAAAPAAAAAAAA&#10;AAAAAAAAAAcCAABkcnMvZG93bnJldi54bWxQSwUGAAAAAAMAAwC3AAAA8wIAAAAA&#10;" strokecolor="#4472c4" strokeweight=".5pt">
                      <v:stroke endarrow="block" joinstyle="miter"/>
                    </v:shape>
                  </v:group>
                </v:group>
                <v:roundrect id="Rounded Rectangle 21" o:spid="_x0000_s1047" style="position:absolute;left:17589;top:2222;width:8890;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3TwgAAANsAAAAPAAAAZHJzL2Rvd25yZXYueG1sRI/BasMw&#10;EETvhfyD2EJutWwfTOtaCaEhIadC3YReF2sjG1srYymx+/dVodDjMDNvmGq72EHcafKdYwVZkoIg&#10;bpzu2Cg4fx6enkH4gKxxcEwKvsnDdrN6qLDUbuYPutfBiAhhX6KCNoSxlNI3LVn0iRuJo3d1k8UQ&#10;5WSknnCOcDvIPE0LabHjuNDiSG8tNX19swqWr3dsLr7oPR3zff+SmWNXG6XWj8vuFUSgJfyH/9on&#10;rSDP4PdL/AFy8wMAAP//AwBQSwECLQAUAAYACAAAACEA2+H2y+4AAACFAQAAEwAAAAAAAAAAAAAA&#10;AAAAAAAAW0NvbnRlbnRfVHlwZXNdLnhtbFBLAQItABQABgAIAAAAIQBa9CxbvwAAABUBAAALAAAA&#10;AAAAAAAAAAAAAB8BAABfcmVscy8ucmVsc1BLAQItABQABgAIAAAAIQD+G53TwgAAANsAAAAPAAAA&#10;AAAAAAAAAAAAAAcCAABkcnMvZG93bnJldi54bWxQSwUGAAAAAAMAAwC3AAAA9gIAAAAA&#10;" filled="f" stroked="f">
                  <v:textbox>
                    <w:txbxContent>
                      <w:p w14:paraId="489D64CA" w14:textId="77777777" w:rsidR="00B60BE5" w:rsidRDefault="00000000">
                        <w:pPr>
                          <w:jc w:val="center"/>
                          <w:rPr>
                            <w:rFonts w:ascii="Times New Roman" w:hAnsi="Times New Roman" w:cs="Times New Roman"/>
                            <w:color w:val="002060"/>
                            <w:vertAlign w:val="subscript"/>
                          </w:rPr>
                        </w:pPr>
                        <w:r>
                          <w:rPr>
                            <w:rFonts w:ascii="Times New Roman" w:hAnsi="Times New Roman" w:cs="Times New Roman"/>
                            <w:color w:val="002060"/>
                          </w:rPr>
                          <w:t>H</w:t>
                        </w:r>
                        <w:r>
                          <w:rPr>
                            <w:rFonts w:ascii="Times New Roman" w:hAnsi="Times New Roman" w:cs="Times New Roman"/>
                            <w:color w:val="002060"/>
                            <w:vertAlign w:val="subscript"/>
                          </w:rPr>
                          <w:t>1</w:t>
                        </w:r>
                      </w:p>
                    </w:txbxContent>
                  </v:textbox>
                </v:roundrect>
                <v:roundrect id="Rounded Rectangle 22" o:spid="_x0000_s1048" style="position:absolute;left:17589;top:15176;width:8890;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QOkwAAAANsAAAAPAAAAZHJzL2Rvd25yZXYueG1sRI9Bi8Iw&#10;FITvgv8hvAVvmtqDaDXKsqJ4WrAqXh/N27S0eSlN1PrvzYLgcZiZb5jVpreNuFPnK8cKppMEBHHh&#10;dMVGwfm0G89B+ICssXFMCp7kYbMeDlaYaffgI93zYESEsM9QQRlCm0npi5Is+olriaP35zqLIcrO&#10;SN3hI8JtI9MkmUmLFceFElv6Kamo85tV0F9/sbj4We1pn27rxdTsq9woNfrqv5cgAvXhE363D1pB&#10;msL/l/gD5PoFAAD//wMAUEsBAi0AFAAGAAgAAAAhANvh9svuAAAAhQEAABMAAAAAAAAAAAAAAAAA&#10;AAAAAFtDb250ZW50X1R5cGVzXS54bWxQSwECLQAUAAYACAAAACEAWvQsW78AAAAVAQAACwAAAAAA&#10;AAAAAAAAAAAfAQAAX3JlbHMvLnJlbHNQSwECLQAUAAYACAAAACEADskDpMAAAADbAAAADwAAAAAA&#10;AAAAAAAAAAAHAgAAZHJzL2Rvd25yZXYueG1sUEsFBgAAAAADAAMAtwAAAPQCAAAAAA==&#10;" filled="f" stroked="f">
                  <v:textbox>
                    <w:txbxContent>
                      <w:p w14:paraId="3076BDC3" w14:textId="77777777" w:rsidR="00B60BE5" w:rsidRDefault="00000000">
                        <w:pPr>
                          <w:jc w:val="center"/>
                          <w:rPr>
                            <w:rFonts w:ascii="Times New Roman" w:hAnsi="Times New Roman" w:cs="Times New Roman"/>
                            <w:color w:val="002060"/>
                            <w:vertAlign w:val="subscript"/>
                          </w:rPr>
                        </w:pPr>
                        <w:r>
                          <w:rPr>
                            <w:rFonts w:ascii="Times New Roman" w:hAnsi="Times New Roman" w:cs="Times New Roman"/>
                            <w:color w:val="002060"/>
                          </w:rPr>
                          <w:t>H</w:t>
                        </w:r>
                        <w:r>
                          <w:rPr>
                            <w:rFonts w:ascii="Times New Roman" w:hAnsi="Times New Roman" w:cs="Times New Roman"/>
                            <w:color w:val="002060"/>
                            <w:vertAlign w:val="subscript"/>
                          </w:rPr>
                          <w:t>2</w:t>
                        </w:r>
                      </w:p>
                    </w:txbxContent>
                  </v:textbox>
                </v:roundrect>
                <v:roundrect id="Rounded Rectangle 23" o:spid="_x0000_s1049" style="position:absolute;left:18478;top:26860;width:8890;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aY/wQAAANsAAAAPAAAAZHJzL2Rvd25yZXYueG1sRI9Bi8Iw&#10;FITvgv8hPMGbplaQtRpFXJQ9CVsVr4/mmZY2L6XJav33G2Fhj8PMfMOst71txIM6XzlWMJsmIIgL&#10;pys2Ci7nw+QDhA/IGhvHpOBFHrab4WCNmXZP/qZHHoyIEPYZKihDaDMpfVGSRT91LXH07q6zGKLs&#10;jNQdPiPcNjJNkoW0WHFcKLGlfUlFnf9YBf3thMXVL2pPx/SzXs7MscqNUuNRv1uBCNSH//Bf+0sr&#10;SOfw/hJ/gNz8AgAA//8DAFBLAQItABQABgAIAAAAIQDb4fbL7gAAAIUBAAATAAAAAAAAAAAAAAAA&#10;AAAAAABbQ29udGVudF9UeXBlc10ueG1sUEsBAi0AFAAGAAgAAAAhAFr0LFu/AAAAFQEAAAsAAAAA&#10;AAAAAAAAAAAAHwEAAF9yZWxzLy5yZWxzUEsBAi0AFAAGAAgAAAAhAGGFpj/BAAAA2wAAAA8AAAAA&#10;AAAAAAAAAAAABwIAAGRycy9kb3ducmV2LnhtbFBLBQYAAAAAAwADALcAAAD1AgAAAAA=&#10;" filled="f" stroked="f">
                  <v:textbox>
                    <w:txbxContent>
                      <w:p w14:paraId="714F1A59" w14:textId="77777777" w:rsidR="00B60BE5" w:rsidRDefault="00000000">
                        <w:pPr>
                          <w:jc w:val="center"/>
                          <w:rPr>
                            <w:rFonts w:ascii="Times New Roman" w:hAnsi="Times New Roman" w:cs="Times New Roman"/>
                            <w:color w:val="002060"/>
                            <w:vertAlign w:val="subscript"/>
                          </w:rPr>
                        </w:pPr>
                        <w:r>
                          <w:rPr>
                            <w:rFonts w:ascii="Times New Roman" w:hAnsi="Times New Roman" w:cs="Times New Roman"/>
                            <w:color w:val="002060"/>
                          </w:rPr>
                          <w:t>H</w:t>
                        </w:r>
                        <w:r>
                          <w:rPr>
                            <w:rFonts w:ascii="Times New Roman" w:hAnsi="Times New Roman" w:cs="Times New Roman"/>
                            <w:color w:val="002060"/>
                            <w:vertAlign w:val="subscript"/>
                          </w:rPr>
                          <w:t>3</w:t>
                        </w:r>
                      </w:p>
                    </w:txbxContent>
                  </v:textbox>
                </v:roundrect>
                <v:roundrect id="Rounded Rectangle 24" o:spid="_x0000_s1050" style="position:absolute;left:30162;top:23050;width:8890;height:3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D5LwQAAANsAAAAPAAAAZHJzL2Rvd25yZXYueG1sRI9Bi8Iw&#10;FITvgv8hPMGbphaRtRpFXJQ9CVsVr4/mmZY2L6XJav33G2Fhj8PMfMOst71txIM6XzlWMJsmIIgL&#10;pys2Ci7nw+QDhA/IGhvHpOBFHrab4WCNmXZP/qZHHoyIEPYZKihDaDMpfVGSRT91LXH07q6zGKLs&#10;jNQdPiPcNjJNkoW0WHFcKLGlfUlFnf9YBf3thMXVL2pPx/SzXs7MscqNUuNRv1uBCNSH//Bf+0sr&#10;SOfw/hJ/gNz8AgAA//8DAFBLAQItABQABgAIAAAAIQDb4fbL7gAAAIUBAAATAAAAAAAAAAAAAAAA&#10;AAAAAABbQ29udGVudF9UeXBlc10ueG1sUEsBAi0AFAAGAAgAAAAhAFr0LFu/AAAAFQEAAAsAAAAA&#10;AAAAAAAAAAAAHwEAAF9yZWxzLy5yZWxzUEsBAi0AFAAGAAgAAAAhAO5sPkvBAAAA2wAAAA8AAAAA&#10;AAAAAAAAAAAABwIAAGRycy9kb3ducmV2LnhtbFBLBQYAAAAAAwADALcAAAD1AgAAAAA=&#10;" filled="f" stroked="f">
                  <v:textbox>
                    <w:txbxContent>
                      <w:p w14:paraId="1C152BF0" w14:textId="77777777" w:rsidR="00B60BE5" w:rsidRDefault="00000000">
                        <w:pPr>
                          <w:jc w:val="center"/>
                          <w:rPr>
                            <w:rFonts w:ascii="Times New Roman" w:hAnsi="Times New Roman" w:cs="Times New Roman"/>
                            <w:color w:val="002060"/>
                            <w:vertAlign w:val="subscript"/>
                          </w:rPr>
                        </w:pPr>
                        <w:r>
                          <w:rPr>
                            <w:rFonts w:ascii="Times New Roman" w:hAnsi="Times New Roman" w:cs="Times New Roman"/>
                            <w:color w:val="002060"/>
                          </w:rPr>
                          <w:t>H</w:t>
                        </w:r>
                        <w:r>
                          <w:rPr>
                            <w:rFonts w:ascii="Times New Roman" w:hAnsi="Times New Roman" w:cs="Times New Roman"/>
                            <w:color w:val="002060"/>
                            <w:vertAlign w:val="subscript"/>
                          </w:rPr>
                          <w:t>4</w:t>
                        </w:r>
                      </w:p>
                    </w:txbxContent>
                  </v:textbox>
                </v:roundrect>
              </v:group>
            </w:pict>
          </mc:Fallback>
        </mc:AlternateContent>
      </w:r>
      <w:r>
        <w:rPr>
          <w:rFonts w:ascii="Times New Roman" w:hAnsi="Times New Roman" w:cs="Times New Roman"/>
          <w:sz w:val="24"/>
          <w:szCs w:val="24"/>
          <w:lang w:val="en-US"/>
        </w:rPr>
        <w:tab/>
      </w:r>
    </w:p>
    <w:p w14:paraId="7B62560F" w14:textId="77777777" w:rsidR="00B60BE5" w:rsidRDefault="00B60BE5">
      <w:pPr>
        <w:jc w:val="both"/>
        <w:rPr>
          <w:rFonts w:ascii="Times New Roman" w:hAnsi="Times New Roman" w:cs="Times New Roman"/>
          <w:sz w:val="24"/>
          <w:szCs w:val="24"/>
          <w:lang w:val="en-US"/>
        </w:rPr>
      </w:pPr>
    </w:p>
    <w:p w14:paraId="068C7FAE" w14:textId="77777777" w:rsidR="00B60BE5" w:rsidRDefault="00B60BE5">
      <w:pPr>
        <w:jc w:val="both"/>
        <w:rPr>
          <w:rFonts w:ascii="Times New Roman" w:hAnsi="Times New Roman" w:cs="Times New Roman"/>
          <w:sz w:val="24"/>
          <w:szCs w:val="24"/>
          <w:lang w:val="en-US"/>
        </w:rPr>
      </w:pPr>
    </w:p>
    <w:p w14:paraId="570ADDFF" w14:textId="77777777" w:rsidR="00B60BE5" w:rsidRDefault="00B60BE5">
      <w:pPr>
        <w:jc w:val="both"/>
        <w:rPr>
          <w:rFonts w:ascii="Times New Roman" w:hAnsi="Times New Roman" w:cs="Times New Roman"/>
          <w:sz w:val="24"/>
          <w:szCs w:val="24"/>
          <w:lang w:val="en-US"/>
        </w:rPr>
      </w:pPr>
    </w:p>
    <w:p w14:paraId="56F36AC8" w14:textId="77777777" w:rsidR="00B60BE5" w:rsidRDefault="00B60BE5">
      <w:pPr>
        <w:jc w:val="both"/>
        <w:rPr>
          <w:rFonts w:ascii="Times New Roman" w:hAnsi="Times New Roman" w:cs="Times New Roman"/>
          <w:sz w:val="24"/>
          <w:szCs w:val="24"/>
          <w:lang w:val="en-US"/>
        </w:rPr>
      </w:pPr>
    </w:p>
    <w:p w14:paraId="5354711E" w14:textId="77777777" w:rsidR="00B60BE5" w:rsidRDefault="00B60BE5">
      <w:pPr>
        <w:jc w:val="both"/>
        <w:rPr>
          <w:rFonts w:ascii="Times New Roman" w:hAnsi="Times New Roman" w:cs="Times New Roman"/>
          <w:sz w:val="24"/>
          <w:szCs w:val="24"/>
          <w:lang w:val="en-US"/>
        </w:rPr>
      </w:pPr>
    </w:p>
    <w:p w14:paraId="69846C67" w14:textId="77777777" w:rsidR="00B60BE5" w:rsidRDefault="00B60BE5">
      <w:pPr>
        <w:jc w:val="both"/>
        <w:rPr>
          <w:rFonts w:ascii="Times New Roman" w:hAnsi="Times New Roman" w:cs="Times New Roman"/>
          <w:sz w:val="24"/>
          <w:szCs w:val="24"/>
          <w:lang w:val="en-US"/>
        </w:rPr>
      </w:pPr>
    </w:p>
    <w:p w14:paraId="183FA9D3" w14:textId="77777777" w:rsidR="00B60BE5" w:rsidRDefault="00B60BE5">
      <w:pPr>
        <w:jc w:val="both"/>
        <w:rPr>
          <w:rFonts w:ascii="Times New Roman" w:hAnsi="Times New Roman" w:cs="Times New Roman"/>
          <w:sz w:val="24"/>
          <w:szCs w:val="24"/>
          <w:lang w:val="en-US"/>
        </w:rPr>
      </w:pPr>
    </w:p>
    <w:p w14:paraId="5D62C789" w14:textId="77777777" w:rsidR="00B60BE5" w:rsidRDefault="00B60BE5">
      <w:pPr>
        <w:jc w:val="both"/>
        <w:rPr>
          <w:rFonts w:ascii="Times New Roman" w:hAnsi="Times New Roman" w:cs="Times New Roman"/>
          <w:sz w:val="24"/>
          <w:szCs w:val="24"/>
          <w:lang w:val="en-US"/>
        </w:rPr>
      </w:pPr>
    </w:p>
    <w:p w14:paraId="318DC257" w14:textId="77777777" w:rsidR="00B60BE5" w:rsidRDefault="00B60BE5">
      <w:pPr>
        <w:jc w:val="both"/>
        <w:rPr>
          <w:rFonts w:ascii="Times New Roman" w:hAnsi="Times New Roman" w:cs="Times New Roman"/>
          <w:sz w:val="24"/>
          <w:szCs w:val="24"/>
          <w:lang w:val="en-US"/>
        </w:rPr>
      </w:pPr>
    </w:p>
    <w:p w14:paraId="266548D7" w14:textId="77777777" w:rsidR="00B60BE5" w:rsidRDefault="00B60BE5">
      <w:pPr>
        <w:jc w:val="both"/>
        <w:rPr>
          <w:rFonts w:ascii="Times New Roman" w:hAnsi="Times New Roman" w:cs="Times New Roman"/>
          <w:sz w:val="24"/>
          <w:szCs w:val="24"/>
          <w:lang w:val="en-US"/>
        </w:rPr>
      </w:pPr>
    </w:p>
    <w:p w14:paraId="16A833A7" w14:textId="77777777" w:rsidR="00B60BE5" w:rsidRDefault="00B60BE5">
      <w:pPr>
        <w:jc w:val="both"/>
        <w:rPr>
          <w:rFonts w:ascii="Times New Roman" w:hAnsi="Times New Roman" w:cs="Times New Roman"/>
          <w:sz w:val="24"/>
          <w:szCs w:val="24"/>
          <w:lang w:val="en-US"/>
        </w:rPr>
      </w:pPr>
    </w:p>
    <w:p w14:paraId="4DD25573" w14:textId="77777777" w:rsidR="00B60BE5" w:rsidRDefault="00B60BE5">
      <w:pPr>
        <w:jc w:val="both"/>
        <w:rPr>
          <w:rFonts w:ascii="Times New Roman" w:hAnsi="Times New Roman" w:cs="Times New Roman"/>
          <w:sz w:val="24"/>
          <w:szCs w:val="24"/>
          <w:lang w:val="en-US"/>
        </w:rPr>
      </w:pPr>
    </w:p>
    <w:p w14:paraId="1924F712" w14:textId="77777777" w:rsidR="00B60BE5" w:rsidRDefault="00B60BE5">
      <w:pPr>
        <w:jc w:val="both"/>
        <w:rPr>
          <w:rFonts w:ascii="Times New Roman" w:hAnsi="Times New Roman" w:cs="Times New Roman"/>
          <w:sz w:val="24"/>
          <w:szCs w:val="24"/>
          <w:lang w:val="en-US"/>
        </w:rPr>
      </w:pPr>
    </w:p>
    <w:p w14:paraId="3A271C4C" w14:textId="77777777" w:rsidR="00B60BE5" w:rsidRDefault="00B60BE5">
      <w:pPr>
        <w:jc w:val="both"/>
        <w:rPr>
          <w:rFonts w:ascii="Times New Roman" w:hAnsi="Times New Roman" w:cs="Times New Roman"/>
          <w:sz w:val="24"/>
          <w:szCs w:val="24"/>
          <w:lang w:val="en-US"/>
        </w:rPr>
      </w:pPr>
    </w:p>
    <w:p w14:paraId="09755047" w14:textId="77777777" w:rsidR="00B60BE5" w:rsidRDefault="00B60BE5">
      <w:pPr>
        <w:jc w:val="both"/>
        <w:rPr>
          <w:rFonts w:ascii="Times New Roman" w:hAnsi="Times New Roman" w:cs="Times New Roman"/>
          <w:sz w:val="24"/>
          <w:szCs w:val="24"/>
          <w:lang w:val="en-US"/>
        </w:rPr>
      </w:pPr>
    </w:p>
    <w:p w14:paraId="74955DE6" w14:textId="77777777" w:rsidR="00B60BE5" w:rsidRDefault="00B60BE5">
      <w:pPr>
        <w:jc w:val="both"/>
        <w:rPr>
          <w:rFonts w:ascii="Times New Roman" w:hAnsi="Times New Roman" w:cs="Times New Roman"/>
          <w:sz w:val="24"/>
          <w:szCs w:val="24"/>
          <w:lang w:val="en-US"/>
        </w:rPr>
      </w:pPr>
    </w:p>
    <w:p w14:paraId="214043E8" w14:textId="77777777" w:rsidR="00B60BE5" w:rsidRDefault="00B60BE5">
      <w:pPr>
        <w:jc w:val="both"/>
        <w:rPr>
          <w:rFonts w:ascii="Times New Roman" w:hAnsi="Times New Roman" w:cs="Times New Roman"/>
          <w:b/>
          <w:bCs/>
          <w:sz w:val="24"/>
          <w:szCs w:val="24"/>
        </w:rPr>
      </w:pPr>
    </w:p>
    <w:p w14:paraId="3979DECB" w14:textId="77777777" w:rsidR="00B60BE5" w:rsidRDefault="00B60BE5">
      <w:pPr>
        <w:jc w:val="both"/>
        <w:rPr>
          <w:rFonts w:ascii="Times New Roman" w:hAnsi="Times New Roman" w:cs="Times New Roman"/>
          <w:b/>
          <w:bCs/>
          <w:sz w:val="24"/>
          <w:szCs w:val="24"/>
        </w:rPr>
      </w:pPr>
    </w:p>
    <w:p w14:paraId="1364DE7A" w14:textId="77777777" w:rsidR="00B60BE5" w:rsidRDefault="00B60BE5">
      <w:pPr>
        <w:jc w:val="both"/>
        <w:rPr>
          <w:rFonts w:ascii="Times New Roman" w:hAnsi="Times New Roman" w:cs="Times New Roman"/>
          <w:b/>
          <w:bCs/>
          <w:sz w:val="24"/>
          <w:szCs w:val="24"/>
        </w:rPr>
      </w:pPr>
    </w:p>
    <w:p w14:paraId="1FB7A1CC" w14:textId="77777777" w:rsidR="00B60BE5" w:rsidRDefault="00B60BE5">
      <w:pPr>
        <w:jc w:val="both"/>
        <w:rPr>
          <w:rFonts w:ascii="Times New Roman" w:hAnsi="Times New Roman" w:cs="Times New Roman"/>
          <w:b/>
          <w:bCs/>
          <w:sz w:val="24"/>
          <w:szCs w:val="24"/>
        </w:rPr>
      </w:pPr>
    </w:p>
    <w:p w14:paraId="62C6E0C8" w14:textId="77777777" w:rsidR="00B60BE5" w:rsidRDefault="00B60BE5">
      <w:pPr>
        <w:jc w:val="both"/>
        <w:rPr>
          <w:rFonts w:ascii="Times New Roman" w:hAnsi="Times New Roman" w:cs="Times New Roman"/>
          <w:b/>
          <w:bCs/>
          <w:sz w:val="24"/>
          <w:szCs w:val="24"/>
        </w:rPr>
      </w:pPr>
    </w:p>
    <w:p w14:paraId="02AA320D" w14:textId="77777777" w:rsidR="00B60BE5" w:rsidRDefault="00B60BE5">
      <w:pPr>
        <w:jc w:val="both"/>
        <w:rPr>
          <w:rFonts w:ascii="Times New Roman" w:hAnsi="Times New Roman" w:cs="Times New Roman"/>
          <w:b/>
          <w:bCs/>
          <w:sz w:val="24"/>
          <w:szCs w:val="24"/>
        </w:rPr>
      </w:pPr>
    </w:p>
    <w:p w14:paraId="564EC495" w14:textId="77777777" w:rsidR="00B60BE5" w:rsidRDefault="00B60BE5">
      <w:pPr>
        <w:jc w:val="both"/>
        <w:rPr>
          <w:rFonts w:ascii="Times New Roman" w:hAnsi="Times New Roman" w:cs="Times New Roman"/>
          <w:b/>
          <w:bCs/>
          <w:sz w:val="24"/>
          <w:szCs w:val="24"/>
        </w:rPr>
      </w:pPr>
    </w:p>
    <w:p w14:paraId="26D87A40" w14:textId="77777777" w:rsidR="00B60BE5" w:rsidRDefault="00B60BE5">
      <w:pPr>
        <w:jc w:val="both"/>
        <w:rPr>
          <w:rFonts w:ascii="Times New Roman" w:hAnsi="Times New Roman" w:cs="Times New Roman"/>
          <w:b/>
          <w:bCs/>
          <w:sz w:val="24"/>
          <w:szCs w:val="24"/>
        </w:rPr>
      </w:pPr>
    </w:p>
    <w:p w14:paraId="59D6A5DE" w14:textId="77777777" w:rsidR="00B60BE5" w:rsidRDefault="00000000">
      <w:pPr>
        <w:jc w:val="both"/>
        <w:rPr>
          <w:rFonts w:ascii="Times New Roman" w:hAnsi="Times New Roman" w:cs="Times New Roman"/>
          <w:sz w:val="24"/>
          <w:szCs w:val="24"/>
          <w:lang w:val="en-US"/>
        </w:rPr>
      </w:pPr>
      <w:r>
        <w:rPr>
          <w:rFonts w:ascii="Times New Roman" w:hAnsi="Times New Roman" w:cs="Times New Roman"/>
          <w:b/>
          <w:bCs/>
          <w:sz w:val="24"/>
          <w:szCs w:val="24"/>
        </w:rPr>
        <w:t xml:space="preserve">Fig 1. Conceptualizing the relationship between Green finance, Firm Size and Financial Performance. Source; Adapted from other studies </w:t>
      </w:r>
      <w:r>
        <w:rPr>
          <w:rFonts w:ascii="Times New Roman" w:hAnsi="Times New Roman" w:cs="Times New Roman"/>
          <w:b/>
          <w:bCs/>
          <w:color w:val="0F1115"/>
        </w:rPr>
        <w:t xml:space="preserve">Nagina, R. (2025), </w:t>
      </w:r>
      <w:r>
        <w:rPr>
          <w:rFonts w:ascii="Times New Roman" w:eastAsia="Times New Roman" w:hAnsi="Times New Roman" w:cs="Times New Roman"/>
          <w:b/>
          <w:bCs/>
          <w:kern w:val="0"/>
          <w:sz w:val="24"/>
          <w:szCs w:val="24"/>
          <w14:ligatures w14:val="none"/>
        </w:rPr>
        <w:t xml:space="preserve">Bylo (2025), </w:t>
      </w:r>
      <w:r>
        <w:rPr>
          <w:rFonts w:ascii="Times New Roman" w:hAnsi="Times New Roman" w:cs="Times New Roman"/>
          <w:b/>
          <w:bCs/>
          <w:sz w:val="24"/>
          <w:szCs w:val="24"/>
        </w:rPr>
        <w:t>Waweru, 2023, Ongore &amp; Kusa, 2013)</w:t>
      </w:r>
    </w:p>
    <w:p w14:paraId="1AA60D78"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br w:type="page"/>
      </w:r>
    </w:p>
    <w:p w14:paraId="6F5F6392" w14:textId="77777777" w:rsidR="00B60BE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fig 1.1 is conceptualizing the relationship between green finance, firm size, and financial performance of banks</w:t>
      </w:r>
      <w:r>
        <w:rPr>
          <w:rFonts w:ascii="Times New Roman" w:hAnsi="Times New Roman" w:cs="Times New Roman"/>
          <w:b/>
          <w:bCs/>
          <w:sz w:val="24"/>
          <w:szCs w:val="24"/>
        </w:rPr>
        <w:t>.</w:t>
      </w:r>
      <w:r>
        <w:rPr>
          <w:rFonts w:ascii="Times New Roman" w:hAnsi="Times New Roman" w:cs="Times New Roman"/>
          <w:sz w:val="24"/>
          <w:szCs w:val="24"/>
        </w:rPr>
        <w:t xml:space="preserve"> The framework illustrates how green finance, measured through green bonds, green credit, and carbon assets, influences the financial performance of banks. Financial performance is the dependent variable and is measured using Return on Assets (ROA).</w:t>
      </w:r>
    </w:p>
    <w:p w14:paraId="397BD3F9" w14:textId="77777777" w:rsidR="00B60BE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framework further introduces firm size as a moderating variable. Firm size is expected to influence the strength and direction of the relationship between green finance and financial performance. Larger banks may have more resources, better risk management systems, and greater capacity to implement green finance initiatives compared to smaller banks.</w:t>
      </w:r>
    </w:p>
    <w:p w14:paraId="5E7FBBB7" w14:textId="5CDBE315" w:rsidR="00B60BE5"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Overall, the conceptual framework shows that green finance directly </w:t>
      </w:r>
      <w:r w:rsidR="003C47A3">
        <w:rPr>
          <w:rFonts w:ascii="Times New Roman" w:hAnsi="Times New Roman" w:cs="Times New Roman"/>
          <w:sz w:val="24"/>
          <w:szCs w:val="24"/>
        </w:rPr>
        <w:t>affects</w:t>
      </w:r>
      <w:r>
        <w:rPr>
          <w:rFonts w:ascii="Times New Roman" w:hAnsi="Times New Roman" w:cs="Times New Roman"/>
          <w:sz w:val="24"/>
          <w:szCs w:val="24"/>
        </w:rPr>
        <w:t xml:space="preserve"> financial performance, while firm size moderates the relationship between green finance and financial performance in the banking sector</w:t>
      </w:r>
    </w:p>
    <w:p w14:paraId="65514786" w14:textId="77777777" w:rsidR="00B60BE5" w:rsidRDefault="00B60BE5">
      <w:pPr>
        <w:jc w:val="both"/>
        <w:rPr>
          <w:rFonts w:ascii="Times New Roman" w:hAnsi="Times New Roman" w:cs="Times New Roman"/>
          <w:sz w:val="24"/>
          <w:szCs w:val="24"/>
        </w:rPr>
      </w:pPr>
    </w:p>
    <w:p w14:paraId="7A31DD08" w14:textId="77777777" w:rsidR="00B60BE5" w:rsidRDefault="00B60BE5">
      <w:pPr>
        <w:jc w:val="both"/>
        <w:rPr>
          <w:rFonts w:ascii="Times New Roman" w:hAnsi="Times New Roman" w:cs="Times New Roman"/>
          <w:sz w:val="24"/>
          <w:szCs w:val="24"/>
        </w:rPr>
      </w:pPr>
    </w:p>
    <w:p w14:paraId="65F977B0" w14:textId="77777777" w:rsidR="00B60BE5" w:rsidRDefault="00B60BE5">
      <w:pPr>
        <w:jc w:val="both"/>
        <w:rPr>
          <w:rFonts w:ascii="Times New Roman" w:hAnsi="Times New Roman" w:cs="Times New Roman"/>
          <w:sz w:val="24"/>
          <w:szCs w:val="24"/>
        </w:rPr>
      </w:pPr>
    </w:p>
    <w:p w14:paraId="2E71777A" w14:textId="77777777" w:rsidR="00B60BE5" w:rsidRDefault="00B60BE5">
      <w:pPr>
        <w:spacing w:line="360" w:lineRule="auto"/>
        <w:ind w:left="720" w:hanging="720"/>
        <w:rPr>
          <w:rFonts w:ascii="Times New Roman" w:hAnsi="Times New Roman" w:cs="Times New Roman"/>
          <w:b/>
          <w:bCs/>
          <w:sz w:val="24"/>
          <w:szCs w:val="24"/>
        </w:rPr>
      </w:pPr>
    </w:p>
    <w:p w14:paraId="5201434F" w14:textId="77777777" w:rsidR="00B60BE5" w:rsidRDefault="00B60BE5">
      <w:pPr>
        <w:spacing w:line="360" w:lineRule="auto"/>
        <w:ind w:left="720" w:hanging="720"/>
        <w:rPr>
          <w:rFonts w:ascii="Times New Roman" w:hAnsi="Times New Roman" w:cs="Times New Roman"/>
          <w:sz w:val="24"/>
          <w:szCs w:val="24"/>
        </w:rPr>
      </w:pPr>
    </w:p>
    <w:p w14:paraId="15800C30" w14:textId="77777777" w:rsidR="00B60BE5" w:rsidRDefault="00B60BE5">
      <w:pPr>
        <w:spacing w:line="360" w:lineRule="auto"/>
        <w:rPr>
          <w:rFonts w:ascii="Times New Roman" w:hAnsi="Times New Roman" w:cs="Times New Roman"/>
          <w:sz w:val="24"/>
          <w:szCs w:val="24"/>
        </w:rPr>
      </w:pPr>
    </w:p>
    <w:p w14:paraId="6C6042C9" w14:textId="77777777" w:rsidR="00B60BE5" w:rsidRDefault="00B60BE5">
      <w:pPr>
        <w:spacing w:line="360" w:lineRule="auto"/>
        <w:rPr>
          <w:rFonts w:ascii="Times New Roman" w:hAnsi="Times New Roman" w:cs="Times New Roman"/>
          <w:sz w:val="24"/>
          <w:szCs w:val="24"/>
        </w:rPr>
      </w:pPr>
    </w:p>
    <w:p w14:paraId="43EEFF72" w14:textId="77777777" w:rsidR="00B60BE5" w:rsidRDefault="00B60BE5">
      <w:pPr>
        <w:spacing w:line="360" w:lineRule="auto"/>
        <w:rPr>
          <w:rFonts w:ascii="Times New Roman" w:hAnsi="Times New Roman" w:cs="Times New Roman"/>
          <w:sz w:val="24"/>
          <w:szCs w:val="24"/>
        </w:rPr>
      </w:pPr>
    </w:p>
    <w:p w14:paraId="42CA9DF1" w14:textId="77777777" w:rsidR="00B60BE5" w:rsidRDefault="00B60BE5">
      <w:pPr>
        <w:spacing w:line="360" w:lineRule="auto"/>
        <w:rPr>
          <w:rFonts w:ascii="Times New Roman" w:hAnsi="Times New Roman" w:cs="Times New Roman"/>
          <w:sz w:val="24"/>
          <w:szCs w:val="24"/>
        </w:rPr>
      </w:pPr>
    </w:p>
    <w:p w14:paraId="721A051C"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br w:type="page"/>
      </w:r>
    </w:p>
    <w:p w14:paraId="6B42E5DA" w14:textId="77777777" w:rsidR="00B60BE5" w:rsidRDefault="00000000" w:rsidP="00B11B57">
      <w:pPr>
        <w:pStyle w:val="Heading1"/>
        <w:jc w:val="center"/>
        <w:rPr>
          <w:rFonts w:ascii="Times New Roman" w:hAnsi="Times New Roman" w:cs="Times New Roman"/>
          <w:b/>
          <w:bCs/>
          <w:color w:val="auto"/>
          <w:sz w:val="24"/>
          <w:szCs w:val="24"/>
        </w:rPr>
      </w:pPr>
      <w:bookmarkStart w:id="41" w:name="_Toc222210217"/>
      <w:r>
        <w:rPr>
          <w:rFonts w:ascii="Times New Roman" w:hAnsi="Times New Roman" w:cs="Times New Roman"/>
          <w:b/>
          <w:bCs/>
          <w:color w:val="auto"/>
          <w:sz w:val="24"/>
          <w:szCs w:val="24"/>
        </w:rPr>
        <w:lastRenderedPageBreak/>
        <w:t>CHAPTER THREE</w:t>
      </w:r>
      <w:bookmarkEnd w:id="41"/>
    </w:p>
    <w:p w14:paraId="0078BE95" w14:textId="782CE2C1" w:rsidR="00B60BE5" w:rsidRDefault="00000000" w:rsidP="00B11B57">
      <w:pPr>
        <w:pStyle w:val="Heading2"/>
        <w:jc w:val="center"/>
        <w:rPr>
          <w:rFonts w:ascii="Times New Roman" w:hAnsi="Times New Roman" w:cs="Times New Roman"/>
          <w:b/>
          <w:bCs/>
          <w:color w:val="auto"/>
          <w:sz w:val="24"/>
          <w:szCs w:val="24"/>
        </w:rPr>
      </w:pPr>
      <w:bookmarkStart w:id="42" w:name="_Toc222210218"/>
      <w:r>
        <w:rPr>
          <w:rFonts w:ascii="Times New Roman" w:hAnsi="Times New Roman" w:cs="Times New Roman"/>
          <w:b/>
          <w:bCs/>
          <w:color w:val="auto"/>
          <w:sz w:val="24"/>
          <w:szCs w:val="24"/>
        </w:rPr>
        <w:t>Overview</w:t>
      </w:r>
      <w:bookmarkEnd w:id="42"/>
    </w:p>
    <w:p w14:paraId="3333FA46"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This chapter presents the systematic methodology employed to investigate the relationship between green finance, firm size, and financial performance of commercial banks in Kenya. The chapter outlines the research design, study area, target population, sampling procedures, data collection instruments, and analytical techniques that guide the empirical investigation. By detailing these methodological components, this chapter ensures that the research process is rigorous, transparent, and capable of yielding valid and reliable findings that address the study's objectives and hypotheses. The chapter is structured to provide a clear roadmap for data collection and analysis while maintaining methodological integrity throughout the research process.</w:t>
      </w:r>
    </w:p>
    <w:p w14:paraId="6C152658" w14:textId="77777777" w:rsidR="00B60BE5" w:rsidRDefault="00000000">
      <w:pPr>
        <w:pStyle w:val="Heading2"/>
        <w:rPr>
          <w:rFonts w:ascii="Times New Roman" w:hAnsi="Times New Roman" w:cs="Times New Roman"/>
          <w:b/>
          <w:bCs/>
          <w:color w:val="auto"/>
          <w:sz w:val="24"/>
          <w:szCs w:val="24"/>
        </w:rPr>
      </w:pPr>
      <w:bookmarkStart w:id="43" w:name="_Toc222210219"/>
      <w:r>
        <w:rPr>
          <w:rFonts w:ascii="Times New Roman" w:hAnsi="Times New Roman" w:cs="Times New Roman"/>
          <w:b/>
          <w:bCs/>
          <w:color w:val="auto"/>
          <w:sz w:val="24"/>
          <w:szCs w:val="24"/>
        </w:rPr>
        <w:t>Study area</w:t>
      </w:r>
      <w:bookmarkEnd w:id="43"/>
    </w:p>
    <w:p w14:paraId="026CFE4A" w14:textId="77777777" w:rsidR="00B60BE5" w:rsidRDefault="00000000">
      <w:pPr>
        <w:spacing w:line="480" w:lineRule="auto"/>
        <w:jc w:val="both"/>
        <w:rPr>
          <w:rFonts w:ascii="Times New Roman" w:hAnsi="Times New Roman" w:cs="Times New Roman"/>
          <w:sz w:val="24"/>
          <w:szCs w:val="24"/>
        </w:rPr>
      </w:pPr>
      <w:r>
        <w:rPr>
          <w:rFonts w:ascii="Times New Roman" w:eastAsia="SimSun" w:hAnsi="Times New Roman" w:cs="Times New Roman"/>
          <w:sz w:val="24"/>
          <w:szCs w:val="24"/>
        </w:rPr>
        <w:t xml:space="preserve">This study focuses on Kenya, an East African country whose commercial banking sector of 40 licensed banks operates nationwide, with headquarters in Nairobi. Kenya provides an ideal setting due to its progressive green finance initiatives, including the Kenya Green Bond Programme and CBK’s Sustainable Finance Principles, alongside a diverse banking ecosystem of large, medium, and small institutions. The sector’s regulatory momentum, mandatory sustainability reporting, and accessible data facilitate analysis of green finance adoption, while findings have direct relevance for national policy and Kenya’s commitments to the Paris Agreement and Sustainable Development Goals. </w:t>
      </w:r>
    </w:p>
    <w:p w14:paraId="2A63FF94" w14:textId="77777777" w:rsidR="00B60BE5" w:rsidRDefault="00000000">
      <w:pPr>
        <w:pStyle w:val="Heading2"/>
        <w:rPr>
          <w:rFonts w:ascii="Times New Roman" w:hAnsi="Times New Roman" w:cs="Times New Roman"/>
          <w:b/>
          <w:bCs/>
          <w:color w:val="auto"/>
          <w:sz w:val="24"/>
          <w:szCs w:val="24"/>
        </w:rPr>
      </w:pPr>
      <w:bookmarkStart w:id="44" w:name="_Toc222210220"/>
      <w:r>
        <w:rPr>
          <w:rFonts w:ascii="Times New Roman" w:hAnsi="Times New Roman" w:cs="Times New Roman"/>
          <w:b/>
          <w:bCs/>
          <w:color w:val="auto"/>
          <w:sz w:val="24"/>
          <w:szCs w:val="24"/>
        </w:rPr>
        <w:t>Research design</w:t>
      </w:r>
      <w:bookmarkEnd w:id="44"/>
    </w:p>
    <w:p w14:paraId="59508810" w14:textId="6EDBEA8B"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Based on a review of existing literature on green finance and bank performance, prior studies have employed varied research designs depending on their objectives and contexts. For instance, Obonyo and Ondabu (2024) used a descriptive research design with panel data regression models to analyze the relationship between green financing mechanisms and financial performance in Kenyan Tier 1 banks. Similarly, Mangwa and Jagongo (2022) adopted </w:t>
      </w:r>
      <w:r>
        <w:rPr>
          <w:rFonts w:ascii="Times New Roman" w:hAnsi="Times New Roman" w:cs="Times New Roman"/>
          <w:sz w:val="24"/>
          <w:szCs w:val="24"/>
        </w:rPr>
        <w:lastRenderedPageBreak/>
        <w:t>a desktop empirical methodology, relying on secondary data to explore green financing’s influence on listed banks in Kenya. Sino, Baraza, and Monari (2025) applied a positivist philosophy with a correlational design using secondary data from bank financial and sustainability reports. In Bangladesh, Chowdhury (2023) utilized a linear regression and questionnaire analysis within a quantitative cross</w:t>
      </w:r>
      <w:r w:rsidR="003C47A3">
        <w:rPr>
          <w:rFonts w:ascii="Times New Roman" w:hAnsi="Times New Roman" w:cs="Times New Roman"/>
          <w:sz w:val="24"/>
          <w:szCs w:val="24"/>
          <w:lang w:val="en-US"/>
        </w:rPr>
        <w:t>-</w:t>
      </w:r>
      <w:r>
        <w:rPr>
          <w:rFonts w:ascii="Times New Roman" w:hAnsi="Times New Roman" w:cs="Times New Roman"/>
          <w:sz w:val="24"/>
          <w:szCs w:val="24"/>
        </w:rPr>
        <w:t>sectional design to assess green finance’s impact on private commercial banks. Additionally, Khan, Akbar, Nasim, Hedivcakova, and Bashir (2022) employed a panel data analysis with a random effects model to examine green finance development and environmental sustainability across multiple regions.</w:t>
      </w:r>
    </w:p>
    <w:p w14:paraId="0180C09B" w14:textId="28F9C101" w:rsidR="00B60BE5" w:rsidRDefault="00000000">
      <w:pPr>
        <w:spacing w:line="480" w:lineRule="auto"/>
        <w:jc w:val="both"/>
      </w:pPr>
      <w:r>
        <w:rPr>
          <w:rFonts w:ascii="Times New Roman" w:hAnsi="Times New Roman" w:cs="Times New Roman"/>
          <w:sz w:val="24"/>
          <w:szCs w:val="24"/>
        </w:rPr>
        <w:t>This study will use a quantitative panel design to examine the impact of green finance on the financial performance of commercial banks in Kenya. This design is justified because it allows for the measurement of quantifiable financial variables, controls for unobserved bank</w:t>
      </w:r>
      <w:r w:rsidR="003C47A3">
        <w:rPr>
          <w:rFonts w:ascii="Times New Roman" w:hAnsi="Times New Roman" w:cs="Times New Roman"/>
          <w:sz w:val="24"/>
          <w:szCs w:val="24"/>
          <w:lang w:val="en-US"/>
        </w:rPr>
        <w:t>-</w:t>
      </w:r>
      <w:r>
        <w:rPr>
          <w:rFonts w:ascii="Times New Roman" w:hAnsi="Times New Roman" w:cs="Times New Roman"/>
          <w:sz w:val="24"/>
          <w:szCs w:val="24"/>
        </w:rPr>
        <w:t xml:space="preserve">specific characteristics, establishes temporal precedence, and captures dynamic relationships over time. Data will be </w:t>
      </w:r>
      <w:r w:rsidR="003C47A3">
        <w:rPr>
          <w:rFonts w:ascii="Times New Roman" w:hAnsi="Times New Roman" w:cs="Times New Roman"/>
          <w:sz w:val="24"/>
          <w:szCs w:val="24"/>
        </w:rPr>
        <w:t>analysed</w:t>
      </w:r>
      <w:r>
        <w:rPr>
          <w:rFonts w:ascii="Times New Roman" w:hAnsi="Times New Roman" w:cs="Times New Roman"/>
          <w:sz w:val="24"/>
          <w:szCs w:val="24"/>
        </w:rPr>
        <w:t xml:space="preserve"> using descriptive statistics, such as mean, mode, and standard deviation, and inferential statistics, including The fixed effects model is an inferential econometric technique used to estimate the impact of explanatory variables while controlling for unobserved time</w:t>
      </w:r>
      <w:r w:rsidR="003C47A3">
        <w:rPr>
          <w:rFonts w:ascii="Times New Roman" w:hAnsi="Times New Roman" w:cs="Times New Roman"/>
          <w:sz w:val="24"/>
          <w:szCs w:val="24"/>
          <w:lang w:val="en-US"/>
        </w:rPr>
        <w:t>-</w:t>
      </w:r>
      <w:r>
        <w:rPr>
          <w:rFonts w:ascii="Times New Roman" w:hAnsi="Times New Roman" w:cs="Times New Roman"/>
          <w:sz w:val="24"/>
          <w:szCs w:val="24"/>
        </w:rPr>
        <w:t>invariant heterogeneity</w:t>
      </w:r>
    </w:p>
    <w:p w14:paraId="4369B846" w14:textId="77777777" w:rsidR="00B60BE5" w:rsidRDefault="00000000">
      <w:pPr>
        <w:pStyle w:val="Heading2"/>
        <w:rPr>
          <w:rFonts w:ascii="Times New Roman" w:eastAsia="Calibri" w:hAnsi="Times New Roman" w:cs="Times New Roman"/>
          <w:b/>
          <w:bCs/>
          <w:color w:val="auto"/>
          <w:sz w:val="24"/>
          <w:szCs w:val="24"/>
        </w:rPr>
      </w:pPr>
      <w:bookmarkStart w:id="45" w:name="_Toc222210221"/>
      <w:r>
        <w:rPr>
          <w:rFonts w:ascii="Times New Roman" w:hAnsi="Times New Roman" w:cs="Times New Roman"/>
          <w:b/>
          <w:bCs/>
          <w:color w:val="auto"/>
          <w:sz w:val="24"/>
          <w:szCs w:val="24"/>
        </w:rPr>
        <w:t>Target Population</w:t>
      </w:r>
      <w:bookmarkEnd w:id="45"/>
    </w:p>
    <w:p w14:paraId="49CF3796"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Based on a review of existing literature on green finance and bank performance, prior studies have employed varied sampling frames and target populations. For instance, Obonyo and Ondabu (2024) purposively targeted Tier 1 commercial banks in Kenya as their primary population, justifying their selection because these large banks are the most active and influential players in green financing initiatives. Similarly, Sino, Baraza, and Monari (2025) defined their population as all commercial banks listed on the Nairobi Securities Exchange (NSE), focusing on publicly traded institutions for which consistent financial and sustainability data are readily available. In contrast, Mangwa and Jagongo (2022) considered the broader </w:t>
      </w:r>
      <w:r>
        <w:rPr>
          <w:rFonts w:ascii="Times New Roman" w:hAnsi="Times New Roman" w:cs="Times New Roman"/>
          <w:sz w:val="24"/>
          <w:szCs w:val="24"/>
        </w:rPr>
        <w:lastRenderedPageBreak/>
        <w:t>context of listed commercial banks in Kenya for their desktop review, while Chowdhury (2023) encompassed all private commercial banks in Bangladesh in a national study to ensure comprehensive sectoral representation.</w:t>
      </w:r>
    </w:p>
    <w:p w14:paraId="2D9458D9"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target population for this study comprises all 40 commercial banks licensed and operating in Kenya from 2021 to 2025, as reported by the Central Bank of Kenya (2023). The population is heterogeneous in size, with 6 large Tier 1 banks (15%), 14 medium Tier 2 banks (35%), and 20 smaller Tier 3 banks (50%), providing a diverse context for analysing green finance adoption and performance. This population is appropriate for the study because it comprehensively includes all banks subject to Kenya’s green finance regulations, exhibits heterogeneity in size, ownership, and strategy, and operates under a uniform CBK regulatory framework. Standardized reporting ensures consistent and comparable data, while findings will be directly relevant to policy and applicable across the entire regulated commercial banking sector.</w:t>
      </w:r>
    </w:p>
    <w:p w14:paraId="2F215121" w14:textId="77777777" w:rsidR="00B60BE5" w:rsidRDefault="00000000">
      <w:pPr>
        <w:pStyle w:val="Heading2"/>
        <w:rPr>
          <w:rFonts w:ascii="Times New Roman" w:eastAsia="Calibri" w:hAnsi="Times New Roman" w:cs="Times New Roman"/>
          <w:b/>
          <w:bCs/>
          <w:color w:val="auto"/>
          <w:sz w:val="24"/>
          <w:szCs w:val="24"/>
        </w:rPr>
      </w:pPr>
      <w:bookmarkStart w:id="46" w:name="_Toc222210222"/>
      <w:r>
        <w:rPr>
          <w:rFonts w:ascii="Times New Roman" w:hAnsi="Times New Roman" w:cs="Times New Roman"/>
          <w:b/>
          <w:bCs/>
          <w:color w:val="auto"/>
          <w:sz w:val="24"/>
          <w:szCs w:val="24"/>
        </w:rPr>
        <w:t>Sample Size</w:t>
      </w:r>
      <w:bookmarkEnd w:id="46"/>
      <w:r>
        <w:rPr>
          <w:rFonts w:ascii="Times New Roman" w:hAnsi="Times New Roman" w:cs="Times New Roman"/>
          <w:b/>
          <w:bCs/>
          <w:color w:val="auto"/>
          <w:sz w:val="24"/>
          <w:szCs w:val="24"/>
        </w:rPr>
        <w:t xml:space="preserve"> </w:t>
      </w:r>
    </w:p>
    <w:p w14:paraId="2C321FBA"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Given the manageable population of 40 banks and the need for comprehensive sector analysis, this study employs a census rather than sampling. A census is justified because it ensures full representation across all bank size categories, provides insights applicable to policymakers, and maximizes statistical power for subgroup analyses, making it both feasible and methodologically robust for this research.</w:t>
      </w:r>
    </w:p>
    <w:p w14:paraId="19F7FA04" w14:textId="77777777" w:rsidR="00B60BE5" w:rsidRDefault="00000000">
      <w:pPr>
        <w:pStyle w:val="Heading2"/>
        <w:rPr>
          <w:rFonts w:ascii="Times New Roman" w:hAnsi="Times New Roman" w:cs="Times New Roman"/>
          <w:b/>
          <w:bCs/>
          <w:color w:val="auto"/>
          <w:sz w:val="24"/>
          <w:szCs w:val="24"/>
        </w:rPr>
      </w:pPr>
      <w:bookmarkStart w:id="47" w:name="_Toc222210223"/>
      <w:r>
        <w:rPr>
          <w:rFonts w:ascii="Times New Roman" w:hAnsi="Times New Roman" w:cs="Times New Roman"/>
          <w:b/>
          <w:bCs/>
          <w:color w:val="auto"/>
          <w:sz w:val="24"/>
          <w:szCs w:val="24"/>
        </w:rPr>
        <w:t>Data Collection</w:t>
      </w:r>
      <w:bookmarkEnd w:id="47"/>
      <w:r>
        <w:rPr>
          <w:rFonts w:ascii="Times New Roman" w:hAnsi="Times New Roman" w:cs="Times New Roman"/>
          <w:b/>
          <w:bCs/>
          <w:color w:val="auto"/>
          <w:sz w:val="24"/>
          <w:szCs w:val="24"/>
        </w:rPr>
        <w:t xml:space="preserve"> </w:t>
      </w:r>
    </w:p>
    <w:p w14:paraId="593F1DF4" w14:textId="2F791AAD" w:rsidR="00B60BE5" w:rsidRDefault="00000000">
      <w:pPr>
        <w:spacing w:line="48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Based on the reviewed literature, the collection of data in green finance and bank performance research has predominantly relied on secondary data. Secondary data is defined as existing, non</w:t>
      </w:r>
      <w:r w:rsidR="003C47A3">
        <w:rPr>
          <w:rFonts w:ascii="Times New Roman" w:eastAsia="SimSun" w:hAnsi="Times New Roman" w:cs="Times New Roman"/>
          <w:sz w:val="24"/>
          <w:szCs w:val="24"/>
        </w:rPr>
        <w:t>-</w:t>
      </w:r>
      <w:r>
        <w:rPr>
          <w:rFonts w:ascii="Times New Roman" w:eastAsia="SimSun" w:hAnsi="Times New Roman" w:cs="Times New Roman"/>
          <w:sz w:val="24"/>
          <w:szCs w:val="24"/>
        </w:rPr>
        <w:t xml:space="preserve">original information compiled by other entities for different purposes, such as regulatory bodies or the institutions themselves, which are subsequently used for new research inquiry (Sino, Baraza, &amp; Monari, 2025; Mangwa &amp; Jagongo, 2022). Mangwa and Jagongo (2022) relied on a desktop empirical methodology, using secondary data from already published </w:t>
      </w:r>
      <w:r>
        <w:rPr>
          <w:rFonts w:ascii="Times New Roman" w:eastAsia="SimSun" w:hAnsi="Times New Roman" w:cs="Times New Roman"/>
          <w:sz w:val="24"/>
          <w:szCs w:val="24"/>
        </w:rPr>
        <w:lastRenderedPageBreak/>
        <w:t>research materials to draw conclusions, describing it as cost</w:t>
      </w:r>
      <w:r w:rsidR="003C47A3">
        <w:rPr>
          <w:rFonts w:ascii="Times New Roman" w:eastAsia="SimSun" w:hAnsi="Times New Roman" w:cs="Times New Roman"/>
          <w:sz w:val="24"/>
          <w:szCs w:val="24"/>
          <w:lang w:val="en-US"/>
        </w:rPr>
        <w:t>-</w:t>
      </w:r>
      <w:r>
        <w:rPr>
          <w:rFonts w:ascii="Times New Roman" w:eastAsia="SimSun" w:hAnsi="Times New Roman" w:cs="Times New Roman"/>
          <w:sz w:val="24"/>
          <w:szCs w:val="24"/>
        </w:rPr>
        <w:t>effective, time</w:t>
      </w:r>
      <w:r w:rsidR="003C47A3">
        <w:rPr>
          <w:rFonts w:ascii="Times New Roman" w:eastAsia="SimSun" w:hAnsi="Times New Roman" w:cs="Times New Roman"/>
          <w:sz w:val="24"/>
          <w:szCs w:val="24"/>
          <w:lang w:val="en-US"/>
        </w:rPr>
        <w:t>-</w:t>
      </w:r>
      <w:r>
        <w:rPr>
          <w:rFonts w:ascii="Times New Roman" w:eastAsia="SimSun" w:hAnsi="Times New Roman" w:cs="Times New Roman"/>
          <w:sz w:val="24"/>
          <w:szCs w:val="24"/>
        </w:rPr>
        <w:t>efficient, and reliable due to its prior analysis.</w:t>
      </w:r>
    </w:p>
    <w:p w14:paraId="656D03D0" w14:textId="77777777" w:rsidR="00B60BE5" w:rsidRDefault="00000000">
      <w:pPr>
        <w:spacing w:line="48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Drawing from these established approaches, this study adopts a similar methodology. For this investigation, secondary data will be exclusively used. This includes annual financial statements (balance sheets and income statements), annual reports, and publicly disclosed sustainability or integrated reports from all 40 licensed commercial banks in Kenya, covering the period from 2021 to 2025. These documents will be sourced primarily from the official databases and publications of the Central Bank of Kenya (CBK) and the individual banks' investor relations websites. This method is justified as it provides access to standardized, audited, and reliable information on bank performance (financial metrics) and green financing activities, ensuring consistency and comparability across the panel.</w:t>
      </w:r>
    </w:p>
    <w:p w14:paraId="22382B2A" w14:textId="77777777" w:rsidR="00B60BE5" w:rsidRDefault="00000000">
      <w:pPr>
        <w:spacing w:line="48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data collection process involves; obtaining approval from the university, applying for a NACOSTI research license, and purchasing and coding the data. The data will then be analysed using descriptive statistics, such as mean and standard deviation, as well as inferential statistics, including Fixed Effect model.</w:t>
      </w:r>
    </w:p>
    <w:p w14:paraId="5FDCB39C" w14:textId="77777777" w:rsidR="00B60BE5" w:rsidRDefault="00000000">
      <w:pPr>
        <w:pStyle w:val="Heading2"/>
        <w:rPr>
          <w:rFonts w:ascii="Times New Roman" w:hAnsi="Times New Roman" w:cs="Times New Roman"/>
          <w:b/>
          <w:bCs/>
          <w:color w:val="auto"/>
          <w:sz w:val="24"/>
          <w:szCs w:val="24"/>
        </w:rPr>
      </w:pPr>
      <w:bookmarkStart w:id="48" w:name="_Toc222210224"/>
      <w:r>
        <w:rPr>
          <w:rFonts w:ascii="Times New Roman" w:hAnsi="Times New Roman" w:cs="Times New Roman"/>
          <w:b/>
          <w:bCs/>
          <w:color w:val="auto"/>
          <w:sz w:val="24"/>
          <w:szCs w:val="24"/>
        </w:rPr>
        <w:t>Data Analysis</w:t>
      </w:r>
      <w:bookmarkEnd w:id="48"/>
    </w:p>
    <w:p w14:paraId="30E36135" w14:textId="4C58FB96"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Based on existing literature, prior studies on green finance and bank performance have employed a range of statistical methods to validate and analyze their data. Empirical evidence from Kenya has begun to adopt fixed effects panel regression models to address unobserved heterogeneity in banking studies. For example, Wekesa and Dayim (2023) applied a panel Fixed Effect model to analyze how financial risk factors influence profitability of tier</w:t>
      </w:r>
      <w:r w:rsidR="003C47A3">
        <w:rPr>
          <w:rFonts w:ascii="Times New Roman" w:hAnsi="Times New Roman" w:cs="Times New Roman"/>
          <w:sz w:val="24"/>
          <w:szCs w:val="24"/>
          <w:lang w:val="en-US"/>
        </w:rPr>
        <w:t xml:space="preserve"> </w:t>
      </w:r>
      <w:r>
        <w:rPr>
          <w:rFonts w:ascii="Times New Roman" w:hAnsi="Times New Roman" w:cs="Times New Roman"/>
          <w:sz w:val="24"/>
          <w:szCs w:val="24"/>
        </w:rPr>
        <w:t xml:space="preserve">three commercial banks in Kenya, selecting the model through Hausman diagnostics to ensure robustness of results. Similarly, Ondabu and Obonyo (2025) employed panel data regression with model specification tests (including Hausman) in studying how green financing mechanisms impact financial performance of Kenyan commercial banks, indicating an </w:t>
      </w:r>
      <w:r>
        <w:rPr>
          <w:rFonts w:ascii="Times New Roman" w:hAnsi="Times New Roman" w:cs="Times New Roman"/>
          <w:sz w:val="24"/>
          <w:szCs w:val="24"/>
        </w:rPr>
        <w:lastRenderedPageBreak/>
        <w:t>emerging trend of using fixed effects estimators in sustainability</w:t>
      </w:r>
      <w:r>
        <w:rPr>
          <w:rFonts w:ascii="Times New Roman" w:hAnsi="Times New Roman" w:cs="Times New Roman"/>
          <w:sz w:val="24"/>
          <w:szCs w:val="24"/>
        </w:rPr>
        <w:noBreakHyphen/>
        <w:t>related finance research. These methodological precedents support the appropriateness of using FE models in examining the relationship between green finance variables and financial performance in the commercial banking sector in Kenya.</w:t>
      </w:r>
    </w:p>
    <w:p w14:paraId="1E14F98F" w14:textId="77777777" w:rsidR="00B60BE5" w:rsidRDefault="00000000">
      <w:pPr>
        <w:ind w:left="360"/>
        <w:rPr>
          <w:rFonts w:ascii="Times New Roman" w:hAnsi="Times New Roman" w:cs="Times New Roman"/>
          <w:i/>
          <w:sz w:val="24"/>
          <w:szCs w:val="24"/>
          <w:vertAlign w:val="subscript"/>
        </w:rPr>
      </w:pPr>
      <w:r>
        <w:rPr>
          <w:rFonts w:ascii="Times New Roman" w:hAnsi="Times New Roman" w:cs="Times New Roman"/>
          <w:sz w:val="24"/>
          <w:szCs w:val="24"/>
        </w:rPr>
        <w:t>FP</w:t>
      </w:r>
      <w:r>
        <w:rPr>
          <w:rFonts w:ascii="Times New Roman" w:hAnsi="Times New Roman" w:cs="Times New Roman"/>
          <w:sz w:val="24"/>
          <w:szCs w:val="24"/>
          <w:vertAlign w:val="subscript"/>
        </w:rPr>
        <w:t>it</w:t>
      </w:r>
      <w:r>
        <w:rPr>
          <w:rFonts w:ascii="Times New Roman" w:hAnsi="Times New Roman" w:cs="Times New Roman"/>
          <w:sz w:val="24"/>
          <w:szCs w:val="24"/>
        </w:rPr>
        <w:t xml:space="preserve"> = β</w:t>
      </w:r>
      <w:r>
        <w:rPr>
          <w:rFonts w:ascii="Times New Roman" w:hAnsi="Times New Roman" w:cs="Times New Roman"/>
          <w:sz w:val="24"/>
          <w:szCs w:val="24"/>
          <w:vertAlign w:val="subscript"/>
        </w:rPr>
        <w:t xml:space="preserve">0 </w:t>
      </w:r>
      <w:r>
        <w:rPr>
          <w:rFonts w:ascii="Times New Roman" w:hAnsi="Times New Roman" w:cs="Times New Roman"/>
          <w:sz w:val="24"/>
          <w:szCs w:val="24"/>
        </w:rPr>
        <w:t>+ β</w:t>
      </w:r>
      <w:r>
        <w:rPr>
          <w:rFonts w:ascii="Times New Roman" w:hAnsi="Times New Roman" w:cs="Times New Roman"/>
          <w:sz w:val="24"/>
          <w:szCs w:val="24"/>
          <w:vertAlign w:val="subscript"/>
        </w:rPr>
        <w:t>1</w:t>
      </w:r>
      <w:r>
        <w:rPr>
          <w:rFonts w:ascii="Times New Roman" w:hAnsi="Times New Roman" w:cs="Times New Roman"/>
          <w:sz w:val="24"/>
          <w:szCs w:val="24"/>
        </w:rPr>
        <w:t>GB</w:t>
      </w:r>
      <w:r>
        <w:rPr>
          <w:rFonts w:ascii="Times New Roman" w:hAnsi="Times New Roman" w:cs="Times New Roman"/>
          <w:sz w:val="24"/>
          <w:szCs w:val="24"/>
          <w:vertAlign w:val="subscript"/>
        </w:rPr>
        <w:t>it</w:t>
      </w:r>
      <w:r>
        <w:rPr>
          <w:rFonts w:ascii="Times New Roman" w:hAnsi="Times New Roman" w:cs="Times New Roman"/>
          <w:sz w:val="24"/>
          <w:szCs w:val="24"/>
        </w:rPr>
        <w:t xml:space="preserve"> + β</w:t>
      </w:r>
      <w:r>
        <w:rPr>
          <w:rFonts w:ascii="Times New Roman" w:hAnsi="Times New Roman" w:cs="Times New Roman"/>
          <w:sz w:val="24"/>
          <w:szCs w:val="24"/>
          <w:vertAlign w:val="subscript"/>
        </w:rPr>
        <w:t>1</w:t>
      </w:r>
      <w:r>
        <w:rPr>
          <w:rFonts w:ascii="Times New Roman" w:hAnsi="Times New Roman" w:cs="Times New Roman"/>
          <w:sz w:val="24"/>
          <w:szCs w:val="24"/>
        </w:rPr>
        <w:t>GC</w:t>
      </w:r>
      <w:r>
        <w:rPr>
          <w:rFonts w:ascii="Times New Roman" w:hAnsi="Times New Roman" w:cs="Times New Roman"/>
          <w:sz w:val="24"/>
          <w:szCs w:val="24"/>
          <w:vertAlign w:val="subscript"/>
        </w:rPr>
        <w:t xml:space="preserve">it </w:t>
      </w:r>
      <w:r>
        <w:rPr>
          <w:rFonts w:ascii="Times New Roman" w:hAnsi="Times New Roman" w:cs="Times New Roman"/>
          <w:sz w:val="24"/>
          <w:szCs w:val="24"/>
        </w:rPr>
        <w:t>+ β</w:t>
      </w:r>
      <w:r>
        <w:rPr>
          <w:rFonts w:ascii="Times New Roman" w:hAnsi="Times New Roman" w:cs="Times New Roman"/>
          <w:sz w:val="24"/>
          <w:szCs w:val="24"/>
          <w:vertAlign w:val="subscript"/>
        </w:rPr>
        <w:t>2</w:t>
      </w:r>
      <w:r>
        <w:rPr>
          <w:rFonts w:ascii="Times New Roman" w:hAnsi="Times New Roman" w:cs="Times New Roman"/>
          <w:sz w:val="24"/>
          <w:szCs w:val="24"/>
        </w:rPr>
        <w:t>CA</w:t>
      </w:r>
      <w:r>
        <w:rPr>
          <w:rFonts w:ascii="Times New Roman" w:hAnsi="Times New Roman" w:cs="Times New Roman"/>
          <w:sz w:val="24"/>
          <w:szCs w:val="24"/>
          <w:vertAlign w:val="subscript"/>
        </w:rPr>
        <w:t xml:space="preserve">it + </w:t>
      </w:r>
      <w:r>
        <w:rPr>
          <w:rFonts w:ascii="Times New Roman" w:hAnsi="Times New Roman" w:cs="Times New Roman"/>
          <w:sz w:val="24"/>
          <w:szCs w:val="24"/>
        </w:rPr>
        <w:t>β</w:t>
      </w:r>
      <w:r>
        <w:rPr>
          <w:rFonts w:ascii="Times New Roman" w:hAnsi="Times New Roman" w:cs="Times New Roman"/>
          <w:sz w:val="24"/>
          <w:szCs w:val="24"/>
          <w:vertAlign w:val="subscript"/>
        </w:rPr>
        <w:t>4</w:t>
      </w:r>
      <w:r>
        <w:rPr>
          <w:rFonts w:ascii="Times New Roman" w:hAnsi="Times New Roman" w:cs="Times New Roman"/>
          <w:sz w:val="24"/>
          <w:szCs w:val="24"/>
        </w:rPr>
        <w:t>FS</w:t>
      </w:r>
      <w:r>
        <w:rPr>
          <w:rFonts w:ascii="Times New Roman" w:hAnsi="Times New Roman" w:cs="Times New Roman"/>
          <w:sz w:val="24"/>
          <w:szCs w:val="24"/>
          <w:vertAlign w:val="subscript"/>
        </w:rPr>
        <w:t>it</w:t>
      </w:r>
      <w:r>
        <w:rPr>
          <w:rFonts w:ascii="Times New Roman" w:hAnsi="Times New Roman" w:cs="Times New Roman"/>
          <w:sz w:val="24"/>
          <w:szCs w:val="24"/>
        </w:rPr>
        <w:t xml:space="preserve"> + β</w:t>
      </w:r>
      <w:r>
        <w:rPr>
          <w:rFonts w:ascii="Times New Roman" w:hAnsi="Times New Roman" w:cs="Times New Roman"/>
          <w:sz w:val="24"/>
          <w:szCs w:val="24"/>
          <w:vertAlign w:val="subscript"/>
        </w:rPr>
        <w:t>5</w:t>
      </w:r>
      <w:r>
        <w:rPr>
          <w:rFonts w:ascii="Times New Roman" w:hAnsi="Times New Roman" w:cs="Times New Roman"/>
          <w:sz w:val="24"/>
          <w:szCs w:val="24"/>
        </w:rPr>
        <w:t>(GB</w:t>
      </w:r>
      <w:r>
        <w:rPr>
          <w:rFonts w:ascii="Times New Roman" w:hAnsi="Times New Roman" w:cs="Times New Roman"/>
          <w:sz w:val="24"/>
          <w:szCs w:val="24"/>
          <w:vertAlign w:val="subscript"/>
        </w:rPr>
        <w:t>it</w:t>
      </w:r>
      <w:r>
        <w:rPr>
          <w:rFonts w:ascii="Times New Roman" w:hAnsi="Times New Roman" w:cs="Times New Roman"/>
          <w:sz w:val="24"/>
          <w:szCs w:val="24"/>
        </w:rPr>
        <w:t xml:space="preserve"> + FS</w:t>
      </w:r>
      <w:r>
        <w:rPr>
          <w:rFonts w:ascii="Times New Roman" w:hAnsi="Times New Roman" w:cs="Times New Roman"/>
          <w:sz w:val="24"/>
          <w:szCs w:val="24"/>
          <w:vertAlign w:val="subscript"/>
        </w:rPr>
        <w:t>it</w:t>
      </w:r>
      <w:r>
        <w:rPr>
          <w:rFonts w:ascii="Times New Roman" w:hAnsi="Times New Roman" w:cs="Times New Roman"/>
          <w:sz w:val="24"/>
          <w:szCs w:val="24"/>
        </w:rPr>
        <w:t>) + β</w:t>
      </w:r>
      <w:r>
        <w:rPr>
          <w:rFonts w:ascii="Times New Roman" w:hAnsi="Times New Roman" w:cs="Times New Roman"/>
          <w:sz w:val="24"/>
          <w:szCs w:val="24"/>
          <w:vertAlign w:val="subscript"/>
        </w:rPr>
        <w:t>6</w:t>
      </w:r>
      <w:r>
        <w:rPr>
          <w:rFonts w:ascii="Times New Roman" w:hAnsi="Times New Roman" w:cs="Times New Roman"/>
          <w:sz w:val="24"/>
          <w:szCs w:val="24"/>
        </w:rPr>
        <w:t>(GC</w:t>
      </w:r>
      <w:r>
        <w:rPr>
          <w:rFonts w:ascii="Times New Roman" w:hAnsi="Times New Roman" w:cs="Times New Roman"/>
          <w:sz w:val="24"/>
          <w:szCs w:val="24"/>
          <w:vertAlign w:val="subscript"/>
        </w:rPr>
        <w:t>it</w:t>
      </w:r>
      <w:r>
        <w:rPr>
          <w:rFonts w:ascii="Times New Roman" w:hAnsi="Times New Roman" w:cs="Times New Roman"/>
          <w:sz w:val="24"/>
          <w:szCs w:val="24"/>
        </w:rPr>
        <w:t xml:space="preserve"> + FS</w:t>
      </w:r>
      <w:r>
        <w:rPr>
          <w:rFonts w:ascii="Times New Roman" w:hAnsi="Times New Roman" w:cs="Times New Roman"/>
          <w:sz w:val="24"/>
          <w:szCs w:val="24"/>
          <w:vertAlign w:val="subscript"/>
        </w:rPr>
        <w:t>it</w:t>
      </w:r>
      <w:r>
        <w:rPr>
          <w:rFonts w:ascii="Times New Roman" w:hAnsi="Times New Roman" w:cs="Times New Roman"/>
          <w:sz w:val="24"/>
          <w:szCs w:val="24"/>
        </w:rPr>
        <w:t>) + β</w:t>
      </w:r>
      <w:r>
        <w:rPr>
          <w:rFonts w:ascii="Times New Roman" w:hAnsi="Times New Roman" w:cs="Times New Roman"/>
          <w:sz w:val="24"/>
          <w:szCs w:val="24"/>
          <w:vertAlign w:val="subscript"/>
        </w:rPr>
        <w:t>7</w:t>
      </w:r>
      <w:r>
        <w:rPr>
          <w:rFonts w:ascii="Times New Roman" w:hAnsi="Times New Roman" w:cs="Times New Roman"/>
          <w:sz w:val="24"/>
          <w:szCs w:val="24"/>
        </w:rPr>
        <w:t>(CA</w:t>
      </w:r>
      <w:r>
        <w:rPr>
          <w:rFonts w:ascii="Times New Roman" w:hAnsi="Times New Roman" w:cs="Times New Roman"/>
          <w:sz w:val="24"/>
          <w:szCs w:val="24"/>
          <w:vertAlign w:val="subscript"/>
        </w:rPr>
        <w:t>it</w:t>
      </w:r>
      <w:r>
        <w:rPr>
          <w:rFonts w:ascii="Times New Roman" w:hAnsi="Times New Roman" w:cs="Times New Roman"/>
          <w:sz w:val="24"/>
          <w:szCs w:val="24"/>
        </w:rPr>
        <w:t xml:space="preserve"> + FS</w:t>
      </w:r>
      <w:r>
        <w:rPr>
          <w:rFonts w:ascii="Times New Roman" w:hAnsi="Times New Roman" w:cs="Times New Roman"/>
          <w:sz w:val="24"/>
          <w:szCs w:val="24"/>
          <w:vertAlign w:val="subscript"/>
        </w:rPr>
        <w:t>it</w:t>
      </w:r>
      <w:r>
        <w:rPr>
          <w:rFonts w:ascii="Times New Roman" w:hAnsi="Times New Roman" w:cs="Times New Roman"/>
          <w:sz w:val="24"/>
          <w:szCs w:val="24"/>
        </w:rPr>
        <w:t>) + μ</w:t>
      </w:r>
      <w:r>
        <w:rPr>
          <w:rFonts w:ascii="Times New Roman" w:hAnsi="Times New Roman" w:cs="Times New Roman"/>
          <w:sz w:val="24"/>
          <w:szCs w:val="24"/>
          <w:vertAlign w:val="subscript"/>
        </w:rPr>
        <w:t xml:space="preserve">i </w:t>
      </w:r>
      <w:r>
        <w:rPr>
          <w:rFonts w:ascii="Times New Roman" w:hAnsi="Times New Roman" w:cs="Times New Roman"/>
          <w:sz w:val="24"/>
          <w:szCs w:val="24"/>
        </w:rPr>
        <w:t>+ ε</w:t>
      </w:r>
      <w:r>
        <w:rPr>
          <w:rFonts w:ascii="Times New Roman" w:hAnsi="Times New Roman" w:cs="Times New Roman"/>
          <w:i/>
          <w:sz w:val="24"/>
          <w:szCs w:val="24"/>
          <w:vertAlign w:val="subscript"/>
        </w:rPr>
        <w:t>it</w:t>
      </w:r>
    </w:p>
    <w:p w14:paraId="25B6AB7B" w14:textId="77777777" w:rsidR="00B60BE5" w:rsidRDefault="00000000">
      <w:pPr>
        <w:ind w:left="360"/>
        <w:rPr>
          <w:rFonts w:ascii="Times New Roman" w:hAnsi="Times New Roman" w:cs="Times New Roman"/>
          <w:sz w:val="24"/>
          <w:szCs w:val="24"/>
        </w:rPr>
      </w:pPr>
      <w:r>
        <w:rPr>
          <w:rFonts w:ascii="Times New Roman" w:hAnsi="Times New Roman" w:cs="Times New Roman"/>
          <w:sz w:val="24"/>
          <w:szCs w:val="24"/>
        </w:rPr>
        <w:t>Where:</w:t>
      </w:r>
    </w:p>
    <w:p w14:paraId="6BDD60ED" w14:textId="77777777" w:rsidR="00B60BE5" w:rsidRDefault="00000000">
      <w:pPr>
        <w:spacing w:line="276" w:lineRule="auto"/>
        <w:ind w:firstLine="360"/>
        <w:rPr>
          <w:rFonts w:ascii="Times New Roman" w:hAnsi="Times New Roman" w:cs="Times New Roman"/>
          <w:i/>
          <w:iCs/>
          <w:sz w:val="24"/>
          <w:szCs w:val="24"/>
        </w:rPr>
      </w:pPr>
      <w:r>
        <w:rPr>
          <w:rFonts w:ascii="Times New Roman" w:hAnsi="Times New Roman" w:cs="Times New Roman"/>
          <w:b/>
          <w:bCs/>
          <w:sz w:val="24"/>
          <w:szCs w:val="24"/>
        </w:rPr>
        <w:t>FP</w:t>
      </w:r>
      <w:r>
        <w:rPr>
          <w:rFonts w:ascii="Times New Roman" w:hAnsi="Times New Roman" w:cs="Times New Roman"/>
          <w:b/>
          <w:bCs/>
          <w:sz w:val="24"/>
          <w:szCs w:val="24"/>
          <w:vertAlign w:val="subscript"/>
        </w:rPr>
        <w:t>it</w:t>
      </w:r>
      <w:r>
        <w:rPr>
          <w:rFonts w:ascii="Times New Roman" w:hAnsi="Times New Roman" w:cs="Times New Roman"/>
          <w:b/>
          <w:bCs/>
          <w:sz w:val="24"/>
          <w:szCs w:val="24"/>
        </w:rPr>
        <w:t xml:space="preserve"> </w:t>
      </w:r>
      <w:r>
        <w:rPr>
          <w:rFonts w:ascii="Times New Roman" w:hAnsi="Times New Roman" w:cs="Times New Roman"/>
          <w:sz w:val="24"/>
          <w:szCs w:val="24"/>
        </w:rPr>
        <w:tab/>
        <w:t>=</w:t>
      </w:r>
      <w:r>
        <w:rPr>
          <w:rFonts w:ascii="Times New Roman" w:hAnsi="Times New Roman" w:cs="Times New Roman"/>
          <w:sz w:val="24"/>
          <w:szCs w:val="24"/>
        </w:rPr>
        <w:tab/>
        <w:t xml:space="preserve">Financial Performance of firm </w:t>
      </w:r>
      <w:r>
        <w:rPr>
          <w:rFonts w:ascii="Times New Roman" w:hAnsi="Times New Roman" w:cs="Times New Roman"/>
          <w:i/>
          <w:iCs/>
          <w:sz w:val="24"/>
          <w:szCs w:val="24"/>
        </w:rPr>
        <w:t>i</w:t>
      </w:r>
      <w:r>
        <w:rPr>
          <w:rFonts w:ascii="Times New Roman" w:hAnsi="Times New Roman" w:cs="Times New Roman"/>
          <w:sz w:val="24"/>
          <w:szCs w:val="24"/>
        </w:rPr>
        <w:t xml:space="preserve"> at time</w:t>
      </w:r>
      <w:r>
        <w:rPr>
          <w:rFonts w:ascii="Times New Roman" w:hAnsi="Times New Roman" w:cs="Times New Roman"/>
          <w:i/>
          <w:iCs/>
          <w:sz w:val="24"/>
          <w:szCs w:val="24"/>
        </w:rPr>
        <w:t xml:space="preserve"> t</w:t>
      </w:r>
    </w:p>
    <w:p w14:paraId="26DC5CBC" w14:textId="77777777" w:rsidR="00B60BE5" w:rsidRDefault="00000000">
      <w:pPr>
        <w:spacing w:line="276" w:lineRule="auto"/>
        <w:ind w:firstLine="360"/>
        <w:rPr>
          <w:rFonts w:ascii="Times New Roman" w:hAnsi="Times New Roman" w:cs="Times New Roman"/>
          <w:sz w:val="24"/>
          <w:szCs w:val="24"/>
        </w:rPr>
      </w:pPr>
      <w:r>
        <w:rPr>
          <w:rFonts w:ascii="Times New Roman" w:hAnsi="Times New Roman" w:cs="Times New Roman"/>
          <w:b/>
          <w:bCs/>
          <w:sz w:val="24"/>
          <w:szCs w:val="24"/>
        </w:rPr>
        <w:t>GB</w:t>
      </w:r>
      <w:r>
        <w:rPr>
          <w:rFonts w:ascii="Times New Roman" w:hAnsi="Times New Roman" w:cs="Times New Roman"/>
          <w:b/>
          <w:bCs/>
          <w:sz w:val="24"/>
          <w:szCs w:val="24"/>
          <w:vertAlign w:val="subscript"/>
        </w:rPr>
        <w:t>it</w:t>
      </w:r>
      <w:r>
        <w:rPr>
          <w:rFonts w:ascii="Times New Roman" w:hAnsi="Times New Roman" w:cs="Times New Roman"/>
          <w:sz w:val="24"/>
          <w:szCs w:val="24"/>
          <w:vertAlign w:val="subscript"/>
        </w:rPr>
        <w:tab/>
      </w:r>
      <w:r>
        <w:rPr>
          <w:rFonts w:ascii="Times New Roman" w:hAnsi="Times New Roman" w:cs="Times New Roman"/>
          <w:sz w:val="24"/>
          <w:szCs w:val="24"/>
        </w:rPr>
        <w:t xml:space="preserve">= </w:t>
      </w:r>
      <w:r>
        <w:rPr>
          <w:rFonts w:ascii="Times New Roman" w:hAnsi="Times New Roman" w:cs="Times New Roman"/>
          <w:sz w:val="24"/>
          <w:szCs w:val="24"/>
        </w:rPr>
        <w:tab/>
        <w:t xml:space="preserve">Green Bonds issued/held by firm </w:t>
      </w:r>
      <w:r>
        <w:rPr>
          <w:rFonts w:ascii="Times New Roman" w:hAnsi="Times New Roman" w:cs="Times New Roman"/>
          <w:i/>
          <w:iCs/>
          <w:sz w:val="24"/>
          <w:szCs w:val="24"/>
        </w:rPr>
        <w:t>i</w:t>
      </w:r>
      <w:r>
        <w:rPr>
          <w:rFonts w:ascii="Times New Roman" w:hAnsi="Times New Roman" w:cs="Times New Roman"/>
          <w:sz w:val="24"/>
          <w:szCs w:val="24"/>
        </w:rPr>
        <w:t xml:space="preserve"> at time </w:t>
      </w:r>
      <w:r>
        <w:rPr>
          <w:rFonts w:ascii="Times New Roman" w:hAnsi="Times New Roman" w:cs="Times New Roman"/>
          <w:i/>
          <w:iCs/>
          <w:sz w:val="24"/>
          <w:szCs w:val="24"/>
        </w:rPr>
        <w:t>t</w:t>
      </w:r>
      <w:r>
        <w:rPr>
          <w:rFonts w:ascii="Times New Roman" w:hAnsi="Times New Roman" w:cs="Times New Roman"/>
          <w:sz w:val="24"/>
          <w:szCs w:val="24"/>
        </w:rPr>
        <w:tab/>
      </w:r>
    </w:p>
    <w:p w14:paraId="6EDE5CDB" w14:textId="77777777" w:rsidR="00B60BE5" w:rsidRDefault="00000000">
      <w:pPr>
        <w:spacing w:line="276" w:lineRule="auto"/>
        <w:ind w:left="360"/>
        <w:rPr>
          <w:rFonts w:ascii="Times New Roman" w:hAnsi="Times New Roman" w:cs="Times New Roman"/>
          <w:sz w:val="24"/>
          <w:szCs w:val="24"/>
        </w:rPr>
      </w:pPr>
      <w:r>
        <w:rPr>
          <w:rFonts w:ascii="Times New Roman" w:hAnsi="Times New Roman" w:cs="Times New Roman"/>
          <w:b/>
          <w:bCs/>
          <w:sz w:val="24"/>
          <w:szCs w:val="24"/>
        </w:rPr>
        <w:t>GC</w:t>
      </w:r>
      <w:r>
        <w:rPr>
          <w:rFonts w:ascii="Times New Roman" w:hAnsi="Times New Roman" w:cs="Times New Roman"/>
          <w:b/>
          <w:bCs/>
          <w:sz w:val="24"/>
          <w:szCs w:val="24"/>
          <w:vertAlign w:val="subscript"/>
        </w:rPr>
        <w:t>it</w:t>
      </w:r>
      <w:r>
        <w:rPr>
          <w:rFonts w:ascii="Times New Roman" w:hAnsi="Times New Roman" w:cs="Times New Roman"/>
          <w:sz w:val="24"/>
          <w:szCs w:val="24"/>
        </w:rPr>
        <w:t xml:space="preserve"> </w:t>
      </w:r>
      <w:r>
        <w:rPr>
          <w:rFonts w:ascii="Times New Roman" w:hAnsi="Times New Roman" w:cs="Times New Roman"/>
          <w:sz w:val="24"/>
          <w:szCs w:val="24"/>
        </w:rPr>
        <w:tab/>
        <w:t>=</w:t>
      </w:r>
      <w:r>
        <w:rPr>
          <w:rFonts w:ascii="Times New Roman" w:hAnsi="Times New Roman" w:cs="Times New Roman"/>
          <w:sz w:val="24"/>
          <w:szCs w:val="24"/>
        </w:rPr>
        <w:tab/>
        <w:t xml:space="preserve">Green Credit of firm </w:t>
      </w:r>
      <w:r>
        <w:rPr>
          <w:rFonts w:ascii="Times New Roman" w:hAnsi="Times New Roman" w:cs="Times New Roman"/>
          <w:i/>
          <w:iCs/>
          <w:sz w:val="24"/>
          <w:szCs w:val="24"/>
        </w:rPr>
        <w:t xml:space="preserve">i </w:t>
      </w:r>
      <w:r>
        <w:rPr>
          <w:rFonts w:ascii="Times New Roman" w:hAnsi="Times New Roman" w:cs="Times New Roman"/>
          <w:sz w:val="24"/>
          <w:szCs w:val="24"/>
        </w:rPr>
        <w:t xml:space="preserve">at time </w:t>
      </w:r>
      <w:r>
        <w:rPr>
          <w:rFonts w:ascii="Times New Roman" w:hAnsi="Times New Roman" w:cs="Times New Roman"/>
          <w:i/>
          <w:iCs/>
          <w:sz w:val="24"/>
          <w:szCs w:val="24"/>
        </w:rPr>
        <w:t>t</w:t>
      </w:r>
    </w:p>
    <w:p w14:paraId="639D1F1D" w14:textId="77777777" w:rsidR="00B60BE5" w:rsidRDefault="00000000">
      <w:pPr>
        <w:spacing w:line="276" w:lineRule="auto"/>
        <w:ind w:firstLine="360"/>
        <w:rPr>
          <w:rFonts w:ascii="Times New Roman" w:hAnsi="Times New Roman" w:cs="Times New Roman"/>
          <w:sz w:val="24"/>
          <w:szCs w:val="24"/>
        </w:rPr>
      </w:pPr>
      <w:r>
        <w:rPr>
          <w:rFonts w:ascii="Times New Roman" w:hAnsi="Times New Roman" w:cs="Times New Roman"/>
          <w:b/>
          <w:bCs/>
          <w:sz w:val="24"/>
          <w:szCs w:val="24"/>
        </w:rPr>
        <w:t>CA</w:t>
      </w:r>
      <w:r>
        <w:rPr>
          <w:rFonts w:ascii="Times New Roman" w:hAnsi="Times New Roman" w:cs="Times New Roman"/>
          <w:b/>
          <w:bCs/>
          <w:sz w:val="24"/>
          <w:szCs w:val="24"/>
          <w:vertAlign w:val="subscript"/>
        </w:rPr>
        <w:t>it</w:t>
      </w:r>
      <w:r>
        <w:rPr>
          <w:rFonts w:ascii="Times New Roman" w:hAnsi="Times New Roman" w:cs="Times New Roman"/>
          <w:b/>
          <w:bCs/>
          <w:sz w:val="24"/>
          <w:szCs w:val="24"/>
        </w:rPr>
        <w:t xml:space="preserve"> </w:t>
      </w:r>
      <w:r>
        <w:rPr>
          <w:rFonts w:ascii="Times New Roman" w:hAnsi="Times New Roman" w:cs="Times New Roman"/>
          <w:sz w:val="24"/>
          <w:szCs w:val="24"/>
        </w:rPr>
        <w:tab/>
        <w:t>=</w:t>
      </w:r>
      <w:r>
        <w:rPr>
          <w:rFonts w:ascii="Times New Roman" w:hAnsi="Times New Roman" w:cs="Times New Roman"/>
          <w:sz w:val="24"/>
          <w:szCs w:val="24"/>
        </w:rPr>
        <w:tab/>
        <w:t xml:space="preserve">Carbon Assets of firm </w:t>
      </w:r>
      <w:r>
        <w:rPr>
          <w:rFonts w:ascii="Times New Roman" w:hAnsi="Times New Roman" w:cs="Times New Roman"/>
          <w:i/>
          <w:iCs/>
          <w:sz w:val="24"/>
          <w:szCs w:val="24"/>
        </w:rPr>
        <w:t>i</w:t>
      </w:r>
      <w:r>
        <w:rPr>
          <w:rFonts w:ascii="Times New Roman" w:hAnsi="Times New Roman" w:cs="Times New Roman"/>
          <w:sz w:val="24"/>
          <w:szCs w:val="24"/>
        </w:rPr>
        <w:t xml:space="preserve"> at time</w:t>
      </w:r>
      <w:r>
        <w:rPr>
          <w:rFonts w:ascii="Times New Roman" w:hAnsi="Times New Roman" w:cs="Times New Roman"/>
          <w:i/>
          <w:iCs/>
          <w:sz w:val="24"/>
          <w:szCs w:val="24"/>
        </w:rPr>
        <w:t xml:space="preserve"> t</w:t>
      </w:r>
    </w:p>
    <w:p w14:paraId="1DBF888F" w14:textId="77777777" w:rsidR="00B60BE5" w:rsidRDefault="00000000">
      <w:pPr>
        <w:spacing w:line="360" w:lineRule="auto"/>
        <w:ind w:firstLine="360"/>
        <w:rPr>
          <w:rFonts w:ascii="Times New Roman" w:hAnsi="Times New Roman" w:cs="Times New Roman"/>
          <w:i/>
          <w:iCs/>
          <w:sz w:val="24"/>
          <w:szCs w:val="24"/>
        </w:rPr>
      </w:pPr>
      <w:r>
        <w:rPr>
          <w:rFonts w:ascii="Times New Roman" w:hAnsi="Times New Roman" w:cs="Times New Roman"/>
          <w:b/>
          <w:bCs/>
          <w:sz w:val="24"/>
          <w:szCs w:val="24"/>
        </w:rPr>
        <w:t>FS</w:t>
      </w:r>
      <w:r>
        <w:rPr>
          <w:rFonts w:ascii="Times New Roman" w:hAnsi="Times New Roman" w:cs="Times New Roman"/>
          <w:b/>
          <w:bCs/>
          <w:sz w:val="24"/>
          <w:szCs w:val="24"/>
          <w:vertAlign w:val="subscript"/>
        </w:rPr>
        <w:t>it</w:t>
      </w:r>
      <w:r>
        <w:rPr>
          <w:rFonts w:ascii="Times New Roman" w:hAnsi="Times New Roman" w:cs="Times New Roman"/>
          <w:sz w:val="24"/>
          <w:szCs w:val="24"/>
          <w:vertAlign w:val="subscript"/>
        </w:rPr>
        <w:tab/>
      </w:r>
      <w:r>
        <w:rPr>
          <w:rFonts w:ascii="Times New Roman" w:hAnsi="Times New Roman" w:cs="Times New Roman"/>
          <w:sz w:val="24"/>
          <w:szCs w:val="24"/>
        </w:rPr>
        <w:t>=</w:t>
      </w:r>
      <w:r>
        <w:rPr>
          <w:rFonts w:ascii="Times New Roman" w:hAnsi="Times New Roman" w:cs="Times New Roman"/>
          <w:sz w:val="24"/>
          <w:szCs w:val="24"/>
        </w:rPr>
        <w:tab/>
        <w:t xml:space="preserve">Firm size of firm </w:t>
      </w:r>
      <w:r>
        <w:rPr>
          <w:rFonts w:ascii="Times New Roman" w:hAnsi="Times New Roman" w:cs="Times New Roman"/>
          <w:i/>
          <w:iCs/>
          <w:sz w:val="24"/>
          <w:szCs w:val="24"/>
        </w:rPr>
        <w:t>i</w:t>
      </w:r>
      <w:r>
        <w:rPr>
          <w:rFonts w:ascii="Times New Roman" w:hAnsi="Times New Roman" w:cs="Times New Roman"/>
          <w:sz w:val="24"/>
          <w:szCs w:val="24"/>
        </w:rPr>
        <w:t xml:space="preserve"> at time</w:t>
      </w:r>
      <w:r>
        <w:rPr>
          <w:rFonts w:ascii="Times New Roman" w:hAnsi="Times New Roman" w:cs="Times New Roman"/>
          <w:i/>
          <w:iCs/>
          <w:sz w:val="24"/>
          <w:szCs w:val="24"/>
        </w:rPr>
        <w:t xml:space="preserve"> t</w:t>
      </w:r>
    </w:p>
    <w:p w14:paraId="57E69470" w14:textId="77777777" w:rsidR="00B60BE5" w:rsidRDefault="00000000">
      <w:pPr>
        <w:spacing w:line="360" w:lineRule="auto"/>
        <w:ind w:firstLine="360"/>
        <w:rPr>
          <w:rFonts w:ascii="Times New Roman" w:hAnsi="Times New Roman" w:cs="Times New Roman"/>
          <w:sz w:val="24"/>
          <w:szCs w:val="24"/>
        </w:rPr>
      </w:pPr>
      <w:r>
        <w:rPr>
          <w:rFonts w:ascii="Times New Roman" w:hAnsi="Times New Roman" w:cs="Times New Roman"/>
          <w:b/>
          <w:bCs/>
          <w:sz w:val="24"/>
          <w:szCs w:val="24"/>
        </w:rPr>
        <w:t>Β</w:t>
      </w:r>
      <w:r>
        <w:rPr>
          <w:rFonts w:ascii="Times New Roman" w:hAnsi="Times New Roman" w:cs="Times New Roman"/>
          <w:b/>
          <w:bCs/>
          <w:sz w:val="24"/>
          <w:szCs w:val="24"/>
          <w:vertAlign w:val="subscript"/>
        </w:rPr>
        <w:t>0</w:t>
      </w: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Intercept (value of Y when X=0)</w:t>
      </w:r>
    </w:p>
    <w:p w14:paraId="43D97942" w14:textId="77777777" w:rsidR="00B60BE5" w:rsidRDefault="00000000">
      <w:pPr>
        <w:spacing w:line="360" w:lineRule="auto"/>
        <w:ind w:left="360"/>
        <w:rPr>
          <w:rFonts w:ascii="Times New Roman" w:hAnsi="Times New Roman" w:cs="Times New Roman"/>
          <w:sz w:val="24"/>
          <w:szCs w:val="24"/>
        </w:rPr>
      </w:pPr>
      <w:r>
        <w:rPr>
          <w:rFonts w:ascii="Times New Roman" w:hAnsi="Times New Roman" w:cs="Times New Roman"/>
          <w:b/>
          <w:bCs/>
          <w:sz w:val="24"/>
          <w:szCs w:val="24"/>
        </w:rPr>
        <w:t>β</w:t>
      </w:r>
      <w:r>
        <w:rPr>
          <w:rFonts w:ascii="Times New Roman" w:hAnsi="Times New Roman" w:cs="Times New Roman"/>
          <w:b/>
          <w:bCs/>
          <w:sz w:val="24"/>
          <w:szCs w:val="24"/>
          <w:vertAlign w:val="subscript"/>
        </w:rPr>
        <w:t>1</w:t>
      </w:r>
      <w:r>
        <w:rPr>
          <w:rFonts w:ascii="Times New Roman" w:hAnsi="Times New Roman" w:cs="Times New Roman"/>
          <w:b/>
          <w:bCs/>
          <w:sz w:val="24"/>
          <w:szCs w:val="24"/>
        </w:rPr>
        <w:t xml:space="preserve"> – β</w:t>
      </w:r>
      <w:r>
        <w:rPr>
          <w:rFonts w:ascii="Times New Roman" w:hAnsi="Times New Roman" w:cs="Times New Roman"/>
          <w:b/>
          <w:bCs/>
          <w:sz w:val="24"/>
          <w:szCs w:val="24"/>
          <w:vertAlign w:val="subscript"/>
        </w:rPr>
        <w:t>7</w:t>
      </w:r>
      <w:r>
        <w:rPr>
          <w:rFonts w:ascii="Times New Roman" w:hAnsi="Times New Roman" w:cs="Times New Roman"/>
          <w:sz w:val="24"/>
          <w:szCs w:val="24"/>
          <w:vertAlign w:val="subscript"/>
        </w:rPr>
        <w:t xml:space="preserve"> </w:t>
      </w:r>
      <w:r>
        <w:rPr>
          <w:rFonts w:ascii="Times New Roman" w:hAnsi="Times New Roman" w:cs="Times New Roman"/>
          <w:sz w:val="24"/>
          <w:szCs w:val="24"/>
          <w:vertAlign w:val="subscript"/>
        </w:rPr>
        <w:tab/>
      </w:r>
      <w:r>
        <w:rPr>
          <w:rFonts w:ascii="Times New Roman" w:hAnsi="Times New Roman" w:cs="Times New Roman"/>
          <w:sz w:val="24"/>
          <w:szCs w:val="24"/>
        </w:rPr>
        <w:t xml:space="preserve">= </w:t>
      </w:r>
      <w:r>
        <w:rPr>
          <w:rFonts w:ascii="Times New Roman" w:hAnsi="Times New Roman" w:cs="Times New Roman"/>
          <w:sz w:val="24"/>
          <w:szCs w:val="24"/>
        </w:rPr>
        <w:tab/>
        <w:t>Regression coefficients measuring the effect of each independent variable on financial performance</w:t>
      </w:r>
    </w:p>
    <w:p w14:paraId="090DBA63" w14:textId="77777777" w:rsidR="00B60BE5" w:rsidRDefault="00000000">
      <w:pPr>
        <w:spacing w:line="360" w:lineRule="auto"/>
        <w:ind w:left="360"/>
        <w:rPr>
          <w:rFonts w:ascii="Times New Roman" w:hAnsi="Times New Roman" w:cs="Times New Roman"/>
          <w:iCs/>
          <w:sz w:val="24"/>
          <w:szCs w:val="24"/>
        </w:rPr>
      </w:pPr>
      <w:r>
        <w:rPr>
          <w:rFonts w:ascii="Times New Roman" w:hAnsi="Times New Roman" w:cs="Times New Roman"/>
          <w:b/>
          <w:bCs/>
          <w:sz w:val="24"/>
          <w:szCs w:val="24"/>
        </w:rPr>
        <w:t>ε</w:t>
      </w:r>
      <w:r>
        <w:rPr>
          <w:rFonts w:ascii="Times New Roman" w:hAnsi="Times New Roman" w:cs="Times New Roman"/>
          <w:b/>
          <w:bCs/>
          <w:i/>
          <w:sz w:val="24"/>
          <w:szCs w:val="24"/>
          <w:vertAlign w:val="subscript"/>
        </w:rPr>
        <w:t>it</w:t>
      </w:r>
      <w:r>
        <w:rPr>
          <w:rFonts w:ascii="Times New Roman" w:hAnsi="Times New Roman" w:cs="Times New Roman"/>
          <w:b/>
          <w:bCs/>
          <w:i/>
          <w:sz w:val="24"/>
          <w:szCs w:val="24"/>
          <w:vertAlign w:val="subscript"/>
        </w:rPr>
        <w:tab/>
      </w:r>
      <w:r>
        <w:rPr>
          <w:rFonts w:ascii="Times New Roman" w:hAnsi="Times New Roman" w:cs="Times New Roman"/>
          <w:b/>
          <w:bCs/>
          <w:i/>
          <w:sz w:val="24"/>
          <w:szCs w:val="24"/>
          <w:vertAlign w:val="subscript"/>
        </w:rPr>
        <w:tab/>
      </w:r>
      <w:r>
        <w:rPr>
          <w:rFonts w:ascii="Times New Roman" w:hAnsi="Times New Roman" w:cs="Times New Roman"/>
          <w:b/>
          <w:bCs/>
          <w:iCs/>
          <w:sz w:val="24"/>
          <w:szCs w:val="24"/>
        </w:rPr>
        <w:t>=</w:t>
      </w:r>
      <w:r>
        <w:rPr>
          <w:rFonts w:ascii="Times New Roman" w:hAnsi="Times New Roman" w:cs="Times New Roman"/>
          <w:b/>
          <w:bCs/>
          <w:iCs/>
          <w:sz w:val="24"/>
          <w:szCs w:val="24"/>
        </w:rPr>
        <w:tab/>
      </w:r>
      <w:r>
        <w:rPr>
          <w:rFonts w:ascii="Times New Roman" w:hAnsi="Times New Roman" w:cs="Times New Roman"/>
          <w:iCs/>
          <w:sz w:val="24"/>
          <w:szCs w:val="24"/>
        </w:rPr>
        <w:t>Error Term</w:t>
      </w:r>
    </w:p>
    <w:p w14:paraId="6EB42088" w14:textId="77777777" w:rsidR="00B60BE5" w:rsidRDefault="00000000">
      <w:pPr>
        <w:spacing w:line="360" w:lineRule="auto"/>
        <w:ind w:left="360"/>
        <w:rPr>
          <w:rFonts w:ascii="Times New Roman" w:hAnsi="Times New Roman" w:cs="Times New Roman"/>
          <w:sz w:val="24"/>
          <w:szCs w:val="24"/>
        </w:rPr>
      </w:pPr>
      <w:r>
        <w:rPr>
          <w:rFonts w:ascii="Times New Roman" w:hAnsi="Times New Roman" w:cs="Times New Roman"/>
          <w:b/>
          <w:bCs/>
          <w:sz w:val="24"/>
          <w:szCs w:val="24"/>
        </w:rPr>
        <w:t>μ</w:t>
      </w:r>
      <w:r>
        <w:rPr>
          <w:rFonts w:ascii="Times New Roman" w:hAnsi="Times New Roman" w:cs="Times New Roman"/>
          <w:b/>
          <w:bCs/>
          <w:sz w:val="24"/>
          <w:szCs w:val="24"/>
          <w:vertAlign w:val="subscript"/>
        </w:rPr>
        <w:t>i</w:t>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rPr>
        <w:t>=</w:t>
      </w:r>
      <w:r>
        <w:rPr>
          <w:rFonts w:ascii="Times New Roman" w:hAnsi="Times New Roman" w:cs="Times New Roman"/>
          <w:sz w:val="24"/>
          <w:szCs w:val="24"/>
        </w:rPr>
        <w:tab/>
        <w:t>Captures only what you cannot measure but is constant over time for each firm.</w:t>
      </w:r>
    </w:p>
    <w:p w14:paraId="0F5106EF" w14:textId="77777777" w:rsidR="00B60BE5" w:rsidRDefault="00000000">
      <w:pPr>
        <w:pStyle w:val="Heading2"/>
        <w:rPr>
          <w:rFonts w:ascii="Times New Roman" w:hAnsi="Times New Roman" w:cs="Times New Roman"/>
          <w:b/>
          <w:bCs/>
          <w:color w:val="auto"/>
          <w:sz w:val="24"/>
          <w:szCs w:val="24"/>
        </w:rPr>
      </w:pPr>
      <w:bookmarkStart w:id="49" w:name="_Toc222210225"/>
      <w:r>
        <w:rPr>
          <w:rFonts w:ascii="Times New Roman" w:hAnsi="Times New Roman" w:cs="Times New Roman"/>
          <w:b/>
          <w:bCs/>
          <w:color w:val="auto"/>
          <w:sz w:val="24"/>
          <w:szCs w:val="24"/>
        </w:rPr>
        <w:t>Ethical Considerations</w:t>
      </w:r>
      <w:bookmarkEnd w:id="49"/>
    </w:p>
    <w:p w14:paraId="3283A650" w14:textId="77777777" w:rsidR="00B60BE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research upholds data ethics, research integrity, societal responsibility, and institutional compliance by properly acknowledging sources, ensuring accurate and transparent data handling, and enabling reproducibility. It maintains objectivity, avoids conflicts of interest, attributes all sources, and is open to peer review. The study aims to benefit the banking sector and society, inform policy, support sustainable development, and disseminate findings through academic and practitioner channels. Compliance with university guidelines, regulatory requirements, and professional research standards is strictly observed.</w:t>
      </w:r>
    </w:p>
    <w:p w14:paraId="7F901A55" w14:textId="77777777" w:rsidR="00B60BE5" w:rsidRDefault="00000000">
      <w:pPr>
        <w:pStyle w:val="Heading2"/>
        <w:rPr>
          <w:rFonts w:ascii="Times New Roman" w:hAnsi="Times New Roman" w:cs="Times New Roman"/>
          <w:b/>
          <w:bCs/>
          <w:color w:val="auto"/>
          <w:sz w:val="24"/>
          <w:szCs w:val="24"/>
        </w:rPr>
      </w:pPr>
      <w:bookmarkStart w:id="50" w:name="_Toc222210226"/>
      <w:r>
        <w:rPr>
          <w:rFonts w:ascii="Times New Roman" w:hAnsi="Times New Roman" w:cs="Times New Roman"/>
          <w:b/>
          <w:bCs/>
          <w:color w:val="auto"/>
          <w:sz w:val="24"/>
          <w:szCs w:val="24"/>
        </w:rPr>
        <w:lastRenderedPageBreak/>
        <w:t>REFERENCES</w:t>
      </w:r>
      <w:bookmarkEnd w:id="50"/>
    </w:p>
    <w:p w14:paraId="6099330A" w14:textId="77777777" w:rsidR="00B11B57" w:rsidRDefault="00B11B57" w:rsidP="00B11B57">
      <w:pPr>
        <w:pStyle w:val="NormalWeb"/>
        <w:spacing w:before="0" w:beforeAutospacing="0" w:after="0" w:afterAutospacing="0" w:line="480" w:lineRule="auto"/>
        <w:jc w:val="both"/>
        <w:rPr>
          <w:lang w:eastAsia="en-KE"/>
        </w:rPr>
      </w:pPr>
      <w:r>
        <w:t xml:space="preserve">Al Frijat, Y. S., Al-Msiedeen, J. M., &amp; Elamer, A. A. (2025). </w:t>
      </w:r>
      <w:proofErr w:type="gramStart"/>
      <w:r>
        <w:t>How</w:t>
      </w:r>
      <w:proofErr w:type="gramEnd"/>
      <w:r>
        <w:t xml:space="preserve"> green credit policies and climate change practices drive banking financial performance. </w:t>
      </w:r>
      <w:r>
        <w:rPr>
          <w:rStyle w:val="Emphasis"/>
        </w:rPr>
        <w:t>Business Strategy and Development, 8</w:t>
      </w:r>
      <w:r>
        <w:t>(2), e70090.</w:t>
      </w:r>
    </w:p>
    <w:p w14:paraId="7047DFCB" w14:textId="77777777" w:rsidR="00B11B57" w:rsidRDefault="00B11B57" w:rsidP="00B11B57">
      <w:pPr>
        <w:pStyle w:val="NormalWeb"/>
        <w:spacing w:before="0" w:beforeAutospacing="0" w:after="0" w:afterAutospacing="0" w:line="480" w:lineRule="auto"/>
        <w:jc w:val="both"/>
      </w:pPr>
      <w:r>
        <w:t xml:space="preserve">Chilambe, P., Nguvi, C., Zulu, M., Jalango, D., &amp; Mundia, C. (2024). </w:t>
      </w:r>
      <w:r>
        <w:rPr>
          <w:rStyle w:val="Emphasis"/>
        </w:rPr>
        <w:t>Navigating the climate-finance landscape in Eastern Africa: An exploration of climate and agriculture finance instruments</w:t>
      </w:r>
      <w:r>
        <w:t>. CGIAR.</w:t>
      </w:r>
    </w:p>
    <w:p w14:paraId="106174CC" w14:textId="77777777" w:rsidR="00B11B57" w:rsidRDefault="00B11B57" w:rsidP="00B11B57">
      <w:pPr>
        <w:pStyle w:val="NormalWeb"/>
        <w:spacing w:before="0" w:beforeAutospacing="0" w:after="0" w:afterAutospacing="0" w:line="480" w:lineRule="auto"/>
        <w:jc w:val="both"/>
      </w:pPr>
      <w:r>
        <w:t xml:space="preserve">DiMaggio, P. J., &amp; Powell, W. W. (1983). The iron cage revisited: Institutional isomorphism and collective rationality in organizational fields. </w:t>
      </w:r>
      <w:r>
        <w:rPr>
          <w:rStyle w:val="Emphasis"/>
        </w:rPr>
        <w:t>American Sociological Review, 48</w:t>
      </w:r>
      <w:r>
        <w:t>(2), 147–160.</w:t>
      </w:r>
    </w:p>
    <w:p w14:paraId="05CA67F1" w14:textId="77777777" w:rsidR="00B11B57" w:rsidRDefault="00B11B57" w:rsidP="00B11B57">
      <w:pPr>
        <w:pStyle w:val="NormalWeb"/>
        <w:spacing w:before="0" w:beforeAutospacing="0" w:after="0" w:afterAutospacing="0" w:line="480" w:lineRule="auto"/>
        <w:jc w:val="both"/>
      </w:pPr>
      <w:r>
        <w:t xml:space="preserve">Farooq, U., &amp; Jibran, A. Q. (2017). Firm size as moderator to non-linear leverage–performance relation: An emerging market review. </w:t>
      </w:r>
      <w:r>
        <w:rPr>
          <w:rStyle w:val="Emphasis"/>
        </w:rPr>
        <w:t>Binus Business Review, 8</w:t>
      </w:r>
      <w:r>
        <w:t>(2), 99–106.</w:t>
      </w:r>
    </w:p>
    <w:p w14:paraId="41023402" w14:textId="77777777" w:rsidR="00B11B57" w:rsidRDefault="00B11B57" w:rsidP="00B11B57">
      <w:pPr>
        <w:pStyle w:val="NormalWeb"/>
        <w:spacing w:before="0" w:beforeAutospacing="0" w:after="0" w:afterAutospacing="0" w:line="480" w:lineRule="auto"/>
        <w:jc w:val="both"/>
      </w:pPr>
      <w:r>
        <w:t xml:space="preserve">Freeman, R. E. (1984). </w:t>
      </w:r>
      <w:r>
        <w:rPr>
          <w:rStyle w:val="Emphasis"/>
        </w:rPr>
        <w:t>Strategic management: A stakeholder approach</w:t>
      </w:r>
      <w:r>
        <w:t>. Pitman.</w:t>
      </w:r>
    </w:p>
    <w:p w14:paraId="0C92180E" w14:textId="77777777" w:rsidR="00B11B57" w:rsidRDefault="00B11B57" w:rsidP="00B11B57">
      <w:pPr>
        <w:pStyle w:val="NormalWeb"/>
        <w:spacing w:before="0" w:beforeAutospacing="0" w:after="0" w:afterAutospacing="0" w:line="480" w:lineRule="auto"/>
        <w:jc w:val="both"/>
      </w:pPr>
      <w:r>
        <w:t xml:space="preserve">Gachenga, J. N. U., Muthoni, D. K., &amp; Metto, W. K. (2025). Credit management practices, firm size and financial sustainability of deposit-taking savings and credit co-operative societies in Kenya. </w:t>
      </w:r>
      <w:r>
        <w:rPr>
          <w:rStyle w:val="Emphasis"/>
        </w:rPr>
        <w:t>Financial Studies, 29</w:t>
      </w:r>
      <w:r>
        <w:t>(2), 6–22.</w:t>
      </w:r>
    </w:p>
    <w:p w14:paraId="5BB19711" w14:textId="77777777" w:rsidR="00B11B57" w:rsidRDefault="00B11B57" w:rsidP="00B11B57">
      <w:pPr>
        <w:pStyle w:val="NormalWeb"/>
        <w:spacing w:before="0" w:beforeAutospacing="0" w:after="0" w:afterAutospacing="0" w:line="480" w:lineRule="auto"/>
        <w:jc w:val="both"/>
      </w:pPr>
      <w:r>
        <w:t xml:space="preserve">Hart, S. L. (1995). A natural-resource-based view of the firm. </w:t>
      </w:r>
      <w:r>
        <w:rPr>
          <w:rStyle w:val="Emphasis"/>
        </w:rPr>
        <w:t>Academy of Management Review, 20</w:t>
      </w:r>
      <w:r>
        <w:t>(4), 986–1014.</w:t>
      </w:r>
    </w:p>
    <w:p w14:paraId="46FD5A0A" w14:textId="77777777" w:rsidR="00B11B57" w:rsidRDefault="00B11B57" w:rsidP="00B11B57">
      <w:pPr>
        <w:pStyle w:val="NormalWeb"/>
        <w:spacing w:before="0" w:beforeAutospacing="0" w:after="0" w:afterAutospacing="0" w:line="480" w:lineRule="auto"/>
        <w:jc w:val="both"/>
      </w:pPr>
      <w:r>
        <w:t xml:space="preserve">Kiima, B. K., Wamitu, S. N., &amp; Wahome, M. N. (2025). Influence of green finance governance practices on financial performance of commercial banks in Nairobi County, Kenya. </w:t>
      </w:r>
      <w:r>
        <w:rPr>
          <w:rStyle w:val="Emphasis"/>
        </w:rPr>
        <w:t>Journal of Sustainable Finance and Banking, 12</w:t>
      </w:r>
      <w:r>
        <w:t>(4), 45–67.</w:t>
      </w:r>
    </w:p>
    <w:p w14:paraId="00741CEF" w14:textId="77777777" w:rsidR="00B11B57" w:rsidRDefault="00B11B57" w:rsidP="00B11B57">
      <w:pPr>
        <w:pStyle w:val="NormalWeb"/>
        <w:spacing w:before="0" w:beforeAutospacing="0" w:after="0" w:afterAutospacing="0" w:line="480" w:lineRule="auto"/>
        <w:jc w:val="both"/>
      </w:pPr>
      <w:r>
        <w:t xml:space="preserve">Kiprop, K. B. (2025). </w:t>
      </w:r>
      <w:r>
        <w:rPr>
          <w:rStyle w:val="Emphasis"/>
        </w:rPr>
        <w:t>Environmental risk, firm size and financial performance of commercial banks in Kenya</w:t>
      </w:r>
      <w:r>
        <w:t xml:space="preserve"> (Doctoral dissertation, University of Kabianga).</w:t>
      </w:r>
    </w:p>
    <w:p w14:paraId="0186B480" w14:textId="77777777" w:rsidR="00B11B57" w:rsidRDefault="00B11B57" w:rsidP="00B11B57">
      <w:pPr>
        <w:pStyle w:val="NormalWeb"/>
        <w:spacing w:before="0" w:beforeAutospacing="0" w:after="0" w:afterAutospacing="0" w:line="480" w:lineRule="auto"/>
        <w:jc w:val="both"/>
      </w:pPr>
      <w:r>
        <w:t xml:space="preserve">Kissa, B. J., &amp; Lotto, J. (2025). Digitalization, sustainability practices and financial performance of commercial banks in Tanzania. </w:t>
      </w:r>
      <w:r>
        <w:rPr>
          <w:rStyle w:val="Emphasis"/>
        </w:rPr>
        <w:t>African Journal of Economic and Management Studies</w:t>
      </w:r>
      <w:r>
        <w:t>. Advance online publication.</w:t>
      </w:r>
    </w:p>
    <w:p w14:paraId="27C74468" w14:textId="77777777" w:rsidR="00B11B57" w:rsidRDefault="00B11B57" w:rsidP="00B11B57">
      <w:pPr>
        <w:pStyle w:val="NormalWeb"/>
        <w:spacing w:before="0" w:beforeAutospacing="0" w:after="0" w:afterAutospacing="0" w:line="480" w:lineRule="auto"/>
        <w:jc w:val="both"/>
      </w:pPr>
      <w:r>
        <w:lastRenderedPageBreak/>
        <w:t xml:space="preserve">Liang, M., He, J., Wang, X., Zhang, L., Guo, Y., &amp; Liu, Z. (2022). </w:t>
      </w:r>
      <w:r>
        <w:rPr>
          <w:rStyle w:val="Emphasis"/>
        </w:rPr>
        <w:t>Carbon asset valuation methods and their application</w:t>
      </w:r>
      <w:r>
        <w:t>. Capital University of Economics and Business Press.</w:t>
      </w:r>
    </w:p>
    <w:p w14:paraId="229807B6" w14:textId="77777777" w:rsidR="00B11B57" w:rsidRDefault="00B11B57" w:rsidP="00B11B57">
      <w:pPr>
        <w:pStyle w:val="NormalWeb"/>
        <w:spacing w:before="0" w:beforeAutospacing="0" w:after="0" w:afterAutospacing="0" w:line="480" w:lineRule="auto"/>
        <w:jc w:val="both"/>
      </w:pPr>
      <w:r>
        <w:t xml:space="preserve">Meo, M. S., &amp; Staniewski, M. W. (2025). </w:t>
      </w:r>
      <w:r>
        <w:rPr>
          <w:rStyle w:val="Emphasis"/>
        </w:rPr>
        <w:t>Green bonds and sustainable finance: The evolution of portfolio management in conventional markets</w:t>
      </w:r>
      <w:r>
        <w:t>. Routledge.</w:t>
      </w:r>
    </w:p>
    <w:p w14:paraId="3D6C859B" w14:textId="77777777" w:rsidR="00B11B57" w:rsidRDefault="00B11B57" w:rsidP="00B11B57">
      <w:pPr>
        <w:pStyle w:val="NormalWeb"/>
        <w:spacing w:before="0" w:beforeAutospacing="0" w:after="0" w:afterAutospacing="0" w:line="480" w:lineRule="auto"/>
        <w:jc w:val="both"/>
      </w:pPr>
      <w:r>
        <w:t xml:space="preserve">Mungai, S., Sang, W., &amp; Maina, C. (2025a). Exploring the impact of firm size on the relationship between sustainability and performance. </w:t>
      </w:r>
      <w:r>
        <w:rPr>
          <w:rStyle w:val="Emphasis"/>
        </w:rPr>
        <w:t>International Journal of Research and Innovation in Social Science, 9</w:t>
      </w:r>
      <w:r>
        <w:t>(15), 1251–1261.</w:t>
      </w:r>
    </w:p>
    <w:p w14:paraId="074E5B26" w14:textId="77777777" w:rsidR="00B11B57" w:rsidRDefault="00B11B57" w:rsidP="00B11B57">
      <w:pPr>
        <w:pStyle w:val="NormalWeb"/>
        <w:spacing w:before="0" w:beforeAutospacing="0" w:after="0" w:afterAutospacing="0" w:line="480" w:lineRule="auto"/>
        <w:jc w:val="both"/>
      </w:pPr>
      <w:r>
        <w:t xml:space="preserve">Mungai, S., Sang, W., &amp; Maina, C. (2025b). The interplay of sustainability, reputation, and firm performance in commercial banks. </w:t>
      </w:r>
      <w:r>
        <w:rPr>
          <w:rStyle w:val="Emphasis"/>
        </w:rPr>
        <w:t>International Journal of Research and Innovation in Social Science, 9</w:t>
      </w:r>
      <w:r>
        <w:t>(15), 1213–1224.</w:t>
      </w:r>
    </w:p>
    <w:p w14:paraId="640B75B4" w14:textId="77777777" w:rsidR="00B11B57" w:rsidRDefault="00B11B57" w:rsidP="00B11B57">
      <w:pPr>
        <w:pStyle w:val="NormalWeb"/>
        <w:spacing w:before="0" w:beforeAutospacing="0" w:after="0" w:afterAutospacing="0" w:line="480" w:lineRule="auto"/>
        <w:jc w:val="both"/>
      </w:pPr>
      <w:r>
        <w:t xml:space="preserve">Mwanu, R. (2021). </w:t>
      </w:r>
      <w:r>
        <w:rPr>
          <w:rStyle w:val="Emphasis"/>
        </w:rPr>
        <w:t>Influence of banking practices on development green finance in Kenya</w:t>
      </w:r>
      <w:r>
        <w:t xml:space="preserve"> (Master’s thesis, KCA University).</w:t>
      </w:r>
    </w:p>
    <w:p w14:paraId="26AF5D5F" w14:textId="77777777" w:rsidR="00B11B57" w:rsidRDefault="00B11B57" w:rsidP="00B11B57">
      <w:pPr>
        <w:pStyle w:val="NormalWeb"/>
        <w:spacing w:before="0" w:beforeAutospacing="0" w:after="0" w:afterAutospacing="0" w:line="480" w:lineRule="auto"/>
        <w:jc w:val="both"/>
      </w:pPr>
      <w:r>
        <w:t xml:space="preserve">Wang, J. (2022, August 12). Exploring carbon asset valuation in the context of carbon neutrality. </w:t>
      </w:r>
      <w:r>
        <w:rPr>
          <w:rStyle w:val="Emphasis"/>
        </w:rPr>
        <w:t>China Accounting News</w:t>
      </w:r>
      <w:r>
        <w:t>.</w:t>
      </w:r>
    </w:p>
    <w:p w14:paraId="309DDD54" w14:textId="77777777" w:rsidR="00B11B57" w:rsidRDefault="00B11B57" w:rsidP="00B11B57">
      <w:pPr>
        <w:pStyle w:val="NormalWeb"/>
        <w:spacing w:before="0" w:beforeAutospacing="0" w:after="0" w:afterAutospacing="0" w:line="480" w:lineRule="auto"/>
        <w:jc w:val="both"/>
      </w:pPr>
      <w:r>
        <w:t xml:space="preserve">Wei, Y. (2025). Research on external environmental impact valuation methods for green bonds: A carbon reduction benefit perspective. </w:t>
      </w:r>
      <w:r>
        <w:rPr>
          <w:rStyle w:val="Emphasis"/>
        </w:rPr>
        <w:t>Finance and Accounting, 10</w:t>
      </w:r>
      <w:r>
        <w:t>, 29–33.</w:t>
      </w:r>
    </w:p>
    <w:p w14:paraId="3340B4DC" w14:textId="77777777" w:rsidR="00B11B57" w:rsidRDefault="00B11B57" w:rsidP="00B11B57">
      <w:pPr>
        <w:pStyle w:val="NormalWeb"/>
        <w:spacing w:before="0" w:beforeAutospacing="0" w:after="0" w:afterAutospacing="0" w:line="480" w:lineRule="auto"/>
        <w:jc w:val="both"/>
      </w:pPr>
      <w:r>
        <w:t xml:space="preserve">Yao, C., Umar, M., Mirza, N., &amp; Qin, M. (2025). Climate performance and debt structure: The case of European SMEs. </w:t>
      </w:r>
      <w:r>
        <w:rPr>
          <w:rStyle w:val="Emphasis"/>
        </w:rPr>
        <w:t>Journal of Sustainable Finance &amp; Investment</w:t>
      </w:r>
      <w:r>
        <w:t>. Advance online publication.</w:t>
      </w:r>
    </w:p>
    <w:p w14:paraId="5467317D" w14:textId="77777777" w:rsidR="00B11B57" w:rsidRDefault="00B11B57" w:rsidP="00B11B57">
      <w:pPr>
        <w:pStyle w:val="NormalWeb"/>
        <w:spacing w:before="0" w:beforeAutospacing="0" w:after="0" w:afterAutospacing="0" w:line="480" w:lineRule="auto"/>
        <w:jc w:val="both"/>
      </w:pPr>
      <w:r>
        <w:t xml:space="preserve">Zhang, X. (2024). </w:t>
      </w:r>
      <w:r>
        <w:rPr>
          <w:rStyle w:val="Emphasis"/>
        </w:rPr>
        <w:t>Influence of ESG performance and carbon asset management level on firm value: Focused on listed companies in China</w:t>
      </w:r>
      <w:r>
        <w:t xml:space="preserve"> (Doctoral dissertation, Silla University).</w:t>
      </w:r>
    </w:p>
    <w:p w14:paraId="15E272E3" w14:textId="77777777" w:rsidR="00B11B57" w:rsidRDefault="00B11B57" w:rsidP="00B11B57">
      <w:pPr>
        <w:pStyle w:val="NormalWeb"/>
        <w:spacing w:before="0" w:beforeAutospacing="0" w:after="0" w:afterAutospacing="0" w:line="480" w:lineRule="auto"/>
        <w:jc w:val="both"/>
      </w:pPr>
      <w:r>
        <w:t xml:space="preserve">Zhang, Y., &amp; Zhang, N. (2025). Green finance policies and corporate environmental, social, and governance performance. </w:t>
      </w:r>
      <w:r>
        <w:rPr>
          <w:rStyle w:val="Emphasis"/>
        </w:rPr>
        <w:t>Finance Research Letters, 81</w:t>
      </w:r>
      <w:r>
        <w:t>, 107421.</w:t>
      </w:r>
    </w:p>
    <w:p w14:paraId="3DA4E7E5" w14:textId="7A6104B9" w:rsidR="00B11B57" w:rsidRDefault="00B11B57" w:rsidP="00B11B57">
      <w:pPr>
        <w:spacing w:after="0" w:line="480" w:lineRule="auto"/>
        <w:jc w:val="both"/>
      </w:pPr>
      <w:r>
        <w:br w:type="page"/>
      </w:r>
    </w:p>
    <w:p w14:paraId="56EBB732" w14:textId="77777777" w:rsidR="00B60BE5" w:rsidRDefault="00000000">
      <w:pPr>
        <w:pStyle w:val="Heading2"/>
        <w:rPr>
          <w:rFonts w:ascii="Times New Roman" w:hAnsi="Times New Roman" w:cs="Times New Roman"/>
          <w:b/>
          <w:bCs/>
          <w:color w:val="auto"/>
          <w:sz w:val="24"/>
          <w:szCs w:val="24"/>
        </w:rPr>
      </w:pPr>
      <w:bookmarkStart w:id="51" w:name="_Toc222210227"/>
      <w:r>
        <w:rPr>
          <w:rFonts w:ascii="Times New Roman" w:hAnsi="Times New Roman" w:cs="Times New Roman"/>
          <w:b/>
          <w:bCs/>
          <w:color w:val="auto"/>
          <w:sz w:val="24"/>
          <w:szCs w:val="24"/>
        </w:rPr>
        <w:lastRenderedPageBreak/>
        <w:t>APPENDICES</w:t>
      </w:r>
      <w:bookmarkEnd w:id="51"/>
    </w:p>
    <w:p w14:paraId="2BDFDADF" w14:textId="77777777" w:rsidR="00B60BE5" w:rsidRDefault="00000000">
      <w:pPr>
        <w:pStyle w:val="Heading3"/>
        <w:rPr>
          <w:rFonts w:ascii="Times New Roman" w:hAnsi="Times New Roman" w:cs="Times New Roman"/>
          <w:color w:val="auto"/>
          <w:sz w:val="24"/>
          <w:szCs w:val="24"/>
        </w:rPr>
      </w:pPr>
      <w:bookmarkStart w:id="52" w:name="_Toc222210228"/>
      <w:r>
        <w:rPr>
          <w:rFonts w:ascii="Times New Roman" w:hAnsi="Times New Roman" w:cs="Times New Roman"/>
          <w:color w:val="auto"/>
          <w:sz w:val="24"/>
          <w:szCs w:val="24"/>
        </w:rPr>
        <w:t>List of Commercial banks</w:t>
      </w:r>
      <w:bookmarkEnd w:id="52"/>
    </w:p>
    <w:p w14:paraId="45DC7175" w14:textId="77777777" w:rsidR="00B60BE5" w:rsidRDefault="00000000">
      <w:pPr>
        <w:spacing w:line="240" w:lineRule="auto"/>
        <w:rPr>
          <w:rFonts w:ascii="Times New Roman" w:hAnsi="Times New Roman" w:cs="Times New Roman"/>
          <w:sz w:val="24"/>
          <w:szCs w:val="24"/>
        </w:rPr>
      </w:pPr>
      <w:r>
        <w:rPr>
          <w:rFonts w:ascii="Times New Roman" w:hAnsi="Times New Roman" w:cs="Times New Roman"/>
          <w:b/>
          <w:bCs/>
          <w:sz w:val="24"/>
          <w:szCs w:val="24"/>
        </w:rPr>
        <w:t>Large Commercial Banks</w:t>
      </w:r>
    </w:p>
    <w:p w14:paraId="34F9642E" w14:textId="77777777" w:rsidR="00B60BE5" w:rsidRDefault="00000000">
      <w:pPr>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Absa Bank Kenya PLC</w:t>
      </w:r>
    </w:p>
    <w:p w14:paraId="5E8507E9" w14:textId="77777777" w:rsidR="00B60BE5" w:rsidRDefault="00000000">
      <w:pPr>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Co</w:t>
      </w:r>
      <w:r>
        <w:rPr>
          <w:rFonts w:ascii="Times New Roman" w:hAnsi="Times New Roman" w:cs="Times New Roman"/>
          <w:sz w:val="24"/>
          <w:szCs w:val="24"/>
          <w:lang w:val="en-US"/>
        </w:rPr>
        <w:t>,</w:t>
      </w:r>
      <w:r>
        <w:rPr>
          <w:rFonts w:ascii="Times New Roman" w:hAnsi="Times New Roman" w:cs="Times New Roman"/>
          <w:sz w:val="24"/>
          <w:szCs w:val="24"/>
        </w:rPr>
        <w:t>operative Bank of Kenya Limited</w:t>
      </w:r>
    </w:p>
    <w:p w14:paraId="308D4F43" w14:textId="77777777" w:rsidR="00B60BE5" w:rsidRDefault="00000000">
      <w:pPr>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Equity Bank Kenya Limited</w:t>
      </w:r>
    </w:p>
    <w:p w14:paraId="38267A1C" w14:textId="77777777" w:rsidR="00B60BE5" w:rsidRDefault="00000000">
      <w:pPr>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I&amp;M Bank Limited</w:t>
      </w:r>
    </w:p>
    <w:p w14:paraId="37274390" w14:textId="77777777" w:rsidR="00B60BE5" w:rsidRDefault="00000000">
      <w:pPr>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KCB Bank Kenya Limited</w:t>
      </w:r>
    </w:p>
    <w:p w14:paraId="7857B869" w14:textId="77777777" w:rsidR="00B60BE5" w:rsidRDefault="00000000">
      <w:pPr>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NCBA Bank Kenya PLC</w:t>
      </w:r>
    </w:p>
    <w:p w14:paraId="584A90D3" w14:textId="77777777" w:rsidR="00B60BE5" w:rsidRDefault="00000000">
      <w:pPr>
        <w:numPr>
          <w:ilvl w:val="0"/>
          <w:numId w:val="4"/>
        </w:numPr>
        <w:spacing w:line="240" w:lineRule="auto"/>
        <w:rPr>
          <w:rFonts w:ascii="Times New Roman" w:hAnsi="Times New Roman" w:cs="Times New Roman"/>
          <w:sz w:val="24"/>
          <w:szCs w:val="24"/>
        </w:rPr>
      </w:pPr>
      <w:r>
        <w:rPr>
          <w:rFonts w:ascii="Times New Roman" w:hAnsi="Times New Roman" w:cs="Times New Roman"/>
          <w:sz w:val="24"/>
          <w:szCs w:val="24"/>
        </w:rPr>
        <w:t>Standard Chartered Bank Kenya Limited</w:t>
      </w:r>
    </w:p>
    <w:p w14:paraId="3FA2D215" w14:textId="77777777" w:rsidR="00B60BE5" w:rsidRDefault="00000000">
      <w:pPr>
        <w:spacing w:line="240" w:lineRule="auto"/>
        <w:rPr>
          <w:rFonts w:ascii="Times New Roman" w:hAnsi="Times New Roman" w:cs="Times New Roman"/>
          <w:sz w:val="24"/>
          <w:szCs w:val="24"/>
        </w:rPr>
      </w:pPr>
      <w:r>
        <w:rPr>
          <w:rFonts w:ascii="Times New Roman" w:hAnsi="Times New Roman" w:cs="Times New Roman"/>
          <w:b/>
          <w:bCs/>
          <w:sz w:val="24"/>
          <w:szCs w:val="24"/>
        </w:rPr>
        <w:t>Medium Commercial Banks</w:t>
      </w:r>
    </w:p>
    <w:p w14:paraId="64624AE4" w14:textId="77777777" w:rsidR="00B60BE5" w:rsidRDefault="00000000">
      <w:pPr>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Bank of Africa Kenya Limited</w:t>
      </w:r>
    </w:p>
    <w:p w14:paraId="29DFEFCF" w14:textId="77777777" w:rsidR="00B60BE5" w:rsidRDefault="00000000">
      <w:pPr>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Bank of Baroda (Kenya) Limited</w:t>
      </w:r>
    </w:p>
    <w:p w14:paraId="0EFFB005" w14:textId="77777777" w:rsidR="00B60BE5" w:rsidRDefault="00000000">
      <w:pPr>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Bank of India</w:t>
      </w:r>
    </w:p>
    <w:p w14:paraId="02105ECD" w14:textId="77777777" w:rsidR="00B60BE5" w:rsidRDefault="00000000">
      <w:pPr>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Citibank N.A. Kenya</w:t>
      </w:r>
    </w:p>
    <w:p w14:paraId="49118DAD" w14:textId="77777777" w:rsidR="00B60BE5" w:rsidRDefault="00000000">
      <w:pPr>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Diamond Trust Bank Kenya Limited (DTB)</w:t>
      </w:r>
    </w:p>
    <w:p w14:paraId="41751053" w14:textId="77777777" w:rsidR="00B60BE5" w:rsidRDefault="00000000">
      <w:pPr>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Ecobank Kenya Limited</w:t>
      </w:r>
    </w:p>
    <w:p w14:paraId="43000EE7" w14:textId="77777777" w:rsidR="00B60BE5" w:rsidRDefault="00000000">
      <w:pPr>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Family Bank Limited</w:t>
      </w:r>
    </w:p>
    <w:p w14:paraId="74488A15" w14:textId="77777777" w:rsidR="00B60BE5" w:rsidRDefault="00000000">
      <w:pPr>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Guaranty Trust Bank (Kenya) Limited</w:t>
      </w:r>
    </w:p>
    <w:p w14:paraId="1DE6437D" w14:textId="77777777" w:rsidR="00B60BE5" w:rsidRDefault="00000000">
      <w:pPr>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National Bank of Kenya Limited</w:t>
      </w:r>
    </w:p>
    <w:p w14:paraId="25B7CFA1" w14:textId="77777777" w:rsidR="00B60BE5" w:rsidRDefault="00000000">
      <w:pPr>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Prime Bank Limited</w:t>
      </w:r>
    </w:p>
    <w:p w14:paraId="17A51654" w14:textId="77777777" w:rsidR="00B60BE5" w:rsidRDefault="00000000">
      <w:pPr>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Stanbic Bank Kenya Limited</w:t>
      </w:r>
    </w:p>
    <w:p w14:paraId="335648E4" w14:textId="77777777" w:rsidR="00B60BE5" w:rsidRDefault="00000000">
      <w:pPr>
        <w:spacing w:line="240" w:lineRule="auto"/>
        <w:rPr>
          <w:rFonts w:ascii="Times New Roman" w:hAnsi="Times New Roman" w:cs="Times New Roman"/>
          <w:sz w:val="24"/>
          <w:szCs w:val="24"/>
        </w:rPr>
      </w:pPr>
      <w:r>
        <w:rPr>
          <w:rFonts w:ascii="Times New Roman" w:hAnsi="Times New Roman" w:cs="Times New Roman"/>
          <w:b/>
          <w:bCs/>
          <w:sz w:val="24"/>
          <w:szCs w:val="24"/>
        </w:rPr>
        <w:t>Small Commercial Banks</w:t>
      </w:r>
    </w:p>
    <w:p w14:paraId="10372B66"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Access Bank (Kenya) PLC</w:t>
      </w:r>
    </w:p>
    <w:p w14:paraId="2F888FFE"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African Banking Corporation Limited (ABC Bank)</w:t>
      </w:r>
    </w:p>
    <w:p w14:paraId="2508D5FF"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Consolidated Bank of Kenya Limited</w:t>
      </w:r>
    </w:p>
    <w:p w14:paraId="5F065F7E"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Credit Bank PLC</w:t>
      </w:r>
    </w:p>
    <w:p w14:paraId="128A4609"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Development Bank of Kenya Limited</w:t>
      </w:r>
    </w:p>
    <w:p w14:paraId="5DAD71E7"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DIB Bank Kenya Limited</w:t>
      </w:r>
    </w:p>
    <w:p w14:paraId="61F79251"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First Community Bank Limited</w:t>
      </w:r>
    </w:p>
    <w:p w14:paraId="71B520BD"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Guardian Bank Limited</w:t>
      </w:r>
    </w:p>
    <w:p w14:paraId="4CB5E167"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Gulf African Bank Limited</w:t>
      </w:r>
    </w:p>
    <w:p w14:paraId="7895183D"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lastRenderedPageBreak/>
        <w:t>Habib Bank A.G. Zurich</w:t>
      </w:r>
    </w:p>
    <w:p w14:paraId="0ACFC49D"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Kingdom Bank Limited</w:t>
      </w:r>
    </w:p>
    <w:p w14:paraId="5FB6769A"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Mayfair CIB Bank Limited</w:t>
      </w:r>
    </w:p>
    <w:p w14:paraId="75F0DB4B"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Middle East Bank (Kenya) Limited</w:t>
      </w:r>
    </w:p>
    <w:p w14:paraId="3419B4EC"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en-US"/>
        </w:rPr>
        <w:t>,</w:t>
      </w:r>
      <w:r>
        <w:rPr>
          <w:rFonts w:ascii="Times New Roman" w:hAnsi="Times New Roman" w:cs="Times New Roman"/>
          <w:sz w:val="24"/>
          <w:szCs w:val="24"/>
        </w:rPr>
        <w:t>Oriental Bank Limited</w:t>
      </w:r>
    </w:p>
    <w:p w14:paraId="593E9222"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Paramount Bank Limited</w:t>
      </w:r>
    </w:p>
    <w:p w14:paraId="5078F85E"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SBM Bank Kenya Limited</w:t>
      </w:r>
    </w:p>
    <w:p w14:paraId="4BDD1C11"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Sidian Bank Limited</w:t>
      </w:r>
    </w:p>
    <w:p w14:paraId="7C8AA3EB"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Spire Bank Limited</w:t>
      </w:r>
    </w:p>
    <w:p w14:paraId="6DBF7637"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UBA Kenya Bank Limited</w:t>
      </w:r>
    </w:p>
    <w:p w14:paraId="652701F5" w14:textId="77777777" w:rsidR="00B60BE5" w:rsidRDefault="00000000">
      <w:pPr>
        <w:numPr>
          <w:ilvl w:val="0"/>
          <w:numId w:val="6"/>
        </w:numPr>
        <w:spacing w:line="240" w:lineRule="auto"/>
        <w:rPr>
          <w:rFonts w:ascii="Times New Roman" w:hAnsi="Times New Roman" w:cs="Times New Roman"/>
          <w:sz w:val="24"/>
          <w:szCs w:val="24"/>
        </w:rPr>
      </w:pPr>
      <w:r>
        <w:rPr>
          <w:rFonts w:ascii="Times New Roman" w:hAnsi="Times New Roman" w:cs="Times New Roman"/>
          <w:sz w:val="24"/>
          <w:szCs w:val="24"/>
        </w:rPr>
        <w:t>Victoria Commercial Bank PLC</w:t>
      </w:r>
    </w:p>
    <w:p w14:paraId="2482F616" w14:textId="77777777" w:rsidR="00B60BE5" w:rsidRDefault="00000000">
      <w:pPr>
        <w:pStyle w:val="Heading3"/>
        <w:rPr>
          <w:rFonts w:ascii="Times New Roman" w:hAnsi="Times New Roman" w:cs="Times New Roman"/>
          <w:i/>
          <w:iCs/>
          <w:color w:val="auto"/>
          <w:sz w:val="24"/>
          <w:szCs w:val="24"/>
        </w:rPr>
      </w:pPr>
      <w:bookmarkStart w:id="53" w:name="_Toc222210229"/>
      <w:r>
        <w:rPr>
          <w:rFonts w:ascii="Times New Roman" w:hAnsi="Times New Roman" w:cs="Times New Roman"/>
          <w:i/>
          <w:iCs/>
          <w:color w:val="auto"/>
          <w:sz w:val="24"/>
          <w:szCs w:val="24"/>
        </w:rPr>
        <w:t>Complete Data Extraction Template</w:t>
      </w:r>
      <w:bookmarkEnd w:id="53"/>
    </w:p>
    <w:p w14:paraId="4F277AEA"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DATA EXTRACTION FORM FOR COMMERCIAL BANK GREEN FINANCE STUDY</w:t>
      </w:r>
      <w:r>
        <w:rPr>
          <w:rFonts w:ascii="Times New Roman" w:hAnsi="Times New Roman" w:cs="Times New Roman"/>
          <w:sz w:val="24"/>
          <w:szCs w:val="24"/>
        </w:rPr>
        <w:br/>
        <w:t>Study Period: 2021</w:t>
      </w:r>
      <w:r>
        <w:rPr>
          <w:rFonts w:ascii="Times New Roman" w:hAnsi="Times New Roman" w:cs="Times New Roman"/>
          <w:sz w:val="24"/>
          <w:szCs w:val="24"/>
          <w:lang w:val="en-US"/>
        </w:rPr>
        <w:t>,</w:t>
      </w:r>
      <w:r>
        <w:rPr>
          <w:rFonts w:ascii="Times New Roman" w:hAnsi="Times New Roman" w:cs="Times New Roman"/>
          <w:sz w:val="24"/>
          <w:szCs w:val="24"/>
        </w:rPr>
        <w:t>2025 | Bank Code: ______ | Extraction Date: ______</w:t>
      </w:r>
    </w:p>
    <w:p w14:paraId="38A34371"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SECTION A: BANK IDENTIFICATION &amp; CLASSIFICATION</w:t>
      </w:r>
    </w:p>
    <w:tbl>
      <w:tblPr>
        <w:tblStyle w:val="TableGrid"/>
        <w:tblW w:w="10577" w:type="dxa"/>
        <w:tblInd w:w="-572" w:type="dxa"/>
        <w:tblLook w:val="04A0" w:firstRow="1" w:lastRow="0" w:firstColumn="1" w:lastColumn="0" w:noHBand="0" w:noVBand="1"/>
      </w:tblPr>
      <w:tblGrid>
        <w:gridCol w:w="696"/>
        <w:gridCol w:w="1523"/>
        <w:gridCol w:w="1363"/>
        <w:gridCol w:w="1798"/>
        <w:gridCol w:w="3216"/>
        <w:gridCol w:w="2177"/>
      </w:tblGrid>
      <w:tr w:rsidR="00B60BE5" w14:paraId="4844FD55" w14:textId="77777777">
        <w:tc>
          <w:tcPr>
            <w:tcW w:w="656" w:type="dxa"/>
          </w:tcPr>
          <w:p w14:paraId="6A5F171F"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Item</w:t>
            </w:r>
          </w:p>
        </w:tc>
        <w:tc>
          <w:tcPr>
            <w:tcW w:w="0" w:type="auto"/>
          </w:tcPr>
          <w:p w14:paraId="5D06EEA1"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Data Point</w:t>
            </w:r>
          </w:p>
        </w:tc>
        <w:tc>
          <w:tcPr>
            <w:tcW w:w="0" w:type="auto"/>
          </w:tcPr>
          <w:p w14:paraId="6DFD85AE"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Source Document</w:t>
            </w:r>
          </w:p>
        </w:tc>
        <w:tc>
          <w:tcPr>
            <w:tcW w:w="1722" w:type="dxa"/>
          </w:tcPr>
          <w:p w14:paraId="31FE5355"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Page/Reference</w:t>
            </w:r>
          </w:p>
        </w:tc>
        <w:tc>
          <w:tcPr>
            <w:tcW w:w="3525" w:type="dxa"/>
          </w:tcPr>
          <w:p w14:paraId="04CFA5BF"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Extracted Value</w:t>
            </w:r>
          </w:p>
        </w:tc>
        <w:tc>
          <w:tcPr>
            <w:tcW w:w="1788" w:type="dxa"/>
          </w:tcPr>
          <w:p w14:paraId="2D1636E7"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Notes/Assumptions</w:t>
            </w:r>
          </w:p>
        </w:tc>
      </w:tr>
      <w:tr w:rsidR="00B60BE5" w14:paraId="765B9F63" w14:textId="77777777">
        <w:tc>
          <w:tcPr>
            <w:tcW w:w="656" w:type="dxa"/>
          </w:tcPr>
          <w:p w14:paraId="19B76F50"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A1</w:t>
            </w:r>
          </w:p>
        </w:tc>
        <w:tc>
          <w:tcPr>
            <w:tcW w:w="0" w:type="auto"/>
          </w:tcPr>
          <w:p w14:paraId="2D3603D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Bank Name</w:t>
            </w:r>
          </w:p>
        </w:tc>
        <w:tc>
          <w:tcPr>
            <w:tcW w:w="0" w:type="auto"/>
          </w:tcPr>
          <w:p w14:paraId="0C3E164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CBK Directory</w:t>
            </w:r>
          </w:p>
        </w:tc>
        <w:tc>
          <w:tcPr>
            <w:tcW w:w="1722" w:type="dxa"/>
          </w:tcPr>
          <w:p w14:paraId="44E9DDCA" w14:textId="77777777" w:rsidR="00B60BE5" w:rsidRDefault="00000000">
            <w:pPr>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3525" w:type="dxa"/>
          </w:tcPr>
          <w:p w14:paraId="5AEE5E1B" w14:textId="77777777" w:rsidR="00B60BE5" w:rsidRDefault="00B60BE5">
            <w:pPr>
              <w:rPr>
                <w:rFonts w:ascii="Times New Roman" w:hAnsi="Times New Roman" w:cs="Times New Roman"/>
                <w:sz w:val="24"/>
                <w:szCs w:val="24"/>
              </w:rPr>
            </w:pPr>
          </w:p>
        </w:tc>
        <w:tc>
          <w:tcPr>
            <w:tcW w:w="1788" w:type="dxa"/>
          </w:tcPr>
          <w:p w14:paraId="059D15D7" w14:textId="77777777" w:rsidR="00B60BE5" w:rsidRDefault="00B60BE5">
            <w:pPr>
              <w:rPr>
                <w:rFonts w:ascii="Times New Roman" w:hAnsi="Times New Roman" w:cs="Times New Roman"/>
                <w:sz w:val="24"/>
                <w:szCs w:val="24"/>
              </w:rPr>
            </w:pPr>
          </w:p>
        </w:tc>
      </w:tr>
      <w:tr w:rsidR="00B60BE5" w14:paraId="58197F3C" w14:textId="77777777">
        <w:tc>
          <w:tcPr>
            <w:tcW w:w="656" w:type="dxa"/>
          </w:tcPr>
          <w:p w14:paraId="33FE815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A2</w:t>
            </w:r>
          </w:p>
        </w:tc>
        <w:tc>
          <w:tcPr>
            <w:tcW w:w="0" w:type="auto"/>
          </w:tcPr>
          <w:p w14:paraId="45B4C17E"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CBK License Code</w:t>
            </w:r>
          </w:p>
        </w:tc>
        <w:tc>
          <w:tcPr>
            <w:tcW w:w="0" w:type="auto"/>
          </w:tcPr>
          <w:p w14:paraId="426FE54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CBK Report 2023</w:t>
            </w:r>
          </w:p>
        </w:tc>
        <w:tc>
          <w:tcPr>
            <w:tcW w:w="1722" w:type="dxa"/>
          </w:tcPr>
          <w:p w14:paraId="59BB9AD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Table 4.1</w:t>
            </w:r>
          </w:p>
        </w:tc>
        <w:tc>
          <w:tcPr>
            <w:tcW w:w="3525" w:type="dxa"/>
          </w:tcPr>
          <w:p w14:paraId="0D3070AB" w14:textId="77777777" w:rsidR="00B60BE5" w:rsidRDefault="00B60BE5">
            <w:pPr>
              <w:rPr>
                <w:rFonts w:ascii="Times New Roman" w:hAnsi="Times New Roman" w:cs="Times New Roman"/>
                <w:sz w:val="24"/>
                <w:szCs w:val="24"/>
              </w:rPr>
            </w:pPr>
          </w:p>
        </w:tc>
        <w:tc>
          <w:tcPr>
            <w:tcW w:w="1788" w:type="dxa"/>
          </w:tcPr>
          <w:p w14:paraId="165F10F0" w14:textId="77777777" w:rsidR="00B60BE5" w:rsidRDefault="00B60BE5">
            <w:pPr>
              <w:rPr>
                <w:rFonts w:ascii="Times New Roman" w:hAnsi="Times New Roman" w:cs="Times New Roman"/>
                <w:sz w:val="24"/>
                <w:szCs w:val="24"/>
              </w:rPr>
            </w:pPr>
          </w:p>
        </w:tc>
      </w:tr>
      <w:tr w:rsidR="00B60BE5" w14:paraId="65EA37F0" w14:textId="77777777">
        <w:tc>
          <w:tcPr>
            <w:tcW w:w="656" w:type="dxa"/>
          </w:tcPr>
          <w:p w14:paraId="6532F58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A3</w:t>
            </w:r>
          </w:p>
        </w:tc>
        <w:tc>
          <w:tcPr>
            <w:tcW w:w="0" w:type="auto"/>
          </w:tcPr>
          <w:p w14:paraId="6F0299AE"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Size Tier (T1/T2/T3)</w:t>
            </w:r>
          </w:p>
        </w:tc>
        <w:tc>
          <w:tcPr>
            <w:tcW w:w="0" w:type="auto"/>
          </w:tcPr>
          <w:p w14:paraId="51CE8D4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CBK Supervision Report 2023</w:t>
            </w:r>
          </w:p>
        </w:tc>
        <w:tc>
          <w:tcPr>
            <w:tcW w:w="1722" w:type="dxa"/>
          </w:tcPr>
          <w:p w14:paraId="7C0F2B11"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Annex II</w:t>
            </w:r>
          </w:p>
        </w:tc>
        <w:tc>
          <w:tcPr>
            <w:tcW w:w="3525" w:type="dxa"/>
          </w:tcPr>
          <w:p w14:paraId="6CF42D8C" w14:textId="77777777" w:rsidR="00B60BE5" w:rsidRDefault="00B60BE5">
            <w:pPr>
              <w:rPr>
                <w:rFonts w:ascii="Times New Roman" w:hAnsi="Times New Roman" w:cs="Times New Roman"/>
                <w:sz w:val="24"/>
                <w:szCs w:val="24"/>
              </w:rPr>
            </w:pPr>
          </w:p>
        </w:tc>
        <w:tc>
          <w:tcPr>
            <w:tcW w:w="1788" w:type="dxa"/>
          </w:tcPr>
          <w:p w14:paraId="6E845628"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Based on total assets</w:t>
            </w:r>
          </w:p>
        </w:tc>
      </w:tr>
      <w:tr w:rsidR="00B60BE5" w14:paraId="300EB1E8" w14:textId="77777777">
        <w:tc>
          <w:tcPr>
            <w:tcW w:w="656" w:type="dxa"/>
          </w:tcPr>
          <w:p w14:paraId="6570D252"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A4</w:t>
            </w:r>
          </w:p>
        </w:tc>
        <w:tc>
          <w:tcPr>
            <w:tcW w:w="0" w:type="auto"/>
          </w:tcPr>
          <w:p w14:paraId="34416F5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Ownership Type</w:t>
            </w:r>
          </w:p>
        </w:tc>
        <w:tc>
          <w:tcPr>
            <w:tcW w:w="0" w:type="auto"/>
          </w:tcPr>
          <w:p w14:paraId="4D59A82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Annual Report 2023</w:t>
            </w:r>
          </w:p>
        </w:tc>
        <w:tc>
          <w:tcPr>
            <w:tcW w:w="1722" w:type="dxa"/>
          </w:tcPr>
          <w:p w14:paraId="039600C6"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Directors' Report</w:t>
            </w:r>
          </w:p>
        </w:tc>
        <w:tc>
          <w:tcPr>
            <w:tcW w:w="3525" w:type="dxa"/>
          </w:tcPr>
          <w:p w14:paraId="2CA85C69"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Domestic/Foreign/Government</w:t>
            </w:r>
          </w:p>
        </w:tc>
        <w:tc>
          <w:tcPr>
            <w:tcW w:w="1788" w:type="dxa"/>
          </w:tcPr>
          <w:p w14:paraId="51EDEFA0" w14:textId="77777777" w:rsidR="00B60BE5" w:rsidRDefault="00B60BE5">
            <w:pPr>
              <w:rPr>
                <w:rFonts w:ascii="Times New Roman" w:hAnsi="Times New Roman" w:cs="Times New Roman"/>
                <w:sz w:val="24"/>
                <w:szCs w:val="24"/>
              </w:rPr>
            </w:pPr>
          </w:p>
        </w:tc>
      </w:tr>
      <w:tr w:rsidR="00B60BE5" w14:paraId="2A1AB771" w14:textId="77777777">
        <w:tc>
          <w:tcPr>
            <w:tcW w:w="656" w:type="dxa"/>
          </w:tcPr>
          <w:p w14:paraId="3ECBD085"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A5</w:t>
            </w:r>
          </w:p>
        </w:tc>
        <w:tc>
          <w:tcPr>
            <w:tcW w:w="0" w:type="auto"/>
          </w:tcPr>
          <w:p w14:paraId="2C0B63D9"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NSE Listing Status</w:t>
            </w:r>
          </w:p>
        </w:tc>
        <w:tc>
          <w:tcPr>
            <w:tcW w:w="0" w:type="auto"/>
          </w:tcPr>
          <w:p w14:paraId="4C02340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NSE Directory 2023</w:t>
            </w:r>
          </w:p>
        </w:tc>
        <w:tc>
          <w:tcPr>
            <w:tcW w:w="1722" w:type="dxa"/>
          </w:tcPr>
          <w:p w14:paraId="0B92D33A" w14:textId="77777777" w:rsidR="00B60BE5" w:rsidRDefault="00000000">
            <w:pPr>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3525" w:type="dxa"/>
          </w:tcPr>
          <w:p w14:paraId="1ABE140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Listed/Unlisted</w:t>
            </w:r>
          </w:p>
        </w:tc>
        <w:tc>
          <w:tcPr>
            <w:tcW w:w="1788" w:type="dxa"/>
          </w:tcPr>
          <w:p w14:paraId="09129CEC" w14:textId="77777777" w:rsidR="00B60BE5" w:rsidRDefault="00B60BE5">
            <w:pPr>
              <w:rPr>
                <w:rFonts w:ascii="Times New Roman" w:hAnsi="Times New Roman" w:cs="Times New Roman"/>
                <w:sz w:val="24"/>
                <w:szCs w:val="24"/>
              </w:rPr>
            </w:pPr>
          </w:p>
        </w:tc>
      </w:tr>
      <w:tr w:rsidR="00B60BE5" w14:paraId="3BCE59C2" w14:textId="77777777">
        <w:tc>
          <w:tcPr>
            <w:tcW w:w="656" w:type="dxa"/>
          </w:tcPr>
          <w:p w14:paraId="5DFC3C3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A6</w:t>
            </w:r>
          </w:p>
        </w:tc>
        <w:tc>
          <w:tcPr>
            <w:tcW w:w="0" w:type="auto"/>
          </w:tcPr>
          <w:p w14:paraId="30A020B1"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Year of Incorporation</w:t>
            </w:r>
          </w:p>
        </w:tc>
        <w:tc>
          <w:tcPr>
            <w:tcW w:w="0" w:type="auto"/>
          </w:tcPr>
          <w:p w14:paraId="0A12FE0C"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Annual Report 2021</w:t>
            </w:r>
          </w:p>
        </w:tc>
        <w:tc>
          <w:tcPr>
            <w:tcW w:w="1722" w:type="dxa"/>
          </w:tcPr>
          <w:p w14:paraId="15A8BA60"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Company History</w:t>
            </w:r>
          </w:p>
        </w:tc>
        <w:tc>
          <w:tcPr>
            <w:tcW w:w="3525" w:type="dxa"/>
          </w:tcPr>
          <w:p w14:paraId="0502A834" w14:textId="77777777" w:rsidR="00B60BE5" w:rsidRDefault="00B60BE5">
            <w:pPr>
              <w:rPr>
                <w:rFonts w:ascii="Times New Roman" w:hAnsi="Times New Roman" w:cs="Times New Roman"/>
                <w:sz w:val="24"/>
                <w:szCs w:val="24"/>
              </w:rPr>
            </w:pPr>
          </w:p>
        </w:tc>
        <w:tc>
          <w:tcPr>
            <w:tcW w:w="1788" w:type="dxa"/>
          </w:tcPr>
          <w:p w14:paraId="51FB96A0" w14:textId="77777777" w:rsidR="00B60BE5" w:rsidRDefault="00B60BE5">
            <w:pPr>
              <w:rPr>
                <w:rFonts w:ascii="Times New Roman" w:hAnsi="Times New Roman" w:cs="Times New Roman"/>
                <w:sz w:val="24"/>
                <w:szCs w:val="24"/>
              </w:rPr>
            </w:pPr>
          </w:p>
        </w:tc>
      </w:tr>
      <w:tr w:rsidR="00B60BE5" w14:paraId="7CA73709" w14:textId="77777777">
        <w:tc>
          <w:tcPr>
            <w:tcW w:w="656" w:type="dxa"/>
          </w:tcPr>
          <w:p w14:paraId="765634F3"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lastRenderedPageBreak/>
              <w:t>A7</w:t>
            </w:r>
          </w:p>
        </w:tc>
        <w:tc>
          <w:tcPr>
            <w:tcW w:w="0" w:type="auto"/>
          </w:tcPr>
          <w:p w14:paraId="643A476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Number of Branches (2023)</w:t>
            </w:r>
          </w:p>
        </w:tc>
        <w:tc>
          <w:tcPr>
            <w:tcW w:w="0" w:type="auto"/>
          </w:tcPr>
          <w:p w14:paraId="2AD3629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Annual Report 2023</w:t>
            </w:r>
          </w:p>
        </w:tc>
        <w:tc>
          <w:tcPr>
            <w:tcW w:w="1722" w:type="dxa"/>
          </w:tcPr>
          <w:p w14:paraId="0A79F89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Operational Review</w:t>
            </w:r>
          </w:p>
        </w:tc>
        <w:tc>
          <w:tcPr>
            <w:tcW w:w="3525" w:type="dxa"/>
          </w:tcPr>
          <w:p w14:paraId="0442D2D6" w14:textId="77777777" w:rsidR="00B60BE5" w:rsidRDefault="00B60BE5">
            <w:pPr>
              <w:rPr>
                <w:rFonts w:ascii="Times New Roman" w:hAnsi="Times New Roman" w:cs="Times New Roman"/>
                <w:sz w:val="24"/>
                <w:szCs w:val="24"/>
              </w:rPr>
            </w:pPr>
          </w:p>
        </w:tc>
        <w:tc>
          <w:tcPr>
            <w:tcW w:w="1788" w:type="dxa"/>
          </w:tcPr>
          <w:p w14:paraId="129F19A3" w14:textId="77777777" w:rsidR="00B60BE5" w:rsidRDefault="00B60BE5">
            <w:pPr>
              <w:rPr>
                <w:rFonts w:ascii="Times New Roman" w:hAnsi="Times New Roman" w:cs="Times New Roman"/>
                <w:sz w:val="24"/>
                <w:szCs w:val="24"/>
              </w:rPr>
            </w:pPr>
          </w:p>
        </w:tc>
      </w:tr>
    </w:tbl>
    <w:p w14:paraId="35F756A5" w14:textId="77777777" w:rsidR="00B60BE5" w:rsidRDefault="00B60BE5">
      <w:pPr>
        <w:rPr>
          <w:rFonts w:ascii="Times New Roman" w:hAnsi="Times New Roman" w:cs="Times New Roman"/>
          <w:sz w:val="24"/>
          <w:szCs w:val="24"/>
        </w:rPr>
      </w:pPr>
    </w:p>
    <w:p w14:paraId="6CC3D3E0"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SECTION B: FINANCIAL PERFORMANCE METRICS (ANNUAL)</w:t>
      </w:r>
    </w:p>
    <w:p w14:paraId="2FA433B5"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Repeat for each year 2021</w:t>
      </w:r>
      <w:r>
        <w:rPr>
          <w:rFonts w:ascii="Times New Roman" w:hAnsi="Times New Roman" w:cs="Times New Roman"/>
          <w:sz w:val="24"/>
          <w:szCs w:val="24"/>
          <w:lang w:val="en-US"/>
        </w:rPr>
        <w:t>,</w:t>
      </w:r>
      <w:r>
        <w:rPr>
          <w:rFonts w:ascii="Times New Roman" w:hAnsi="Times New Roman" w:cs="Times New Roman"/>
          <w:sz w:val="24"/>
          <w:szCs w:val="24"/>
        </w:rPr>
        <w:t>2025</w:t>
      </w:r>
    </w:p>
    <w:p w14:paraId="49607FFE"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YEAR: ______</w:t>
      </w:r>
    </w:p>
    <w:tbl>
      <w:tblPr>
        <w:tblStyle w:val="TableGrid"/>
        <w:tblW w:w="10206" w:type="dxa"/>
        <w:tblInd w:w="-572" w:type="dxa"/>
        <w:tblLook w:val="04A0" w:firstRow="1" w:lastRow="0" w:firstColumn="1" w:lastColumn="0" w:noHBand="0" w:noVBand="1"/>
      </w:tblPr>
      <w:tblGrid>
        <w:gridCol w:w="1229"/>
        <w:gridCol w:w="2342"/>
        <w:gridCol w:w="1743"/>
        <w:gridCol w:w="710"/>
        <w:gridCol w:w="1619"/>
        <w:gridCol w:w="2563"/>
      </w:tblGrid>
      <w:tr w:rsidR="00B60BE5" w14:paraId="720C3A7D" w14:textId="77777777">
        <w:tc>
          <w:tcPr>
            <w:tcW w:w="1229" w:type="dxa"/>
          </w:tcPr>
          <w:p w14:paraId="161B19EE"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Item</w:t>
            </w:r>
          </w:p>
        </w:tc>
        <w:tc>
          <w:tcPr>
            <w:tcW w:w="0" w:type="auto"/>
          </w:tcPr>
          <w:p w14:paraId="28BE6D18"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Formula/Definition</w:t>
            </w:r>
          </w:p>
        </w:tc>
        <w:tc>
          <w:tcPr>
            <w:tcW w:w="0" w:type="auto"/>
          </w:tcPr>
          <w:p w14:paraId="2C6BFCF3"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Source Document</w:t>
            </w:r>
          </w:p>
        </w:tc>
        <w:tc>
          <w:tcPr>
            <w:tcW w:w="0" w:type="auto"/>
          </w:tcPr>
          <w:p w14:paraId="45D3B7D7"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Page</w:t>
            </w:r>
          </w:p>
        </w:tc>
        <w:tc>
          <w:tcPr>
            <w:tcW w:w="0" w:type="auto"/>
          </w:tcPr>
          <w:p w14:paraId="66408A78"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Value (KES Million)</w:t>
            </w:r>
          </w:p>
        </w:tc>
        <w:tc>
          <w:tcPr>
            <w:tcW w:w="2563" w:type="dxa"/>
          </w:tcPr>
          <w:p w14:paraId="550D15DA"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Verification Source</w:t>
            </w:r>
          </w:p>
        </w:tc>
      </w:tr>
      <w:tr w:rsidR="00B60BE5" w14:paraId="73192910" w14:textId="77777777">
        <w:tc>
          <w:tcPr>
            <w:tcW w:w="1229" w:type="dxa"/>
          </w:tcPr>
          <w:p w14:paraId="5A2CB5A2"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B1</w:t>
            </w:r>
          </w:p>
        </w:tc>
        <w:tc>
          <w:tcPr>
            <w:tcW w:w="0" w:type="auto"/>
          </w:tcPr>
          <w:p w14:paraId="0040FB2C"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Net Income After Tax</w:t>
            </w:r>
          </w:p>
        </w:tc>
        <w:tc>
          <w:tcPr>
            <w:tcW w:w="0" w:type="auto"/>
          </w:tcPr>
          <w:p w14:paraId="57F06900"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Income Statement</w:t>
            </w:r>
          </w:p>
        </w:tc>
        <w:tc>
          <w:tcPr>
            <w:tcW w:w="0" w:type="auto"/>
          </w:tcPr>
          <w:p w14:paraId="3CF910AD" w14:textId="77777777" w:rsidR="00B60BE5" w:rsidRDefault="00B60BE5">
            <w:pPr>
              <w:rPr>
                <w:rFonts w:ascii="Times New Roman" w:hAnsi="Times New Roman" w:cs="Times New Roman"/>
                <w:sz w:val="24"/>
                <w:szCs w:val="24"/>
              </w:rPr>
            </w:pPr>
          </w:p>
        </w:tc>
        <w:tc>
          <w:tcPr>
            <w:tcW w:w="0" w:type="auto"/>
          </w:tcPr>
          <w:p w14:paraId="3A017F62" w14:textId="77777777" w:rsidR="00B60BE5" w:rsidRDefault="00B60BE5">
            <w:pPr>
              <w:rPr>
                <w:rFonts w:ascii="Times New Roman" w:hAnsi="Times New Roman" w:cs="Times New Roman"/>
                <w:sz w:val="24"/>
                <w:szCs w:val="24"/>
              </w:rPr>
            </w:pPr>
          </w:p>
        </w:tc>
        <w:tc>
          <w:tcPr>
            <w:tcW w:w="2563" w:type="dxa"/>
          </w:tcPr>
          <w:p w14:paraId="6680B7D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Cross</w:t>
            </w:r>
            <w:r>
              <w:rPr>
                <w:rFonts w:ascii="Times New Roman" w:hAnsi="Times New Roman" w:cs="Times New Roman"/>
                <w:sz w:val="24"/>
                <w:szCs w:val="24"/>
                <w:lang w:val="en-US"/>
              </w:rPr>
              <w:t>,</w:t>
            </w:r>
            <w:r>
              <w:rPr>
                <w:rFonts w:ascii="Times New Roman" w:hAnsi="Times New Roman" w:cs="Times New Roman"/>
                <w:sz w:val="24"/>
                <w:szCs w:val="24"/>
              </w:rPr>
              <w:t>check with CBK</w:t>
            </w:r>
          </w:p>
        </w:tc>
      </w:tr>
      <w:tr w:rsidR="00B60BE5" w14:paraId="584E43BE" w14:textId="77777777">
        <w:tc>
          <w:tcPr>
            <w:tcW w:w="1229" w:type="dxa"/>
          </w:tcPr>
          <w:p w14:paraId="27493DFB"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B2</w:t>
            </w:r>
          </w:p>
        </w:tc>
        <w:tc>
          <w:tcPr>
            <w:tcW w:w="0" w:type="auto"/>
          </w:tcPr>
          <w:p w14:paraId="3FDB80B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Total Assets</w:t>
            </w:r>
          </w:p>
        </w:tc>
        <w:tc>
          <w:tcPr>
            <w:tcW w:w="0" w:type="auto"/>
          </w:tcPr>
          <w:p w14:paraId="62E54DE8"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Balance Sheet</w:t>
            </w:r>
          </w:p>
        </w:tc>
        <w:tc>
          <w:tcPr>
            <w:tcW w:w="0" w:type="auto"/>
          </w:tcPr>
          <w:p w14:paraId="11EAB94A" w14:textId="77777777" w:rsidR="00B60BE5" w:rsidRDefault="00B60BE5">
            <w:pPr>
              <w:rPr>
                <w:rFonts w:ascii="Times New Roman" w:hAnsi="Times New Roman" w:cs="Times New Roman"/>
                <w:sz w:val="24"/>
                <w:szCs w:val="24"/>
              </w:rPr>
            </w:pPr>
          </w:p>
        </w:tc>
        <w:tc>
          <w:tcPr>
            <w:tcW w:w="0" w:type="auto"/>
          </w:tcPr>
          <w:p w14:paraId="74D316F5" w14:textId="77777777" w:rsidR="00B60BE5" w:rsidRDefault="00B60BE5">
            <w:pPr>
              <w:rPr>
                <w:rFonts w:ascii="Times New Roman" w:hAnsi="Times New Roman" w:cs="Times New Roman"/>
                <w:sz w:val="24"/>
                <w:szCs w:val="24"/>
              </w:rPr>
            </w:pPr>
          </w:p>
        </w:tc>
        <w:tc>
          <w:tcPr>
            <w:tcW w:w="2563" w:type="dxa"/>
          </w:tcPr>
          <w:p w14:paraId="6124B55B" w14:textId="77777777" w:rsidR="00B60BE5" w:rsidRDefault="00B60BE5">
            <w:pPr>
              <w:rPr>
                <w:rFonts w:ascii="Times New Roman" w:hAnsi="Times New Roman" w:cs="Times New Roman"/>
                <w:sz w:val="24"/>
                <w:szCs w:val="24"/>
              </w:rPr>
            </w:pPr>
          </w:p>
        </w:tc>
      </w:tr>
      <w:tr w:rsidR="00B60BE5" w14:paraId="53853509" w14:textId="77777777">
        <w:tc>
          <w:tcPr>
            <w:tcW w:w="1229" w:type="dxa"/>
          </w:tcPr>
          <w:p w14:paraId="4D89A823"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B3</w:t>
            </w:r>
          </w:p>
        </w:tc>
        <w:tc>
          <w:tcPr>
            <w:tcW w:w="0" w:type="auto"/>
          </w:tcPr>
          <w:p w14:paraId="350437EF"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ROA Calculation</w:t>
            </w:r>
          </w:p>
        </w:tc>
        <w:tc>
          <w:tcPr>
            <w:tcW w:w="0" w:type="auto"/>
          </w:tcPr>
          <w:p w14:paraId="7DE290E8"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(B1/B2)×100</w:t>
            </w:r>
          </w:p>
        </w:tc>
        <w:tc>
          <w:tcPr>
            <w:tcW w:w="0" w:type="auto"/>
          </w:tcPr>
          <w:p w14:paraId="77DE0040" w14:textId="77777777" w:rsidR="00B60BE5" w:rsidRDefault="00B60BE5">
            <w:pPr>
              <w:rPr>
                <w:rFonts w:ascii="Times New Roman" w:hAnsi="Times New Roman" w:cs="Times New Roman"/>
                <w:sz w:val="24"/>
                <w:szCs w:val="24"/>
              </w:rPr>
            </w:pPr>
          </w:p>
        </w:tc>
        <w:tc>
          <w:tcPr>
            <w:tcW w:w="0" w:type="auto"/>
          </w:tcPr>
          <w:p w14:paraId="1ABC8DB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w:t>
            </w:r>
          </w:p>
        </w:tc>
        <w:tc>
          <w:tcPr>
            <w:tcW w:w="2563" w:type="dxa"/>
          </w:tcPr>
          <w:p w14:paraId="4E955FB3" w14:textId="77777777" w:rsidR="00B60BE5" w:rsidRDefault="00B60BE5">
            <w:pPr>
              <w:rPr>
                <w:rFonts w:ascii="Times New Roman" w:hAnsi="Times New Roman" w:cs="Times New Roman"/>
                <w:sz w:val="24"/>
                <w:szCs w:val="24"/>
              </w:rPr>
            </w:pPr>
          </w:p>
        </w:tc>
      </w:tr>
      <w:tr w:rsidR="00B60BE5" w14:paraId="05DC3851" w14:textId="77777777">
        <w:tc>
          <w:tcPr>
            <w:tcW w:w="1229" w:type="dxa"/>
          </w:tcPr>
          <w:p w14:paraId="38508066"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B4</w:t>
            </w:r>
          </w:p>
        </w:tc>
        <w:tc>
          <w:tcPr>
            <w:tcW w:w="0" w:type="auto"/>
          </w:tcPr>
          <w:p w14:paraId="035A92A3"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Net Interest Income</w:t>
            </w:r>
          </w:p>
        </w:tc>
        <w:tc>
          <w:tcPr>
            <w:tcW w:w="0" w:type="auto"/>
          </w:tcPr>
          <w:p w14:paraId="44B838ED"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Income Statement</w:t>
            </w:r>
          </w:p>
        </w:tc>
        <w:tc>
          <w:tcPr>
            <w:tcW w:w="0" w:type="auto"/>
          </w:tcPr>
          <w:p w14:paraId="6A6CC166" w14:textId="77777777" w:rsidR="00B60BE5" w:rsidRDefault="00B60BE5">
            <w:pPr>
              <w:rPr>
                <w:rFonts w:ascii="Times New Roman" w:hAnsi="Times New Roman" w:cs="Times New Roman"/>
                <w:sz w:val="24"/>
                <w:szCs w:val="24"/>
              </w:rPr>
            </w:pPr>
          </w:p>
        </w:tc>
        <w:tc>
          <w:tcPr>
            <w:tcW w:w="0" w:type="auto"/>
          </w:tcPr>
          <w:p w14:paraId="69445612" w14:textId="77777777" w:rsidR="00B60BE5" w:rsidRDefault="00B60BE5">
            <w:pPr>
              <w:rPr>
                <w:rFonts w:ascii="Times New Roman" w:hAnsi="Times New Roman" w:cs="Times New Roman"/>
                <w:sz w:val="24"/>
                <w:szCs w:val="24"/>
              </w:rPr>
            </w:pPr>
          </w:p>
        </w:tc>
        <w:tc>
          <w:tcPr>
            <w:tcW w:w="2563" w:type="dxa"/>
          </w:tcPr>
          <w:p w14:paraId="7DA6DF94" w14:textId="77777777" w:rsidR="00B60BE5" w:rsidRDefault="00B60BE5">
            <w:pPr>
              <w:rPr>
                <w:rFonts w:ascii="Times New Roman" w:hAnsi="Times New Roman" w:cs="Times New Roman"/>
                <w:sz w:val="24"/>
                <w:szCs w:val="24"/>
              </w:rPr>
            </w:pPr>
          </w:p>
        </w:tc>
      </w:tr>
      <w:tr w:rsidR="00B60BE5" w14:paraId="3331AC5F" w14:textId="77777777">
        <w:tc>
          <w:tcPr>
            <w:tcW w:w="1229" w:type="dxa"/>
          </w:tcPr>
          <w:p w14:paraId="6C691F2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B5</w:t>
            </w:r>
          </w:p>
        </w:tc>
        <w:tc>
          <w:tcPr>
            <w:tcW w:w="0" w:type="auto"/>
          </w:tcPr>
          <w:p w14:paraId="17DD80C0"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Non</w:t>
            </w:r>
            <w:r>
              <w:rPr>
                <w:rFonts w:ascii="Times New Roman" w:hAnsi="Times New Roman" w:cs="Times New Roman"/>
                <w:sz w:val="24"/>
                <w:szCs w:val="24"/>
                <w:lang w:val="en-US"/>
              </w:rPr>
              <w:t>,</w:t>
            </w:r>
            <w:r>
              <w:rPr>
                <w:rFonts w:ascii="Times New Roman" w:hAnsi="Times New Roman" w:cs="Times New Roman"/>
                <w:sz w:val="24"/>
                <w:szCs w:val="24"/>
              </w:rPr>
              <w:t>Interest Income</w:t>
            </w:r>
          </w:p>
        </w:tc>
        <w:tc>
          <w:tcPr>
            <w:tcW w:w="0" w:type="auto"/>
          </w:tcPr>
          <w:p w14:paraId="27A10E35"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Income Statement</w:t>
            </w:r>
          </w:p>
        </w:tc>
        <w:tc>
          <w:tcPr>
            <w:tcW w:w="0" w:type="auto"/>
          </w:tcPr>
          <w:p w14:paraId="68AAD387" w14:textId="77777777" w:rsidR="00B60BE5" w:rsidRDefault="00B60BE5">
            <w:pPr>
              <w:rPr>
                <w:rFonts w:ascii="Times New Roman" w:hAnsi="Times New Roman" w:cs="Times New Roman"/>
                <w:sz w:val="24"/>
                <w:szCs w:val="24"/>
              </w:rPr>
            </w:pPr>
          </w:p>
        </w:tc>
        <w:tc>
          <w:tcPr>
            <w:tcW w:w="0" w:type="auto"/>
          </w:tcPr>
          <w:p w14:paraId="7C81DECC" w14:textId="77777777" w:rsidR="00B60BE5" w:rsidRDefault="00B60BE5">
            <w:pPr>
              <w:rPr>
                <w:rFonts w:ascii="Times New Roman" w:hAnsi="Times New Roman" w:cs="Times New Roman"/>
                <w:sz w:val="24"/>
                <w:szCs w:val="24"/>
              </w:rPr>
            </w:pPr>
          </w:p>
        </w:tc>
        <w:tc>
          <w:tcPr>
            <w:tcW w:w="2563" w:type="dxa"/>
          </w:tcPr>
          <w:p w14:paraId="1D4D2283" w14:textId="77777777" w:rsidR="00B60BE5" w:rsidRDefault="00B60BE5">
            <w:pPr>
              <w:rPr>
                <w:rFonts w:ascii="Times New Roman" w:hAnsi="Times New Roman" w:cs="Times New Roman"/>
                <w:sz w:val="24"/>
                <w:szCs w:val="24"/>
              </w:rPr>
            </w:pPr>
          </w:p>
        </w:tc>
      </w:tr>
      <w:tr w:rsidR="00B60BE5" w14:paraId="155B3750" w14:textId="77777777">
        <w:tc>
          <w:tcPr>
            <w:tcW w:w="1229" w:type="dxa"/>
          </w:tcPr>
          <w:p w14:paraId="13AE7582"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B6</w:t>
            </w:r>
          </w:p>
        </w:tc>
        <w:tc>
          <w:tcPr>
            <w:tcW w:w="0" w:type="auto"/>
          </w:tcPr>
          <w:p w14:paraId="26DEAA29"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Total Operating Income</w:t>
            </w:r>
          </w:p>
        </w:tc>
        <w:tc>
          <w:tcPr>
            <w:tcW w:w="0" w:type="auto"/>
          </w:tcPr>
          <w:p w14:paraId="4732A7A2"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Income Statement</w:t>
            </w:r>
          </w:p>
        </w:tc>
        <w:tc>
          <w:tcPr>
            <w:tcW w:w="0" w:type="auto"/>
          </w:tcPr>
          <w:p w14:paraId="7D55C94A" w14:textId="77777777" w:rsidR="00B60BE5" w:rsidRDefault="00B60BE5">
            <w:pPr>
              <w:rPr>
                <w:rFonts w:ascii="Times New Roman" w:hAnsi="Times New Roman" w:cs="Times New Roman"/>
                <w:sz w:val="24"/>
                <w:szCs w:val="24"/>
              </w:rPr>
            </w:pPr>
          </w:p>
        </w:tc>
        <w:tc>
          <w:tcPr>
            <w:tcW w:w="0" w:type="auto"/>
          </w:tcPr>
          <w:p w14:paraId="5F181B1C" w14:textId="77777777" w:rsidR="00B60BE5" w:rsidRDefault="00B60BE5">
            <w:pPr>
              <w:rPr>
                <w:rFonts w:ascii="Times New Roman" w:hAnsi="Times New Roman" w:cs="Times New Roman"/>
                <w:sz w:val="24"/>
                <w:szCs w:val="24"/>
              </w:rPr>
            </w:pPr>
          </w:p>
        </w:tc>
        <w:tc>
          <w:tcPr>
            <w:tcW w:w="2563" w:type="dxa"/>
          </w:tcPr>
          <w:p w14:paraId="3AD4EB7F" w14:textId="77777777" w:rsidR="00B60BE5" w:rsidRDefault="00B60BE5">
            <w:pPr>
              <w:rPr>
                <w:rFonts w:ascii="Times New Roman" w:hAnsi="Times New Roman" w:cs="Times New Roman"/>
                <w:sz w:val="24"/>
                <w:szCs w:val="24"/>
              </w:rPr>
            </w:pPr>
          </w:p>
        </w:tc>
      </w:tr>
      <w:tr w:rsidR="00B60BE5" w14:paraId="779664B3" w14:textId="77777777">
        <w:tc>
          <w:tcPr>
            <w:tcW w:w="1229" w:type="dxa"/>
          </w:tcPr>
          <w:p w14:paraId="6765B92C"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B7</w:t>
            </w:r>
          </w:p>
        </w:tc>
        <w:tc>
          <w:tcPr>
            <w:tcW w:w="0" w:type="auto"/>
          </w:tcPr>
          <w:p w14:paraId="447DC74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Operating Expenses</w:t>
            </w:r>
          </w:p>
        </w:tc>
        <w:tc>
          <w:tcPr>
            <w:tcW w:w="0" w:type="auto"/>
          </w:tcPr>
          <w:p w14:paraId="2852665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Income Statement</w:t>
            </w:r>
          </w:p>
        </w:tc>
        <w:tc>
          <w:tcPr>
            <w:tcW w:w="0" w:type="auto"/>
          </w:tcPr>
          <w:p w14:paraId="7C2C6A32" w14:textId="77777777" w:rsidR="00B60BE5" w:rsidRDefault="00B60BE5">
            <w:pPr>
              <w:rPr>
                <w:rFonts w:ascii="Times New Roman" w:hAnsi="Times New Roman" w:cs="Times New Roman"/>
                <w:sz w:val="24"/>
                <w:szCs w:val="24"/>
              </w:rPr>
            </w:pPr>
          </w:p>
        </w:tc>
        <w:tc>
          <w:tcPr>
            <w:tcW w:w="0" w:type="auto"/>
          </w:tcPr>
          <w:p w14:paraId="4EF2FD85" w14:textId="77777777" w:rsidR="00B60BE5" w:rsidRDefault="00B60BE5">
            <w:pPr>
              <w:rPr>
                <w:rFonts w:ascii="Times New Roman" w:hAnsi="Times New Roman" w:cs="Times New Roman"/>
                <w:sz w:val="24"/>
                <w:szCs w:val="24"/>
              </w:rPr>
            </w:pPr>
          </w:p>
        </w:tc>
        <w:tc>
          <w:tcPr>
            <w:tcW w:w="2563" w:type="dxa"/>
          </w:tcPr>
          <w:p w14:paraId="5AF4ACCF" w14:textId="77777777" w:rsidR="00B60BE5" w:rsidRDefault="00B60BE5">
            <w:pPr>
              <w:rPr>
                <w:rFonts w:ascii="Times New Roman" w:hAnsi="Times New Roman" w:cs="Times New Roman"/>
                <w:sz w:val="24"/>
                <w:szCs w:val="24"/>
              </w:rPr>
            </w:pPr>
          </w:p>
        </w:tc>
      </w:tr>
      <w:tr w:rsidR="00B60BE5" w14:paraId="5042C19E" w14:textId="77777777">
        <w:tc>
          <w:tcPr>
            <w:tcW w:w="1229" w:type="dxa"/>
          </w:tcPr>
          <w:p w14:paraId="5FA22F9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B8</w:t>
            </w:r>
          </w:p>
        </w:tc>
        <w:tc>
          <w:tcPr>
            <w:tcW w:w="0" w:type="auto"/>
          </w:tcPr>
          <w:p w14:paraId="6C09C5B2"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Profit Before Tax</w:t>
            </w:r>
          </w:p>
        </w:tc>
        <w:tc>
          <w:tcPr>
            <w:tcW w:w="0" w:type="auto"/>
          </w:tcPr>
          <w:p w14:paraId="4DF21CD3"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Income Statement</w:t>
            </w:r>
          </w:p>
        </w:tc>
        <w:tc>
          <w:tcPr>
            <w:tcW w:w="0" w:type="auto"/>
          </w:tcPr>
          <w:p w14:paraId="5C489880" w14:textId="77777777" w:rsidR="00B60BE5" w:rsidRDefault="00B60BE5">
            <w:pPr>
              <w:rPr>
                <w:rFonts w:ascii="Times New Roman" w:hAnsi="Times New Roman" w:cs="Times New Roman"/>
                <w:sz w:val="24"/>
                <w:szCs w:val="24"/>
              </w:rPr>
            </w:pPr>
          </w:p>
        </w:tc>
        <w:tc>
          <w:tcPr>
            <w:tcW w:w="0" w:type="auto"/>
          </w:tcPr>
          <w:p w14:paraId="680F5C23" w14:textId="77777777" w:rsidR="00B60BE5" w:rsidRDefault="00B60BE5">
            <w:pPr>
              <w:rPr>
                <w:rFonts w:ascii="Times New Roman" w:hAnsi="Times New Roman" w:cs="Times New Roman"/>
                <w:sz w:val="24"/>
                <w:szCs w:val="24"/>
              </w:rPr>
            </w:pPr>
          </w:p>
        </w:tc>
        <w:tc>
          <w:tcPr>
            <w:tcW w:w="2563" w:type="dxa"/>
          </w:tcPr>
          <w:p w14:paraId="304E8B4C" w14:textId="77777777" w:rsidR="00B60BE5" w:rsidRDefault="00B60BE5">
            <w:pPr>
              <w:rPr>
                <w:rFonts w:ascii="Times New Roman" w:hAnsi="Times New Roman" w:cs="Times New Roman"/>
                <w:sz w:val="24"/>
                <w:szCs w:val="24"/>
              </w:rPr>
            </w:pPr>
          </w:p>
        </w:tc>
      </w:tr>
    </w:tbl>
    <w:p w14:paraId="2C0AB087" w14:textId="77777777" w:rsidR="00B60BE5" w:rsidRDefault="00B60BE5">
      <w:pPr>
        <w:rPr>
          <w:rFonts w:ascii="Times New Roman" w:hAnsi="Times New Roman" w:cs="Times New Roman"/>
          <w:b/>
          <w:bCs/>
          <w:sz w:val="24"/>
          <w:szCs w:val="24"/>
        </w:rPr>
      </w:pPr>
    </w:p>
    <w:p w14:paraId="3122F4A0"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SECTION C: GREEN FINANCE INDICATORS</w:t>
      </w:r>
    </w:p>
    <w:p w14:paraId="250F5FD7"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C.1 GREEN BONDS DATA</w:t>
      </w:r>
    </w:p>
    <w:tbl>
      <w:tblPr>
        <w:tblStyle w:val="TableGrid"/>
        <w:tblW w:w="10065" w:type="dxa"/>
        <w:tblInd w:w="-431" w:type="dxa"/>
        <w:tblLook w:val="04A0" w:firstRow="1" w:lastRow="0" w:firstColumn="1" w:lastColumn="0" w:noHBand="0" w:noVBand="1"/>
      </w:tblPr>
      <w:tblGrid>
        <w:gridCol w:w="1126"/>
        <w:gridCol w:w="1965"/>
        <w:gridCol w:w="2337"/>
        <w:gridCol w:w="1620"/>
        <w:gridCol w:w="710"/>
        <w:gridCol w:w="2307"/>
      </w:tblGrid>
      <w:tr w:rsidR="00B60BE5" w14:paraId="3FE1C6BA" w14:textId="77777777">
        <w:tc>
          <w:tcPr>
            <w:tcW w:w="1126" w:type="dxa"/>
          </w:tcPr>
          <w:p w14:paraId="59DC7A0B"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Year</w:t>
            </w:r>
          </w:p>
        </w:tc>
        <w:tc>
          <w:tcPr>
            <w:tcW w:w="0" w:type="auto"/>
          </w:tcPr>
          <w:p w14:paraId="7A42E803"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Green Bonds Issued (KES M)</w:t>
            </w:r>
          </w:p>
        </w:tc>
        <w:tc>
          <w:tcPr>
            <w:tcW w:w="0" w:type="auto"/>
          </w:tcPr>
          <w:p w14:paraId="73CBAA21"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Green Bonds in Portfolio (KES M)</w:t>
            </w:r>
          </w:p>
        </w:tc>
        <w:tc>
          <w:tcPr>
            <w:tcW w:w="0" w:type="auto"/>
          </w:tcPr>
          <w:p w14:paraId="674ABBAE"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Source Document</w:t>
            </w:r>
          </w:p>
        </w:tc>
        <w:tc>
          <w:tcPr>
            <w:tcW w:w="0" w:type="auto"/>
          </w:tcPr>
          <w:p w14:paraId="390F009E"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Page</w:t>
            </w:r>
          </w:p>
        </w:tc>
        <w:tc>
          <w:tcPr>
            <w:tcW w:w="2307" w:type="dxa"/>
          </w:tcPr>
          <w:p w14:paraId="0F977149"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Verification</w:t>
            </w:r>
          </w:p>
        </w:tc>
      </w:tr>
      <w:tr w:rsidR="00B60BE5" w14:paraId="099AB0EB" w14:textId="77777777">
        <w:tc>
          <w:tcPr>
            <w:tcW w:w="1126" w:type="dxa"/>
          </w:tcPr>
          <w:p w14:paraId="539192CE"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2021</w:t>
            </w:r>
          </w:p>
        </w:tc>
        <w:tc>
          <w:tcPr>
            <w:tcW w:w="0" w:type="auto"/>
          </w:tcPr>
          <w:p w14:paraId="12B9BC62" w14:textId="77777777" w:rsidR="00B60BE5" w:rsidRDefault="00B60BE5">
            <w:pPr>
              <w:rPr>
                <w:rFonts w:ascii="Times New Roman" w:hAnsi="Times New Roman" w:cs="Times New Roman"/>
                <w:sz w:val="24"/>
                <w:szCs w:val="24"/>
              </w:rPr>
            </w:pPr>
          </w:p>
        </w:tc>
        <w:tc>
          <w:tcPr>
            <w:tcW w:w="0" w:type="auto"/>
          </w:tcPr>
          <w:p w14:paraId="7A7CC361" w14:textId="77777777" w:rsidR="00B60BE5" w:rsidRDefault="00B60BE5">
            <w:pPr>
              <w:rPr>
                <w:rFonts w:ascii="Times New Roman" w:hAnsi="Times New Roman" w:cs="Times New Roman"/>
                <w:sz w:val="24"/>
                <w:szCs w:val="24"/>
              </w:rPr>
            </w:pPr>
          </w:p>
        </w:tc>
        <w:tc>
          <w:tcPr>
            <w:tcW w:w="0" w:type="auto"/>
          </w:tcPr>
          <w:p w14:paraId="1F6060E4" w14:textId="77777777" w:rsidR="00B60BE5" w:rsidRDefault="00B60BE5">
            <w:pPr>
              <w:rPr>
                <w:rFonts w:ascii="Times New Roman" w:hAnsi="Times New Roman" w:cs="Times New Roman"/>
                <w:sz w:val="24"/>
                <w:szCs w:val="24"/>
              </w:rPr>
            </w:pPr>
          </w:p>
        </w:tc>
        <w:tc>
          <w:tcPr>
            <w:tcW w:w="0" w:type="auto"/>
          </w:tcPr>
          <w:p w14:paraId="4F71E005" w14:textId="77777777" w:rsidR="00B60BE5" w:rsidRDefault="00B60BE5">
            <w:pPr>
              <w:rPr>
                <w:rFonts w:ascii="Times New Roman" w:hAnsi="Times New Roman" w:cs="Times New Roman"/>
                <w:sz w:val="24"/>
                <w:szCs w:val="24"/>
              </w:rPr>
            </w:pPr>
          </w:p>
        </w:tc>
        <w:tc>
          <w:tcPr>
            <w:tcW w:w="2307" w:type="dxa"/>
          </w:tcPr>
          <w:p w14:paraId="5EAC0DC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NSE Green Register</w:t>
            </w:r>
          </w:p>
        </w:tc>
      </w:tr>
      <w:tr w:rsidR="00B60BE5" w14:paraId="4FDDFEB2" w14:textId="77777777">
        <w:tc>
          <w:tcPr>
            <w:tcW w:w="1126" w:type="dxa"/>
          </w:tcPr>
          <w:p w14:paraId="0E81DE5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2022</w:t>
            </w:r>
          </w:p>
        </w:tc>
        <w:tc>
          <w:tcPr>
            <w:tcW w:w="0" w:type="auto"/>
          </w:tcPr>
          <w:p w14:paraId="273CA26D" w14:textId="77777777" w:rsidR="00B60BE5" w:rsidRDefault="00B60BE5">
            <w:pPr>
              <w:rPr>
                <w:rFonts w:ascii="Times New Roman" w:hAnsi="Times New Roman" w:cs="Times New Roman"/>
                <w:sz w:val="24"/>
                <w:szCs w:val="24"/>
              </w:rPr>
            </w:pPr>
          </w:p>
        </w:tc>
        <w:tc>
          <w:tcPr>
            <w:tcW w:w="0" w:type="auto"/>
          </w:tcPr>
          <w:p w14:paraId="5C30071D" w14:textId="77777777" w:rsidR="00B60BE5" w:rsidRDefault="00B60BE5">
            <w:pPr>
              <w:rPr>
                <w:rFonts w:ascii="Times New Roman" w:hAnsi="Times New Roman" w:cs="Times New Roman"/>
                <w:sz w:val="24"/>
                <w:szCs w:val="24"/>
              </w:rPr>
            </w:pPr>
          </w:p>
        </w:tc>
        <w:tc>
          <w:tcPr>
            <w:tcW w:w="0" w:type="auto"/>
          </w:tcPr>
          <w:p w14:paraId="398DC35F" w14:textId="77777777" w:rsidR="00B60BE5" w:rsidRDefault="00B60BE5">
            <w:pPr>
              <w:rPr>
                <w:rFonts w:ascii="Times New Roman" w:hAnsi="Times New Roman" w:cs="Times New Roman"/>
                <w:sz w:val="24"/>
                <w:szCs w:val="24"/>
              </w:rPr>
            </w:pPr>
          </w:p>
        </w:tc>
        <w:tc>
          <w:tcPr>
            <w:tcW w:w="0" w:type="auto"/>
          </w:tcPr>
          <w:p w14:paraId="0E8CD334" w14:textId="77777777" w:rsidR="00B60BE5" w:rsidRDefault="00B60BE5">
            <w:pPr>
              <w:rPr>
                <w:rFonts w:ascii="Times New Roman" w:hAnsi="Times New Roman" w:cs="Times New Roman"/>
                <w:sz w:val="24"/>
                <w:szCs w:val="24"/>
              </w:rPr>
            </w:pPr>
          </w:p>
        </w:tc>
        <w:tc>
          <w:tcPr>
            <w:tcW w:w="2307" w:type="dxa"/>
          </w:tcPr>
          <w:p w14:paraId="4B8F3480" w14:textId="77777777" w:rsidR="00B60BE5" w:rsidRDefault="00B60BE5">
            <w:pPr>
              <w:rPr>
                <w:rFonts w:ascii="Times New Roman" w:hAnsi="Times New Roman" w:cs="Times New Roman"/>
                <w:sz w:val="24"/>
                <w:szCs w:val="24"/>
              </w:rPr>
            </w:pPr>
          </w:p>
        </w:tc>
      </w:tr>
      <w:tr w:rsidR="00B60BE5" w14:paraId="56E037E8" w14:textId="77777777">
        <w:tc>
          <w:tcPr>
            <w:tcW w:w="1126" w:type="dxa"/>
          </w:tcPr>
          <w:p w14:paraId="1280D798"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2023</w:t>
            </w:r>
          </w:p>
        </w:tc>
        <w:tc>
          <w:tcPr>
            <w:tcW w:w="0" w:type="auto"/>
          </w:tcPr>
          <w:p w14:paraId="73DBAF64" w14:textId="77777777" w:rsidR="00B60BE5" w:rsidRDefault="00B60BE5">
            <w:pPr>
              <w:rPr>
                <w:rFonts w:ascii="Times New Roman" w:hAnsi="Times New Roman" w:cs="Times New Roman"/>
                <w:sz w:val="24"/>
                <w:szCs w:val="24"/>
              </w:rPr>
            </w:pPr>
          </w:p>
        </w:tc>
        <w:tc>
          <w:tcPr>
            <w:tcW w:w="0" w:type="auto"/>
          </w:tcPr>
          <w:p w14:paraId="4DE492FA" w14:textId="77777777" w:rsidR="00B60BE5" w:rsidRDefault="00B60BE5">
            <w:pPr>
              <w:rPr>
                <w:rFonts w:ascii="Times New Roman" w:hAnsi="Times New Roman" w:cs="Times New Roman"/>
                <w:sz w:val="24"/>
                <w:szCs w:val="24"/>
              </w:rPr>
            </w:pPr>
          </w:p>
        </w:tc>
        <w:tc>
          <w:tcPr>
            <w:tcW w:w="0" w:type="auto"/>
          </w:tcPr>
          <w:p w14:paraId="54E76034" w14:textId="77777777" w:rsidR="00B60BE5" w:rsidRDefault="00B60BE5">
            <w:pPr>
              <w:rPr>
                <w:rFonts w:ascii="Times New Roman" w:hAnsi="Times New Roman" w:cs="Times New Roman"/>
                <w:sz w:val="24"/>
                <w:szCs w:val="24"/>
              </w:rPr>
            </w:pPr>
          </w:p>
        </w:tc>
        <w:tc>
          <w:tcPr>
            <w:tcW w:w="0" w:type="auto"/>
          </w:tcPr>
          <w:p w14:paraId="4B628D7F" w14:textId="77777777" w:rsidR="00B60BE5" w:rsidRDefault="00B60BE5">
            <w:pPr>
              <w:rPr>
                <w:rFonts w:ascii="Times New Roman" w:hAnsi="Times New Roman" w:cs="Times New Roman"/>
                <w:sz w:val="24"/>
                <w:szCs w:val="24"/>
              </w:rPr>
            </w:pPr>
          </w:p>
        </w:tc>
        <w:tc>
          <w:tcPr>
            <w:tcW w:w="2307" w:type="dxa"/>
          </w:tcPr>
          <w:p w14:paraId="1EDB1C7A" w14:textId="77777777" w:rsidR="00B60BE5" w:rsidRDefault="00B60BE5">
            <w:pPr>
              <w:rPr>
                <w:rFonts w:ascii="Times New Roman" w:hAnsi="Times New Roman" w:cs="Times New Roman"/>
                <w:sz w:val="24"/>
                <w:szCs w:val="24"/>
              </w:rPr>
            </w:pPr>
          </w:p>
        </w:tc>
      </w:tr>
      <w:tr w:rsidR="00B60BE5" w14:paraId="42C59F9C" w14:textId="77777777">
        <w:tc>
          <w:tcPr>
            <w:tcW w:w="1126" w:type="dxa"/>
          </w:tcPr>
          <w:p w14:paraId="72CD92F9"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2024</w:t>
            </w:r>
          </w:p>
        </w:tc>
        <w:tc>
          <w:tcPr>
            <w:tcW w:w="0" w:type="auto"/>
          </w:tcPr>
          <w:p w14:paraId="538C568A" w14:textId="77777777" w:rsidR="00B60BE5" w:rsidRDefault="00B60BE5">
            <w:pPr>
              <w:rPr>
                <w:rFonts w:ascii="Times New Roman" w:hAnsi="Times New Roman" w:cs="Times New Roman"/>
                <w:sz w:val="24"/>
                <w:szCs w:val="24"/>
              </w:rPr>
            </w:pPr>
          </w:p>
        </w:tc>
        <w:tc>
          <w:tcPr>
            <w:tcW w:w="0" w:type="auto"/>
          </w:tcPr>
          <w:p w14:paraId="49E0BE2E" w14:textId="77777777" w:rsidR="00B60BE5" w:rsidRDefault="00B60BE5">
            <w:pPr>
              <w:rPr>
                <w:rFonts w:ascii="Times New Roman" w:hAnsi="Times New Roman" w:cs="Times New Roman"/>
                <w:sz w:val="24"/>
                <w:szCs w:val="24"/>
              </w:rPr>
            </w:pPr>
          </w:p>
        </w:tc>
        <w:tc>
          <w:tcPr>
            <w:tcW w:w="0" w:type="auto"/>
          </w:tcPr>
          <w:p w14:paraId="4DECC094" w14:textId="77777777" w:rsidR="00B60BE5" w:rsidRDefault="00B60BE5">
            <w:pPr>
              <w:rPr>
                <w:rFonts w:ascii="Times New Roman" w:hAnsi="Times New Roman" w:cs="Times New Roman"/>
                <w:sz w:val="24"/>
                <w:szCs w:val="24"/>
              </w:rPr>
            </w:pPr>
          </w:p>
        </w:tc>
        <w:tc>
          <w:tcPr>
            <w:tcW w:w="0" w:type="auto"/>
          </w:tcPr>
          <w:p w14:paraId="0EA4CDC1" w14:textId="77777777" w:rsidR="00B60BE5" w:rsidRDefault="00B60BE5">
            <w:pPr>
              <w:rPr>
                <w:rFonts w:ascii="Times New Roman" w:hAnsi="Times New Roman" w:cs="Times New Roman"/>
                <w:sz w:val="24"/>
                <w:szCs w:val="24"/>
              </w:rPr>
            </w:pPr>
          </w:p>
        </w:tc>
        <w:tc>
          <w:tcPr>
            <w:tcW w:w="2307" w:type="dxa"/>
          </w:tcPr>
          <w:p w14:paraId="63760C60" w14:textId="77777777" w:rsidR="00B60BE5" w:rsidRDefault="00B60BE5">
            <w:pPr>
              <w:rPr>
                <w:rFonts w:ascii="Times New Roman" w:hAnsi="Times New Roman" w:cs="Times New Roman"/>
                <w:sz w:val="24"/>
                <w:szCs w:val="24"/>
              </w:rPr>
            </w:pPr>
          </w:p>
        </w:tc>
      </w:tr>
      <w:tr w:rsidR="00B60BE5" w14:paraId="72685257" w14:textId="77777777">
        <w:tc>
          <w:tcPr>
            <w:tcW w:w="1126" w:type="dxa"/>
          </w:tcPr>
          <w:p w14:paraId="3288EA41"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2025</w:t>
            </w:r>
          </w:p>
        </w:tc>
        <w:tc>
          <w:tcPr>
            <w:tcW w:w="0" w:type="auto"/>
          </w:tcPr>
          <w:p w14:paraId="498F9D80" w14:textId="77777777" w:rsidR="00B60BE5" w:rsidRDefault="00B60BE5">
            <w:pPr>
              <w:rPr>
                <w:rFonts w:ascii="Times New Roman" w:hAnsi="Times New Roman" w:cs="Times New Roman"/>
                <w:sz w:val="24"/>
                <w:szCs w:val="24"/>
              </w:rPr>
            </w:pPr>
          </w:p>
        </w:tc>
        <w:tc>
          <w:tcPr>
            <w:tcW w:w="0" w:type="auto"/>
          </w:tcPr>
          <w:p w14:paraId="259A01D5" w14:textId="77777777" w:rsidR="00B60BE5" w:rsidRDefault="00B60BE5">
            <w:pPr>
              <w:rPr>
                <w:rFonts w:ascii="Times New Roman" w:hAnsi="Times New Roman" w:cs="Times New Roman"/>
                <w:sz w:val="24"/>
                <w:szCs w:val="24"/>
              </w:rPr>
            </w:pPr>
          </w:p>
        </w:tc>
        <w:tc>
          <w:tcPr>
            <w:tcW w:w="0" w:type="auto"/>
          </w:tcPr>
          <w:p w14:paraId="2045030D" w14:textId="77777777" w:rsidR="00B60BE5" w:rsidRDefault="00B60BE5">
            <w:pPr>
              <w:rPr>
                <w:rFonts w:ascii="Times New Roman" w:hAnsi="Times New Roman" w:cs="Times New Roman"/>
                <w:sz w:val="24"/>
                <w:szCs w:val="24"/>
              </w:rPr>
            </w:pPr>
          </w:p>
        </w:tc>
        <w:tc>
          <w:tcPr>
            <w:tcW w:w="0" w:type="auto"/>
          </w:tcPr>
          <w:p w14:paraId="1292C5D1" w14:textId="77777777" w:rsidR="00B60BE5" w:rsidRDefault="00B60BE5">
            <w:pPr>
              <w:rPr>
                <w:rFonts w:ascii="Times New Roman" w:hAnsi="Times New Roman" w:cs="Times New Roman"/>
                <w:sz w:val="24"/>
                <w:szCs w:val="24"/>
              </w:rPr>
            </w:pPr>
          </w:p>
        </w:tc>
        <w:tc>
          <w:tcPr>
            <w:tcW w:w="2307" w:type="dxa"/>
          </w:tcPr>
          <w:p w14:paraId="23BBB054" w14:textId="77777777" w:rsidR="00B60BE5" w:rsidRDefault="00B60BE5">
            <w:pPr>
              <w:rPr>
                <w:rFonts w:ascii="Times New Roman" w:hAnsi="Times New Roman" w:cs="Times New Roman"/>
                <w:sz w:val="24"/>
                <w:szCs w:val="24"/>
              </w:rPr>
            </w:pPr>
          </w:p>
        </w:tc>
      </w:tr>
    </w:tbl>
    <w:p w14:paraId="272BCCEB" w14:textId="77777777" w:rsidR="00B60BE5" w:rsidRDefault="00B60BE5">
      <w:pPr>
        <w:rPr>
          <w:rFonts w:ascii="Times New Roman" w:hAnsi="Times New Roman" w:cs="Times New Roman"/>
          <w:b/>
          <w:bCs/>
          <w:sz w:val="24"/>
          <w:szCs w:val="24"/>
        </w:rPr>
      </w:pPr>
    </w:p>
    <w:p w14:paraId="566109D8"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C.2 GREEN CREDIT PORTFOLIO</w:t>
      </w:r>
    </w:p>
    <w:tbl>
      <w:tblPr>
        <w:tblStyle w:val="TableGrid"/>
        <w:tblW w:w="10065" w:type="dxa"/>
        <w:tblInd w:w="-431" w:type="dxa"/>
        <w:tblLook w:val="04A0" w:firstRow="1" w:lastRow="0" w:firstColumn="1" w:lastColumn="0" w:noHBand="0" w:noVBand="1"/>
      </w:tblPr>
      <w:tblGrid>
        <w:gridCol w:w="1127"/>
        <w:gridCol w:w="1574"/>
        <w:gridCol w:w="1815"/>
        <w:gridCol w:w="1138"/>
        <w:gridCol w:w="1984"/>
        <w:gridCol w:w="2427"/>
      </w:tblGrid>
      <w:tr w:rsidR="00B60BE5" w14:paraId="48F5B921" w14:textId="77777777">
        <w:tc>
          <w:tcPr>
            <w:tcW w:w="1127" w:type="dxa"/>
          </w:tcPr>
          <w:p w14:paraId="63C37F54"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Year</w:t>
            </w:r>
          </w:p>
        </w:tc>
        <w:tc>
          <w:tcPr>
            <w:tcW w:w="0" w:type="auto"/>
          </w:tcPr>
          <w:p w14:paraId="5DF8ADE1"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Total Green Loans (KES M)</w:t>
            </w:r>
          </w:p>
        </w:tc>
        <w:tc>
          <w:tcPr>
            <w:tcW w:w="0" w:type="auto"/>
          </w:tcPr>
          <w:p w14:paraId="28336DF3"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Total Loan Portfolio (KES M)</w:t>
            </w:r>
          </w:p>
        </w:tc>
        <w:tc>
          <w:tcPr>
            <w:tcW w:w="0" w:type="auto"/>
          </w:tcPr>
          <w:p w14:paraId="580DDB9E"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Green Loan %</w:t>
            </w:r>
          </w:p>
        </w:tc>
        <w:tc>
          <w:tcPr>
            <w:tcW w:w="0" w:type="auto"/>
          </w:tcPr>
          <w:p w14:paraId="26AF1C29"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Sector Breakdown Available?</w:t>
            </w:r>
          </w:p>
        </w:tc>
        <w:tc>
          <w:tcPr>
            <w:tcW w:w="2427" w:type="dxa"/>
          </w:tcPr>
          <w:p w14:paraId="26D8099E"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Source</w:t>
            </w:r>
          </w:p>
        </w:tc>
      </w:tr>
      <w:tr w:rsidR="00B60BE5" w14:paraId="4F038205" w14:textId="77777777">
        <w:tc>
          <w:tcPr>
            <w:tcW w:w="1127" w:type="dxa"/>
          </w:tcPr>
          <w:p w14:paraId="15CC12D0"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2021</w:t>
            </w:r>
          </w:p>
        </w:tc>
        <w:tc>
          <w:tcPr>
            <w:tcW w:w="0" w:type="auto"/>
          </w:tcPr>
          <w:p w14:paraId="50FA77A6" w14:textId="77777777" w:rsidR="00B60BE5" w:rsidRDefault="00B60BE5">
            <w:pPr>
              <w:rPr>
                <w:rFonts w:ascii="Times New Roman" w:hAnsi="Times New Roman" w:cs="Times New Roman"/>
                <w:sz w:val="24"/>
                <w:szCs w:val="24"/>
              </w:rPr>
            </w:pPr>
          </w:p>
        </w:tc>
        <w:tc>
          <w:tcPr>
            <w:tcW w:w="0" w:type="auto"/>
          </w:tcPr>
          <w:p w14:paraId="33CCFD16" w14:textId="77777777" w:rsidR="00B60BE5" w:rsidRDefault="00B60BE5">
            <w:pPr>
              <w:rPr>
                <w:rFonts w:ascii="Times New Roman" w:hAnsi="Times New Roman" w:cs="Times New Roman"/>
                <w:sz w:val="24"/>
                <w:szCs w:val="24"/>
              </w:rPr>
            </w:pPr>
          </w:p>
        </w:tc>
        <w:tc>
          <w:tcPr>
            <w:tcW w:w="0" w:type="auto"/>
          </w:tcPr>
          <w:p w14:paraId="5A16106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w:t>
            </w:r>
          </w:p>
        </w:tc>
        <w:tc>
          <w:tcPr>
            <w:tcW w:w="0" w:type="auto"/>
          </w:tcPr>
          <w:p w14:paraId="1B803056"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2427" w:type="dxa"/>
          </w:tcPr>
          <w:p w14:paraId="1FCB22D1" w14:textId="77777777" w:rsidR="00B60BE5" w:rsidRDefault="00B60BE5">
            <w:pPr>
              <w:rPr>
                <w:rFonts w:ascii="Times New Roman" w:hAnsi="Times New Roman" w:cs="Times New Roman"/>
                <w:sz w:val="24"/>
                <w:szCs w:val="24"/>
              </w:rPr>
            </w:pPr>
          </w:p>
        </w:tc>
      </w:tr>
      <w:tr w:rsidR="00B60BE5" w14:paraId="76B84637" w14:textId="77777777">
        <w:tc>
          <w:tcPr>
            <w:tcW w:w="1127" w:type="dxa"/>
          </w:tcPr>
          <w:p w14:paraId="549FC85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2022</w:t>
            </w:r>
          </w:p>
        </w:tc>
        <w:tc>
          <w:tcPr>
            <w:tcW w:w="0" w:type="auto"/>
          </w:tcPr>
          <w:p w14:paraId="10D5993C" w14:textId="77777777" w:rsidR="00B60BE5" w:rsidRDefault="00B60BE5">
            <w:pPr>
              <w:rPr>
                <w:rFonts w:ascii="Times New Roman" w:hAnsi="Times New Roman" w:cs="Times New Roman"/>
                <w:sz w:val="24"/>
                <w:szCs w:val="24"/>
              </w:rPr>
            </w:pPr>
          </w:p>
        </w:tc>
        <w:tc>
          <w:tcPr>
            <w:tcW w:w="0" w:type="auto"/>
          </w:tcPr>
          <w:p w14:paraId="6D644E4A" w14:textId="77777777" w:rsidR="00B60BE5" w:rsidRDefault="00B60BE5">
            <w:pPr>
              <w:rPr>
                <w:rFonts w:ascii="Times New Roman" w:hAnsi="Times New Roman" w:cs="Times New Roman"/>
                <w:sz w:val="24"/>
                <w:szCs w:val="24"/>
              </w:rPr>
            </w:pPr>
          </w:p>
        </w:tc>
        <w:tc>
          <w:tcPr>
            <w:tcW w:w="0" w:type="auto"/>
          </w:tcPr>
          <w:p w14:paraId="3C1C4F4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w:t>
            </w:r>
          </w:p>
        </w:tc>
        <w:tc>
          <w:tcPr>
            <w:tcW w:w="0" w:type="auto"/>
          </w:tcPr>
          <w:p w14:paraId="2519AA36"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2427" w:type="dxa"/>
          </w:tcPr>
          <w:p w14:paraId="64A3B088" w14:textId="77777777" w:rsidR="00B60BE5" w:rsidRDefault="00B60BE5">
            <w:pPr>
              <w:rPr>
                <w:rFonts w:ascii="Times New Roman" w:hAnsi="Times New Roman" w:cs="Times New Roman"/>
                <w:sz w:val="24"/>
                <w:szCs w:val="24"/>
              </w:rPr>
            </w:pPr>
          </w:p>
        </w:tc>
      </w:tr>
      <w:tr w:rsidR="00B60BE5" w14:paraId="41BBDCB4" w14:textId="77777777">
        <w:tc>
          <w:tcPr>
            <w:tcW w:w="1127" w:type="dxa"/>
          </w:tcPr>
          <w:p w14:paraId="166AB301"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2023</w:t>
            </w:r>
          </w:p>
        </w:tc>
        <w:tc>
          <w:tcPr>
            <w:tcW w:w="0" w:type="auto"/>
          </w:tcPr>
          <w:p w14:paraId="1661ED21" w14:textId="77777777" w:rsidR="00B60BE5" w:rsidRDefault="00B60BE5">
            <w:pPr>
              <w:rPr>
                <w:rFonts w:ascii="Times New Roman" w:hAnsi="Times New Roman" w:cs="Times New Roman"/>
                <w:sz w:val="24"/>
                <w:szCs w:val="24"/>
              </w:rPr>
            </w:pPr>
          </w:p>
        </w:tc>
        <w:tc>
          <w:tcPr>
            <w:tcW w:w="0" w:type="auto"/>
          </w:tcPr>
          <w:p w14:paraId="45D2D491" w14:textId="77777777" w:rsidR="00B60BE5" w:rsidRDefault="00B60BE5">
            <w:pPr>
              <w:rPr>
                <w:rFonts w:ascii="Times New Roman" w:hAnsi="Times New Roman" w:cs="Times New Roman"/>
                <w:sz w:val="24"/>
                <w:szCs w:val="24"/>
              </w:rPr>
            </w:pPr>
          </w:p>
        </w:tc>
        <w:tc>
          <w:tcPr>
            <w:tcW w:w="0" w:type="auto"/>
          </w:tcPr>
          <w:p w14:paraId="4431A6C0"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w:t>
            </w:r>
          </w:p>
        </w:tc>
        <w:tc>
          <w:tcPr>
            <w:tcW w:w="0" w:type="auto"/>
          </w:tcPr>
          <w:p w14:paraId="3FD6F90E"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2427" w:type="dxa"/>
          </w:tcPr>
          <w:p w14:paraId="351D57BE" w14:textId="77777777" w:rsidR="00B60BE5" w:rsidRDefault="00B60BE5">
            <w:pPr>
              <w:rPr>
                <w:rFonts w:ascii="Times New Roman" w:hAnsi="Times New Roman" w:cs="Times New Roman"/>
                <w:sz w:val="24"/>
                <w:szCs w:val="24"/>
              </w:rPr>
            </w:pPr>
          </w:p>
        </w:tc>
      </w:tr>
      <w:tr w:rsidR="00B60BE5" w14:paraId="6B3C3424" w14:textId="77777777">
        <w:tc>
          <w:tcPr>
            <w:tcW w:w="1127" w:type="dxa"/>
          </w:tcPr>
          <w:p w14:paraId="5F0EC692"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2024</w:t>
            </w:r>
          </w:p>
        </w:tc>
        <w:tc>
          <w:tcPr>
            <w:tcW w:w="0" w:type="auto"/>
          </w:tcPr>
          <w:p w14:paraId="54E4BF6E" w14:textId="77777777" w:rsidR="00B60BE5" w:rsidRDefault="00B60BE5">
            <w:pPr>
              <w:rPr>
                <w:rFonts w:ascii="Times New Roman" w:hAnsi="Times New Roman" w:cs="Times New Roman"/>
                <w:sz w:val="24"/>
                <w:szCs w:val="24"/>
              </w:rPr>
            </w:pPr>
          </w:p>
        </w:tc>
        <w:tc>
          <w:tcPr>
            <w:tcW w:w="0" w:type="auto"/>
          </w:tcPr>
          <w:p w14:paraId="6690CA7B" w14:textId="77777777" w:rsidR="00B60BE5" w:rsidRDefault="00B60BE5">
            <w:pPr>
              <w:rPr>
                <w:rFonts w:ascii="Times New Roman" w:hAnsi="Times New Roman" w:cs="Times New Roman"/>
                <w:sz w:val="24"/>
                <w:szCs w:val="24"/>
              </w:rPr>
            </w:pPr>
          </w:p>
        </w:tc>
        <w:tc>
          <w:tcPr>
            <w:tcW w:w="0" w:type="auto"/>
          </w:tcPr>
          <w:p w14:paraId="5BB4C39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w:t>
            </w:r>
          </w:p>
        </w:tc>
        <w:tc>
          <w:tcPr>
            <w:tcW w:w="0" w:type="auto"/>
          </w:tcPr>
          <w:p w14:paraId="40C19D0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2427" w:type="dxa"/>
          </w:tcPr>
          <w:p w14:paraId="5EB1EF75" w14:textId="77777777" w:rsidR="00B60BE5" w:rsidRDefault="00B60BE5">
            <w:pPr>
              <w:rPr>
                <w:rFonts w:ascii="Times New Roman" w:hAnsi="Times New Roman" w:cs="Times New Roman"/>
                <w:sz w:val="24"/>
                <w:szCs w:val="24"/>
              </w:rPr>
            </w:pPr>
          </w:p>
        </w:tc>
      </w:tr>
      <w:tr w:rsidR="00B60BE5" w14:paraId="64CC23E8" w14:textId="77777777">
        <w:tc>
          <w:tcPr>
            <w:tcW w:w="1127" w:type="dxa"/>
          </w:tcPr>
          <w:p w14:paraId="7FA944B5"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2025</w:t>
            </w:r>
          </w:p>
        </w:tc>
        <w:tc>
          <w:tcPr>
            <w:tcW w:w="0" w:type="auto"/>
          </w:tcPr>
          <w:p w14:paraId="1BBDC8DF" w14:textId="77777777" w:rsidR="00B60BE5" w:rsidRDefault="00B60BE5">
            <w:pPr>
              <w:rPr>
                <w:rFonts w:ascii="Times New Roman" w:hAnsi="Times New Roman" w:cs="Times New Roman"/>
                <w:sz w:val="24"/>
                <w:szCs w:val="24"/>
              </w:rPr>
            </w:pPr>
          </w:p>
        </w:tc>
        <w:tc>
          <w:tcPr>
            <w:tcW w:w="0" w:type="auto"/>
          </w:tcPr>
          <w:p w14:paraId="5ACFC2E4" w14:textId="77777777" w:rsidR="00B60BE5" w:rsidRDefault="00B60BE5">
            <w:pPr>
              <w:rPr>
                <w:rFonts w:ascii="Times New Roman" w:hAnsi="Times New Roman" w:cs="Times New Roman"/>
                <w:sz w:val="24"/>
                <w:szCs w:val="24"/>
              </w:rPr>
            </w:pPr>
          </w:p>
        </w:tc>
        <w:tc>
          <w:tcPr>
            <w:tcW w:w="0" w:type="auto"/>
          </w:tcPr>
          <w:p w14:paraId="6F748149"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w:t>
            </w:r>
          </w:p>
        </w:tc>
        <w:tc>
          <w:tcPr>
            <w:tcW w:w="0" w:type="auto"/>
          </w:tcPr>
          <w:p w14:paraId="6390D34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2427" w:type="dxa"/>
          </w:tcPr>
          <w:p w14:paraId="4605BA62" w14:textId="77777777" w:rsidR="00B60BE5" w:rsidRDefault="00B60BE5">
            <w:pPr>
              <w:rPr>
                <w:rFonts w:ascii="Times New Roman" w:hAnsi="Times New Roman" w:cs="Times New Roman"/>
                <w:sz w:val="24"/>
                <w:szCs w:val="24"/>
              </w:rPr>
            </w:pPr>
          </w:p>
        </w:tc>
      </w:tr>
    </w:tbl>
    <w:p w14:paraId="068A611D" w14:textId="77777777" w:rsidR="00B60BE5" w:rsidRDefault="00000000">
      <w:pPr>
        <w:rPr>
          <w:rFonts w:ascii="Times New Roman" w:hAnsi="Times New Roman" w:cs="Times New Roman"/>
          <w:sz w:val="24"/>
          <w:szCs w:val="24"/>
        </w:rPr>
      </w:pPr>
      <w:r>
        <w:rPr>
          <w:rFonts w:ascii="Times New Roman" w:hAnsi="Times New Roman" w:cs="Times New Roman"/>
          <w:i/>
          <w:iCs/>
          <w:sz w:val="24"/>
          <w:szCs w:val="24"/>
        </w:rPr>
        <w:t>Sector Breakdown (if available): Renewable Energy ______, Energy Efficiency ______, Sustainable Agriculture ______, Green Buildings ______, Other ______</w:t>
      </w:r>
    </w:p>
    <w:p w14:paraId="05BC433F"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C.3 CARBON ASSETS</w:t>
      </w:r>
    </w:p>
    <w:tbl>
      <w:tblPr>
        <w:tblStyle w:val="TableGrid"/>
        <w:tblW w:w="0" w:type="auto"/>
        <w:tblLook w:val="04A0" w:firstRow="1" w:lastRow="0" w:firstColumn="1" w:lastColumn="0" w:noHBand="0" w:noVBand="1"/>
      </w:tblPr>
      <w:tblGrid>
        <w:gridCol w:w="696"/>
        <w:gridCol w:w="1964"/>
        <w:gridCol w:w="1583"/>
        <w:gridCol w:w="1778"/>
        <w:gridCol w:w="1416"/>
        <w:gridCol w:w="1579"/>
      </w:tblGrid>
      <w:tr w:rsidR="00B60BE5" w14:paraId="55B5F471" w14:textId="77777777">
        <w:tc>
          <w:tcPr>
            <w:tcW w:w="0" w:type="auto"/>
          </w:tcPr>
          <w:p w14:paraId="226C73B9"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Year</w:t>
            </w:r>
          </w:p>
        </w:tc>
        <w:tc>
          <w:tcPr>
            <w:tcW w:w="0" w:type="auto"/>
          </w:tcPr>
          <w:p w14:paraId="35A03DA6"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Carbon Credit Investments</w:t>
            </w:r>
          </w:p>
        </w:tc>
        <w:tc>
          <w:tcPr>
            <w:tcW w:w="0" w:type="auto"/>
          </w:tcPr>
          <w:p w14:paraId="5F69E10B"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Carbon Trading Volume</w:t>
            </w:r>
          </w:p>
        </w:tc>
        <w:tc>
          <w:tcPr>
            <w:tcW w:w="0" w:type="auto"/>
          </w:tcPr>
          <w:p w14:paraId="7BEB57BB"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Carbon Project Financing</w:t>
            </w:r>
          </w:p>
        </w:tc>
        <w:tc>
          <w:tcPr>
            <w:tcW w:w="0" w:type="auto"/>
          </w:tcPr>
          <w:p w14:paraId="0E91A0FD"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Total Carbon Assets</w:t>
            </w:r>
          </w:p>
        </w:tc>
        <w:tc>
          <w:tcPr>
            <w:tcW w:w="0" w:type="auto"/>
          </w:tcPr>
          <w:p w14:paraId="03D9CDB9"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Source</w:t>
            </w:r>
          </w:p>
        </w:tc>
      </w:tr>
      <w:tr w:rsidR="00B60BE5" w14:paraId="254D179D" w14:textId="77777777">
        <w:tc>
          <w:tcPr>
            <w:tcW w:w="0" w:type="auto"/>
          </w:tcPr>
          <w:p w14:paraId="406F82C5"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2021</w:t>
            </w:r>
          </w:p>
        </w:tc>
        <w:tc>
          <w:tcPr>
            <w:tcW w:w="0" w:type="auto"/>
          </w:tcPr>
          <w:p w14:paraId="10F892BD" w14:textId="77777777" w:rsidR="00B60BE5" w:rsidRDefault="00B60BE5">
            <w:pPr>
              <w:rPr>
                <w:rFonts w:ascii="Times New Roman" w:hAnsi="Times New Roman" w:cs="Times New Roman"/>
                <w:sz w:val="24"/>
                <w:szCs w:val="24"/>
              </w:rPr>
            </w:pPr>
          </w:p>
        </w:tc>
        <w:tc>
          <w:tcPr>
            <w:tcW w:w="0" w:type="auto"/>
          </w:tcPr>
          <w:p w14:paraId="2B2227F7" w14:textId="77777777" w:rsidR="00B60BE5" w:rsidRDefault="00B60BE5">
            <w:pPr>
              <w:rPr>
                <w:rFonts w:ascii="Times New Roman" w:hAnsi="Times New Roman" w:cs="Times New Roman"/>
                <w:sz w:val="24"/>
                <w:szCs w:val="24"/>
              </w:rPr>
            </w:pPr>
          </w:p>
        </w:tc>
        <w:tc>
          <w:tcPr>
            <w:tcW w:w="0" w:type="auto"/>
          </w:tcPr>
          <w:p w14:paraId="5863F743" w14:textId="77777777" w:rsidR="00B60BE5" w:rsidRDefault="00B60BE5">
            <w:pPr>
              <w:rPr>
                <w:rFonts w:ascii="Times New Roman" w:hAnsi="Times New Roman" w:cs="Times New Roman"/>
                <w:sz w:val="24"/>
                <w:szCs w:val="24"/>
              </w:rPr>
            </w:pPr>
          </w:p>
        </w:tc>
        <w:tc>
          <w:tcPr>
            <w:tcW w:w="0" w:type="auto"/>
          </w:tcPr>
          <w:p w14:paraId="0E119897" w14:textId="77777777" w:rsidR="00B60BE5" w:rsidRDefault="00B60BE5">
            <w:pPr>
              <w:rPr>
                <w:rFonts w:ascii="Times New Roman" w:hAnsi="Times New Roman" w:cs="Times New Roman"/>
                <w:sz w:val="24"/>
                <w:szCs w:val="24"/>
              </w:rPr>
            </w:pPr>
          </w:p>
        </w:tc>
        <w:tc>
          <w:tcPr>
            <w:tcW w:w="0" w:type="auto"/>
          </w:tcPr>
          <w:p w14:paraId="541784C3"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Investment Portfolio</w:t>
            </w:r>
          </w:p>
        </w:tc>
      </w:tr>
      <w:tr w:rsidR="00B60BE5" w14:paraId="2728144D" w14:textId="77777777">
        <w:tc>
          <w:tcPr>
            <w:tcW w:w="0" w:type="auto"/>
          </w:tcPr>
          <w:p w14:paraId="198FB5A8"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2022</w:t>
            </w:r>
          </w:p>
        </w:tc>
        <w:tc>
          <w:tcPr>
            <w:tcW w:w="0" w:type="auto"/>
          </w:tcPr>
          <w:p w14:paraId="3938BCC8" w14:textId="77777777" w:rsidR="00B60BE5" w:rsidRDefault="00B60BE5">
            <w:pPr>
              <w:rPr>
                <w:rFonts w:ascii="Times New Roman" w:hAnsi="Times New Roman" w:cs="Times New Roman"/>
                <w:sz w:val="24"/>
                <w:szCs w:val="24"/>
              </w:rPr>
            </w:pPr>
          </w:p>
        </w:tc>
        <w:tc>
          <w:tcPr>
            <w:tcW w:w="0" w:type="auto"/>
          </w:tcPr>
          <w:p w14:paraId="50AF1AD3" w14:textId="77777777" w:rsidR="00B60BE5" w:rsidRDefault="00B60BE5">
            <w:pPr>
              <w:rPr>
                <w:rFonts w:ascii="Times New Roman" w:hAnsi="Times New Roman" w:cs="Times New Roman"/>
                <w:sz w:val="24"/>
                <w:szCs w:val="24"/>
              </w:rPr>
            </w:pPr>
          </w:p>
        </w:tc>
        <w:tc>
          <w:tcPr>
            <w:tcW w:w="0" w:type="auto"/>
          </w:tcPr>
          <w:p w14:paraId="68A4E625" w14:textId="77777777" w:rsidR="00B60BE5" w:rsidRDefault="00B60BE5">
            <w:pPr>
              <w:rPr>
                <w:rFonts w:ascii="Times New Roman" w:hAnsi="Times New Roman" w:cs="Times New Roman"/>
                <w:sz w:val="24"/>
                <w:szCs w:val="24"/>
              </w:rPr>
            </w:pPr>
          </w:p>
        </w:tc>
        <w:tc>
          <w:tcPr>
            <w:tcW w:w="0" w:type="auto"/>
          </w:tcPr>
          <w:p w14:paraId="191DFCF3" w14:textId="77777777" w:rsidR="00B60BE5" w:rsidRDefault="00B60BE5">
            <w:pPr>
              <w:rPr>
                <w:rFonts w:ascii="Times New Roman" w:hAnsi="Times New Roman" w:cs="Times New Roman"/>
                <w:sz w:val="24"/>
                <w:szCs w:val="24"/>
              </w:rPr>
            </w:pPr>
          </w:p>
        </w:tc>
        <w:tc>
          <w:tcPr>
            <w:tcW w:w="0" w:type="auto"/>
          </w:tcPr>
          <w:p w14:paraId="2E7DB225" w14:textId="77777777" w:rsidR="00B60BE5" w:rsidRDefault="00B60BE5">
            <w:pPr>
              <w:rPr>
                <w:rFonts w:ascii="Times New Roman" w:hAnsi="Times New Roman" w:cs="Times New Roman"/>
                <w:sz w:val="24"/>
                <w:szCs w:val="24"/>
              </w:rPr>
            </w:pPr>
          </w:p>
        </w:tc>
      </w:tr>
      <w:tr w:rsidR="00B60BE5" w14:paraId="3E0AE829" w14:textId="77777777">
        <w:tc>
          <w:tcPr>
            <w:tcW w:w="0" w:type="auto"/>
          </w:tcPr>
          <w:p w14:paraId="479FA62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2023</w:t>
            </w:r>
          </w:p>
        </w:tc>
        <w:tc>
          <w:tcPr>
            <w:tcW w:w="0" w:type="auto"/>
          </w:tcPr>
          <w:p w14:paraId="52B66B14" w14:textId="77777777" w:rsidR="00B60BE5" w:rsidRDefault="00B60BE5">
            <w:pPr>
              <w:rPr>
                <w:rFonts w:ascii="Times New Roman" w:hAnsi="Times New Roman" w:cs="Times New Roman"/>
                <w:sz w:val="24"/>
                <w:szCs w:val="24"/>
              </w:rPr>
            </w:pPr>
          </w:p>
        </w:tc>
        <w:tc>
          <w:tcPr>
            <w:tcW w:w="0" w:type="auto"/>
          </w:tcPr>
          <w:p w14:paraId="3B36C598" w14:textId="77777777" w:rsidR="00B60BE5" w:rsidRDefault="00B60BE5">
            <w:pPr>
              <w:rPr>
                <w:rFonts w:ascii="Times New Roman" w:hAnsi="Times New Roman" w:cs="Times New Roman"/>
                <w:sz w:val="24"/>
                <w:szCs w:val="24"/>
              </w:rPr>
            </w:pPr>
          </w:p>
        </w:tc>
        <w:tc>
          <w:tcPr>
            <w:tcW w:w="0" w:type="auto"/>
          </w:tcPr>
          <w:p w14:paraId="3F471E34" w14:textId="77777777" w:rsidR="00B60BE5" w:rsidRDefault="00B60BE5">
            <w:pPr>
              <w:rPr>
                <w:rFonts w:ascii="Times New Roman" w:hAnsi="Times New Roman" w:cs="Times New Roman"/>
                <w:sz w:val="24"/>
                <w:szCs w:val="24"/>
              </w:rPr>
            </w:pPr>
          </w:p>
        </w:tc>
        <w:tc>
          <w:tcPr>
            <w:tcW w:w="0" w:type="auto"/>
          </w:tcPr>
          <w:p w14:paraId="265E7D65" w14:textId="77777777" w:rsidR="00B60BE5" w:rsidRDefault="00B60BE5">
            <w:pPr>
              <w:rPr>
                <w:rFonts w:ascii="Times New Roman" w:hAnsi="Times New Roman" w:cs="Times New Roman"/>
                <w:sz w:val="24"/>
                <w:szCs w:val="24"/>
              </w:rPr>
            </w:pPr>
          </w:p>
        </w:tc>
        <w:tc>
          <w:tcPr>
            <w:tcW w:w="0" w:type="auto"/>
          </w:tcPr>
          <w:p w14:paraId="11FD50A1" w14:textId="77777777" w:rsidR="00B60BE5" w:rsidRDefault="00B60BE5">
            <w:pPr>
              <w:rPr>
                <w:rFonts w:ascii="Times New Roman" w:hAnsi="Times New Roman" w:cs="Times New Roman"/>
                <w:sz w:val="24"/>
                <w:szCs w:val="24"/>
              </w:rPr>
            </w:pPr>
          </w:p>
        </w:tc>
      </w:tr>
      <w:tr w:rsidR="00B60BE5" w14:paraId="431BED5D" w14:textId="77777777">
        <w:tc>
          <w:tcPr>
            <w:tcW w:w="0" w:type="auto"/>
          </w:tcPr>
          <w:p w14:paraId="43794529"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2024</w:t>
            </w:r>
          </w:p>
        </w:tc>
        <w:tc>
          <w:tcPr>
            <w:tcW w:w="0" w:type="auto"/>
          </w:tcPr>
          <w:p w14:paraId="1E5F0EB0" w14:textId="77777777" w:rsidR="00B60BE5" w:rsidRDefault="00B60BE5">
            <w:pPr>
              <w:rPr>
                <w:rFonts w:ascii="Times New Roman" w:hAnsi="Times New Roman" w:cs="Times New Roman"/>
                <w:sz w:val="24"/>
                <w:szCs w:val="24"/>
              </w:rPr>
            </w:pPr>
          </w:p>
        </w:tc>
        <w:tc>
          <w:tcPr>
            <w:tcW w:w="0" w:type="auto"/>
          </w:tcPr>
          <w:p w14:paraId="3FC332C8" w14:textId="77777777" w:rsidR="00B60BE5" w:rsidRDefault="00B60BE5">
            <w:pPr>
              <w:rPr>
                <w:rFonts w:ascii="Times New Roman" w:hAnsi="Times New Roman" w:cs="Times New Roman"/>
                <w:sz w:val="24"/>
                <w:szCs w:val="24"/>
              </w:rPr>
            </w:pPr>
          </w:p>
        </w:tc>
        <w:tc>
          <w:tcPr>
            <w:tcW w:w="0" w:type="auto"/>
          </w:tcPr>
          <w:p w14:paraId="3E7FE904" w14:textId="77777777" w:rsidR="00B60BE5" w:rsidRDefault="00B60BE5">
            <w:pPr>
              <w:rPr>
                <w:rFonts w:ascii="Times New Roman" w:hAnsi="Times New Roman" w:cs="Times New Roman"/>
                <w:sz w:val="24"/>
                <w:szCs w:val="24"/>
              </w:rPr>
            </w:pPr>
          </w:p>
        </w:tc>
        <w:tc>
          <w:tcPr>
            <w:tcW w:w="0" w:type="auto"/>
          </w:tcPr>
          <w:p w14:paraId="4C1B076F" w14:textId="77777777" w:rsidR="00B60BE5" w:rsidRDefault="00B60BE5">
            <w:pPr>
              <w:rPr>
                <w:rFonts w:ascii="Times New Roman" w:hAnsi="Times New Roman" w:cs="Times New Roman"/>
                <w:sz w:val="24"/>
                <w:szCs w:val="24"/>
              </w:rPr>
            </w:pPr>
          </w:p>
        </w:tc>
        <w:tc>
          <w:tcPr>
            <w:tcW w:w="0" w:type="auto"/>
          </w:tcPr>
          <w:p w14:paraId="43F90404" w14:textId="77777777" w:rsidR="00B60BE5" w:rsidRDefault="00B60BE5">
            <w:pPr>
              <w:rPr>
                <w:rFonts w:ascii="Times New Roman" w:hAnsi="Times New Roman" w:cs="Times New Roman"/>
                <w:sz w:val="24"/>
                <w:szCs w:val="24"/>
              </w:rPr>
            </w:pPr>
          </w:p>
        </w:tc>
      </w:tr>
      <w:tr w:rsidR="00B60BE5" w14:paraId="60100254" w14:textId="77777777">
        <w:tc>
          <w:tcPr>
            <w:tcW w:w="0" w:type="auto"/>
          </w:tcPr>
          <w:p w14:paraId="216DCF72"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2025</w:t>
            </w:r>
          </w:p>
        </w:tc>
        <w:tc>
          <w:tcPr>
            <w:tcW w:w="0" w:type="auto"/>
          </w:tcPr>
          <w:p w14:paraId="0CBC06E8" w14:textId="77777777" w:rsidR="00B60BE5" w:rsidRDefault="00B60BE5">
            <w:pPr>
              <w:rPr>
                <w:rFonts w:ascii="Times New Roman" w:hAnsi="Times New Roman" w:cs="Times New Roman"/>
                <w:sz w:val="24"/>
                <w:szCs w:val="24"/>
              </w:rPr>
            </w:pPr>
          </w:p>
        </w:tc>
        <w:tc>
          <w:tcPr>
            <w:tcW w:w="0" w:type="auto"/>
          </w:tcPr>
          <w:p w14:paraId="2461B87E" w14:textId="77777777" w:rsidR="00B60BE5" w:rsidRDefault="00B60BE5">
            <w:pPr>
              <w:rPr>
                <w:rFonts w:ascii="Times New Roman" w:hAnsi="Times New Roman" w:cs="Times New Roman"/>
                <w:sz w:val="24"/>
                <w:szCs w:val="24"/>
              </w:rPr>
            </w:pPr>
          </w:p>
        </w:tc>
        <w:tc>
          <w:tcPr>
            <w:tcW w:w="0" w:type="auto"/>
          </w:tcPr>
          <w:p w14:paraId="53EF74D1" w14:textId="77777777" w:rsidR="00B60BE5" w:rsidRDefault="00B60BE5">
            <w:pPr>
              <w:rPr>
                <w:rFonts w:ascii="Times New Roman" w:hAnsi="Times New Roman" w:cs="Times New Roman"/>
                <w:sz w:val="24"/>
                <w:szCs w:val="24"/>
              </w:rPr>
            </w:pPr>
          </w:p>
        </w:tc>
        <w:tc>
          <w:tcPr>
            <w:tcW w:w="0" w:type="auto"/>
          </w:tcPr>
          <w:p w14:paraId="246154DD" w14:textId="77777777" w:rsidR="00B60BE5" w:rsidRDefault="00B60BE5">
            <w:pPr>
              <w:rPr>
                <w:rFonts w:ascii="Times New Roman" w:hAnsi="Times New Roman" w:cs="Times New Roman"/>
                <w:sz w:val="24"/>
                <w:szCs w:val="24"/>
              </w:rPr>
            </w:pPr>
          </w:p>
        </w:tc>
        <w:tc>
          <w:tcPr>
            <w:tcW w:w="0" w:type="auto"/>
          </w:tcPr>
          <w:p w14:paraId="45015B15" w14:textId="77777777" w:rsidR="00B60BE5" w:rsidRDefault="00B60BE5">
            <w:pPr>
              <w:rPr>
                <w:rFonts w:ascii="Times New Roman" w:hAnsi="Times New Roman" w:cs="Times New Roman"/>
                <w:sz w:val="24"/>
                <w:szCs w:val="24"/>
              </w:rPr>
            </w:pPr>
          </w:p>
        </w:tc>
      </w:tr>
    </w:tbl>
    <w:p w14:paraId="61363837" w14:textId="77777777" w:rsidR="00B60BE5" w:rsidRDefault="00B60BE5">
      <w:pPr>
        <w:rPr>
          <w:rFonts w:ascii="Times New Roman" w:hAnsi="Times New Roman" w:cs="Times New Roman"/>
          <w:b/>
          <w:bCs/>
          <w:sz w:val="24"/>
          <w:szCs w:val="24"/>
        </w:rPr>
      </w:pPr>
    </w:p>
    <w:p w14:paraId="78177ECD"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C.4 SUSTAINABILITY REPORTING QUALITY</w:t>
      </w:r>
      <w:r>
        <w:rPr>
          <w:rFonts w:ascii="Times New Roman" w:hAnsi="Times New Roman" w:cs="Times New Roman"/>
          <w:sz w:val="24"/>
          <w:szCs w:val="24"/>
        </w:rPr>
        <w:br/>
        <w:t>Score 1</w:t>
      </w:r>
      <w:r>
        <w:rPr>
          <w:rFonts w:ascii="Times New Roman" w:hAnsi="Times New Roman" w:cs="Times New Roman"/>
          <w:sz w:val="24"/>
          <w:szCs w:val="24"/>
          <w:lang w:val="en-US"/>
        </w:rPr>
        <w:t>,</w:t>
      </w:r>
      <w:r>
        <w:rPr>
          <w:rFonts w:ascii="Times New Roman" w:hAnsi="Times New Roman" w:cs="Times New Roman"/>
          <w:sz w:val="24"/>
          <w:szCs w:val="24"/>
        </w:rPr>
        <w:t xml:space="preserve">5 (1=No disclosure, 5=Comprehensive with verification) </w:t>
      </w:r>
    </w:p>
    <w:tbl>
      <w:tblPr>
        <w:tblStyle w:val="TableGrid"/>
        <w:tblW w:w="0" w:type="auto"/>
        <w:tblInd w:w="-147" w:type="dxa"/>
        <w:tblLook w:val="04A0" w:firstRow="1" w:lastRow="0" w:firstColumn="1" w:lastColumn="0" w:noHBand="0" w:noVBand="1"/>
      </w:tblPr>
      <w:tblGrid>
        <w:gridCol w:w="844"/>
        <w:gridCol w:w="1721"/>
        <w:gridCol w:w="1659"/>
        <w:gridCol w:w="1644"/>
        <w:gridCol w:w="1756"/>
        <w:gridCol w:w="1539"/>
      </w:tblGrid>
      <w:tr w:rsidR="00B60BE5" w14:paraId="2F69C611" w14:textId="77777777">
        <w:tc>
          <w:tcPr>
            <w:tcW w:w="844" w:type="dxa"/>
          </w:tcPr>
          <w:p w14:paraId="38688319"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Year</w:t>
            </w:r>
          </w:p>
        </w:tc>
        <w:tc>
          <w:tcPr>
            <w:tcW w:w="0" w:type="auto"/>
          </w:tcPr>
          <w:p w14:paraId="1C7A1D0B"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GRI Standards Used?</w:t>
            </w:r>
          </w:p>
        </w:tc>
        <w:tc>
          <w:tcPr>
            <w:tcW w:w="0" w:type="auto"/>
          </w:tcPr>
          <w:p w14:paraId="13B8E300"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SASB Alignment?</w:t>
            </w:r>
          </w:p>
        </w:tc>
        <w:tc>
          <w:tcPr>
            <w:tcW w:w="0" w:type="auto"/>
          </w:tcPr>
          <w:p w14:paraId="36E92CB9"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TCFD Reporting?</w:t>
            </w:r>
          </w:p>
        </w:tc>
        <w:tc>
          <w:tcPr>
            <w:tcW w:w="0" w:type="auto"/>
          </w:tcPr>
          <w:p w14:paraId="2A65981D"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External Assurance?</w:t>
            </w:r>
          </w:p>
        </w:tc>
        <w:tc>
          <w:tcPr>
            <w:tcW w:w="0" w:type="auto"/>
          </w:tcPr>
          <w:p w14:paraId="16896163"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Overall Quality Score</w:t>
            </w:r>
          </w:p>
        </w:tc>
      </w:tr>
      <w:tr w:rsidR="00B60BE5" w14:paraId="3C0BF30F" w14:textId="77777777">
        <w:tc>
          <w:tcPr>
            <w:tcW w:w="844" w:type="dxa"/>
          </w:tcPr>
          <w:p w14:paraId="07E04F5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2021</w:t>
            </w:r>
          </w:p>
        </w:tc>
        <w:tc>
          <w:tcPr>
            <w:tcW w:w="0" w:type="auto"/>
          </w:tcPr>
          <w:p w14:paraId="4351B725"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30EBD2CB"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6202931B"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17D2591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7BB07881" w14:textId="77777777" w:rsidR="00B60BE5" w:rsidRDefault="00B60BE5">
            <w:pPr>
              <w:rPr>
                <w:rFonts w:ascii="Times New Roman" w:hAnsi="Times New Roman" w:cs="Times New Roman"/>
                <w:sz w:val="24"/>
                <w:szCs w:val="24"/>
              </w:rPr>
            </w:pPr>
          </w:p>
        </w:tc>
      </w:tr>
      <w:tr w:rsidR="00B60BE5" w14:paraId="182062E6" w14:textId="77777777">
        <w:tc>
          <w:tcPr>
            <w:tcW w:w="844" w:type="dxa"/>
          </w:tcPr>
          <w:p w14:paraId="31786C9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2022</w:t>
            </w:r>
          </w:p>
        </w:tc>
        <w:tc>
          <w:tcPr>
            <w:tcW w:w="0" w:type="auto"/>
          </w:tcPr>
          <w:p w14:paraId="73EA3358"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7AC09F0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4AA24E60"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4FA58992"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1C9B97EF" w14:textId="77777777" w:rsidR="00B60BE5" w:rsidRDefault="00B60BE5">
            <w:pPr>
              <w:rPr>
                <w:rFonts w:ascii="Times New Roman" w:hAnsi="Times New Roman" w:cs="Times New Roman"/>
                <w:sz w:val="24"/>
                <w:szCs w:val="24"/>
              </w:rPr>
            </w:pPr>
          </w:p>
        </w:tc>
      </w:tr>
      <w:tr w:rsidR="00B60BE5" w14:paraId="60712E08" w14:textId="77777777">
        <w:tc>
          <w:tcPr>
            <w:tcW w:w="844" w:type="dxa"/>
          </w:tcPr>
          <w:p w14:paraId="2D7ED870"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2023</w:t>
            </w:r>
          </w:p>
        </w:tc>
        <w:tc>
          <w:tcPr>
            <w:tcW w:w="0" w:type="auto"/>
          </w:tcPr>
          <w:p w14:paraId="7642141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600949D6"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5F627945"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5FD346CC"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474FEE2E" w14:textId="77777777" w:rsidR="00B60BE5" w:rsidRDefault="00B60BE5">
            <w:pPr>
              <w:rPr>
                <w:rFonts w:ascii="Times New Roman" w:hAnsi="Times New Roman" w:cs="Times New Roman"/>
                <w:sz w:val="24"/>
                <w:szCs w:val="24"/>
              </w:rPr>
            </w:pPr>
          </w:p>
        </w:tc>
      </w:tr>
      <w:tr w:rsidR="00B60BE5" w14:paraId="756BBE2E" w14:textId="77777777">
        <w:tc>
          <w:tcPr>
            <w:tcW w:w="844" w:type="dxa"/>
          </w:tcPr>
          <w:p w14:paraId="70FFC225"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2024</w:t>
            </w:r>
          </w:p>
        </w:tc>
        <w:tc>
          <w:tcPr>
            <w:tcW w:w="0" w:type="auto"/>
          </w:tcPr>
          <w:p w14:paraId="1EC7EC18"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76B928DC"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38617F73"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0F633E9D"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6D65CCB9" w14:textId="77777777" w:rsidR="00B60BE5" w:rsidRDefault="00B60BE5">
            <w:pPr>
              <w:rPr>
                <w:rFonts w:ascii="Times New Roman" w:hAnsi="Times New Roman" w:cs="Times New Roman"/>
                <w:sz w:val="24"/>
                <w:szCs w:val="24"/>
              </w:rPr>
            </w:pPr>
          </w:p>
        </w:tc>
      </w:tr>
      <w:tr w:rsidR="00B60BE5" w14:paraId="26A3B2EB" w14:textId="77777777">
        <w:tc>
          <w:tcPr>
            <w:tcW w:w="844" w:type="dxa"/>
          </w:tcPr>
          <w:p w14:paraId="416BD6FC"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2025</w:t>
            </w:r>
          </w:p>
        </w:tc>
        <w:tc>
          <w:tcPr>
            <w:tcW w:w="0" w:type="auto"/>
          </w:tcPr>
          <w:p w14:paraId="6123472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216D998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04A8B621"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575FC5C9"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Yes/No</w:t>
            </w:r>
          </w:p>
        </w:tc>
        <w:tc>
          <w:tcPr>
            <w:tcW w:w="0" w:type="auto"/>
          </w:tcPr>
          <w:p w14:paraId="103399E5" w14:textId="77777777" w:rsidR="00B60BE5" w:rsidRDefault="00B60BE5">
            <w:pPr>
              <w:rPr>
                <w:rFonts w:ascii="Times New Roman" w:hAnsi="Times New Roman" w:cs="Times New Roman"/>
                <w:sz w:val="24"/>
                <w:szCs w:val="24"/>
              </w:rPr>
            </w:pPr>
          </w:p>
        </w:tc>
      </w:tr>
    </w:tbl>
    <w:p w14:paraId="7113BB35" w14:textId="77777777" w:rsidR="00B60BE5" w:rsidRDefault="00B60BE5">
      <w:pPr>
        <w:rPr>
          <w:rFonts w:ascii="Times New Roman" w:hAnsi="Times New Roman" w:cs="Times New Roman"/>
          <w:sz w:val="24"/>
          <w:szCs w:val="24"/>
        </w:rPr>
      </w:pPr>
    </w:p>
    <w:p w14:paraId="1D01D84B"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D.1 FIRM SIZE MEASURES</w:t>
      </w:r>
    </w:p>
    <w:tbl>
      <w:tblPr>
        <w:tblStyle w:val="TableGrid"/>
        <w:tblW w:w="0" w:type="auto"/>
        <w:tblLook w:val="04A0" w:firstRow="1" w:lastRow="0" w:firstColumn="1" w:lastColumn="0" w:noHBand="0" w:noVBand="1"/>
      </w:tblPr>
      <w:tblGrid>
        <w:gridCol w:w="696"/>
        <w:gridCol w:w="1764"/>
        <w:gridCol w:w="1216"/>
        <w:gridCol w:w="1998"/>
        <w:gridCol w:w="2004"/>
        <w:gridCol w:w="1338"/>
      </w:tblGrid>
      <w:tr w:rsidR="00B60BE5" w14:paraId="549A406E" w14:textId="77777777">
        <w:tc>
          <w:tcPr>
            <w:tcW w:w="0" w:type="auto"/>
          </w:tcPr>
          <w:p w14:paraId="6AD3686B"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Year</w:t>
            </w:r>
          </w:p>
        </w:tc>
        <w:tc>
          <w:tcPr>
            <w:tcW w:w="0" w:type="auto"/>
          </w:tcPr>
          <w:p w14:paraId="4B59D365"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Total Assets (KES M)</w:t>
            </w:r>
          </w:p>
        </w:tc>
        <w:tc>
          <w:tcPr>
            <w:tcW w:w="0" w:type="auto"/>
          </w:tcPr>
          <w:p w14:paraId="500FB3B7"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ln(Assets)</w:t>
            </w:r>
          </w:p>
        </w:tc>
        <w:tc>
          <w:tcPr>
            <w:tcW w:w="0" w:type="auto"/>
          </w:tcPr>
          <w:p w14:paraId="056E4E26"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Total Deposits (KES M)</w:t>
            </w:r>
          </w:p>
        </w:tc>
        <w:tc>
          <w:tcPr>
            <w:tcW w:w="0" w:type="auto"/>
          </w:tcPr>
          <w:p w14:paraId="73B8B309"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Number of Employees</w:t>
            </w:r>
          </w:p>
        </w:tc>
        <w:tc>
          <w:tcPr>
            <w:tcW w:w="0" w:type="auto"/>
          </w:tcPr>
          <w:p w14:paraId="0FB9590F"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Source</w:t>
            </w:r>
          </w:p>
        </w:tc>
      </w:tr>
      <w:tr w:rsidR="00B60BE5" w14:paraId="002AAA8B" w14:textId="77777777">
        <w:tc>
          <w:tcPr>
            <w:tcW w:w="0" w:type="auto"/>
          </w:tcPr>
          <w:p w14:paraId="3CA6ADB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2021</w:t>
            </w:r>
          </w:p>
        </w:tc>
        <w:tc>
          <w:tcPr>
            <w:tcW w:w="0" w:type="auto"/>
          </w:tcPr>
          <w:p w14:paraId="6162A1E3" w14:textId="77777777" w:rsidR="00B60BE5" w:rsidRDefault="00B60BE5">
            <w:pPr>
              <w:rPr>
                <w:rFonts w:ascii="Times New Roman" w:hAnsi="Times New Roman" w:cs="Times New Roman"/>
                <w:sz w:val="24"/>
                <w:szCs w:val="24"/>
              </w:rPr>
            </w:pPr>
          </w:p>
        </w:tc>
        <w:tc>
          <w:tcPr>
            <w:tcW w:w="0" w:type="auto"/>
          </w:tcPr>
          <w:p w14:paraId="1FE976F4" w14:textId="77777777" w:rsidR="00B60BE5" w:rsidRDefault="00B60BE5">
            <w:pPr>
              <w:rPr>
                <w:rFonts w:ascii="Times New Roman" w:hAnsi="Times New Roman" w:cs="Times New Roman"/>
                <w:sz w:val="24"/>
                <w:szCs w:val="24"/>
              </w:rPr>
            </w:pPr>
          </w:p>
        </w:tc>
        <w:tc>
          <w:tcPr>
            <w:tcW w:w="0" w:type="auto"/>
          </w:tcPr>
          <w:p w14:paraId="5A854149" w14:textId="77777777" w:rsidR="00B60BE5" w:rsidRDefault="00B60BE5">
            <w:pPr>
              <w:rPr>
                <w:rFonts w:ascii="Times New Roman" w:hAnsi="Times New Roman" w:cs="Times New Roman"/>
                <w:sz w:val="24"/>
                <w:szCs w:val="24"/>
              </w:rPr>
            </w:pPr>
          </w:p>
        </w:tc>
        <w:tc>
          <w:tcPr>
            <w:tcW w:w="0" w:type="auto"/>
          </w:tcPr>
          <w:p w14:paraId="452674C5" w14:textId="77777777" w:rsidR="00B60BE5" w:rsidRDefault="00B60BE5">
            <w:pPr>
              <w:rPr>
                <w:rFonts w:ascii="Times New Roman" w:hAnsi="Times New Roman" w:cs="Times New Roman"/>
                <w:sz w:val="24"/>
                <w:szCs w:val="24"/>
              </w:rPr>
            </w:pPr>
          </w:p>
        </w:tc>
        <w:tc>
          <w:tcPr>
            <w:tcW w:w="0" w:type="auto"/>
          </w:tcPr>
          <w:p w14:paraId="6F5A8EF1"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Annual Report</w:t>
            </w:r>
          </w:p>
        </w:tc>
      </w:tr>
      <w:tr w:rsidR="00B60BE5" w14:paraId="3C82ECB2" w14:textId="77777777">
        <w:tc>
          <w:tcPr>
            <w:tcW w:w="0" w:type="auto"/>
          </w:tcPr>
          <w:p w14:paraId="7FDD34B0"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2022</w:t>
            </w:r>
          </w:p>
        </w:tc>
        <w:tc>
          <w:tcPr>
            <w:tcW w:w="0" w:type="auto"/>
          </w:tcPr>
          <w:p w14:paraId="643B4BDB" w14:textId="77777777" w:rsidR="00B60BE5" w:rsidRDefault="00B60BE5">
            <w:pPr>
              <w:rPr>
                <w:rFonts w:ascii="Times New Roman" w:hAnsi="Times New Roman" w:cs="Times New Roman"/>
                <w:sz w:val="24"/>
                <w:szCs w:val="24"/>
              </w:rPr>
            </w:pPr>
          </w:p>
        </w:tc>
        <w:tc>
          <w:tcPr>
            <w:tcW w:w="0" w:type="auto"/>
          </w:tcPr>
          <w:p w14:paraId="51DA0BD1" w14:textId="77777777" w:rsidR="00B60BE5" w:rsidRDefault="00B60BE5">
            <w:pPr>
              <w:rPr>
                <w:rFonts w:ascii="Times New Roman" w:hAnsi="Times New Roman" w:cs="Times New Roman"/>
                <w:sz w:val="24"/>
                <w:szCs w:val="24"/>
              </w:rPr>
            </w:pPr>
          </w:p>
        </w:tc>
        <w:tc>
          <w:tcPr>
            <w:tcW w:w="0" w:type="auto"/>
          </w:tcPr>
          <w:p w14:paraId="3504230C" w14:textId="77777777" w:rsidR="00B60BE5" w:rsidRDefault="00B60BE5">
            <w:pPr>
              <w:rPr>
                <w:rFonts w:ascii="Times New Roman" w:hAnsi="Times New Roman" w:cs="Times New Roman"/>
                <w:sz w:val="24"/>
                <w:szCs w:val="24"/>
              </w:rPr>
            </w:pPr>
          </w:p>
        </w:tc>
        <w:tc>
          <w:tcPr>
            <w:tcW w:w="0" w:type="auto"/>
          </w:tcPr>
          <w:p w14:paraId="7AC16031" w14:textId="77777777" w:rsidR="00B60BE5" w:rsidRDefault="00B60BE5">
            <w:pPr>
              <w:rPr>
                <w:rFonts w:ascii="Times New Roman" w:hAnsi="Times New Roman" w:cs="Times New Roman"/>
                <w:sz w:val="24"/>
                <w:szCs w:val="24"/>
              </w:rPr>
            </w:pPr>
          </w:p>
        </w:tc>
        <w:tc>
          <w:tcPr>
            <w:tcW w:w="0" w:type="auto"/>
          </w:tcPr>
          <w:p w14:paraId="67943A06"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Annual Report</w:t>
            </w:r>
          </w:p>
        </w:tc>
      </w:tr>
      <w:tr w:rsidR="00B60BE5" w14:paraId="60C76B70" w14:textId="77777777">
        <w:tc>
          <w:tcPr>
            <w:tcW w:w="0" w:type="auto"/>
          </w:tcPr>
          <w:p w14:paraId="05BF2D7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2023</w:t>
            </w:r>
          </w:p>
        </w:tc>
        <w:tc>
          <w:tcPr>
            <w:tcW w:w="0" w:type="auto"/>
          </w:tcPr>
          <w:p w14:paraId="123F64E1" w14:textId="77777777" w:rsidR="00B60BE5" w:rsidRDefault="00B60BE5">
            <w:pPr>
              <w:rPr>
                <w:rFonts w:ascii="Times New Roman" w:hAnsi="Times New Roman" w:cs="Times New Roman"/>
                <w:sz w:val="24"/>
                <w:szCs w:val="24"/>
              </w:rPr>
            </w:pPr>
          </w:p>
        </w:tc>
        <w:tc>
          <w:tcPr>
            <w:tcW w:w="0" w:type="auto"/>
          </w:tcPr>
          <w:p w14:paraId="250DC5E2" w14:textId="77777777" w:rsidR="00B60BE5" w:rsidRDefault="00B60BE5">
            <w:pPr>
              <w:rPr>
                <w:rFonts w:ascii="Times New Roman" w:hAnsi="Times New Roman" w:cs="Times New Roman"/>
                <w:sz w:val="24"/>
                <w:szCs w:val="24"/>
              </w:rPr>
            </w:pPr>
          </w:p>
        </w:tc>
        <w:tc>
          <w:tcPr>
            <w:tcW w:w="0" w:type="auto"/>
          </w:tcPr>
          <w:p w14:paraId="1C6D4725" w14:textId="77777777" w:rsidR="00B60BE5" w:rsidRDefault="00B60BE5">
            <w:pPr>
              <w:rPr>
                <w:rFonts w:ascii="Times New Roman" w:hAnsi="Times New Roman" w:cs="Times New Roman"/>
                <w:sz w:val="24"/>
                <w:szCs w:val="24"/>
              </w:rPr>
            </w:pPr>
          </w:p>
        </w:tc>
        <w:tc>
          <w:tcPr>
            <w:tcW w:w="0" w:type="auto"/>
          </w:tcPr>
          <w:p w14:paraId="274F1A54" w14:textId="77777777" w:rsidR="00B60BE5" w:rsidRDefault="00B60BE5">
            <w:pPr>
              <w:rPr>
                <w:rFonts w:ascii="Times New Roman" w:hAnsi="Times New Roman" w:cs="Times New Roman"/>
                <w:sz w:val="24"/>
                <w:szCs w:val="24"/>
              </w:rPr>
            </w:pPr>
          </w:p>
        </w:tc>
        <w:tc>
          <w:tcPr>
            <w:tcW w:w="0" w:type="auto"/>
          </w:tcPr>
          <w:p w14:paraId="20B1D1B9"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Annual Report</w:t>
            </w:r>
          </w:p>
        </w:tc>
      </w:tr>
      <w:tr w:rsidR="00B60BE5" w14:paraId="2E46F0BE" w14:textId="77777777">
        <w:tc>
          <w:tcPr>
            <w:tcW w:w="0" w:type="auto"/>
          </w:tcPr>
          <w:p w14:paraId="5D71A198"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2024</w:t>
            </w:r>
          </w:p>
        </w:tc>
        <w:tc>
          <w:tcPr>
            <w:tcW w:w="0" w:type="auto"/>
          </w:tcPr>
          <w:p w14:paraId="6B51325C" w14:textId="77777777" w:rsidR="00B60BE5" w:rsidRDefault="00B60BE5">
            <w:pPr>
              <w:rPr>
                <w:rFonts w:ascii="Times New Roman" w:hAnsi="Times New Roman" w:cs="Times New Roman"/>
                <w:sz w:val="24"/>
                <w:szCs w:val="24"/>
              </w:rPr>
            </w:pPr>
          </w:p>
        </w:tc>
        <w:tc>
          <w:tcPr>
            <w:tcW w:w="0" w:type="auto"/>
          </w:tcPr>
          <w:p w14:paraId="2505F413" w14:textId="77777777" w:rsidR="00B60BE5" w:rsidRDefault="00B60BE5">
            <w:pPr>
              <w:rPr>
                <w:rFonts w:ascii="Times New Roman" w:hAnsi="Times New Roman" w:cs="Times New Roman"/>
                <w:sz w:val="24"/>
                <w:szCs w:val="24"/>
              </w:rPr>
            </w:pPr>
          </w:p>
        </w:tc>
        <w:tc>
          <w:tcPr>
            <w:tcW w:w="0" w:type="auto"/>
          </w:tcPr>
          <w:p w14:paraId="70715218" w14:textId="77777777" w:rsidR="00B60BE5" w:rsidRDefault="00B60BE5">
            <w:pPr>
              <w:rPr>
                <w:rFonts w:ascii="Times New Roman" w:hAnsi="Times New Roman" w:cs="Times New Roman"/>
                <w:sz w:val="24"/>
                <w:szCs w:val="24"/>
              </w:rPr>
            </w:pPr>
          </w:p>
        </w:tc>
        <w:tc>
          <w:tcPr>
            <w:tcW w:w="0" w:type="auto"/>
          </w:tcPr>
          <w:p w14:paraId="466750B7" w14:textId="77777777" w:rsidR="00B60BE5" w:rsidRDefault="00B60BE5">
            <w:pPr>
              <w:rPr>
                <w:rFonts w:ascii="Times New Roman" w:hAnsi="Times New Roman" w:cs="Times New Roman"/>
                <w:sz w:val="24"/>
                <w:szCs w:val="24"/>
              </w:rPr>
            </w:pPr>
          </w:p>
        </w:tc>
        <w:tc>
          <w:tcPr>
            <w:tcW w:w="0" w:type="auto"/>
          </w:tcPr>
          <w:p w14:paraId="049048D6"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Annual Report</w:t>
            </w:r>
          </w:p>
        </w:tc>
      </w:tr>
      <w:tr w:rsidR="00B60BE5" w14:paraId="64D6AA62" w14:textId="77777777">
        <w:tc>
          <w:tcPr>
            <w:tcW w:w="0" w:type="auto"/>
          </w:tcPr>
          <w:p w14:paraId="728E68E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2025</w:t>
            </w:r>
          </w:p>
        </w:tc>
        <w:tc>
          <w:tcPr>
            <w:tcW w:w="0" w:type="auto"/>
          </w:tcPr>
          <w:p w14:paraId="5C5C96B4" w14:textId="77777777" w:rsidR="00B60BE5" w:rsidRDefault="00B60BE5">
            <w:pPr>
              <w:rPr>
                <w:rFonts w:ascii="Times New Roman" w:hAnsi="Times New Roman" w:cs="Times New Roman"/>
                <w:sz w:val="24"/>
                <w:szCs w:val="24"/>
              </w:rPr>
            </w:pPr>
          </w:p>
        </w:tc>
        <w:tc>
          <w:tcPr>
            <w:tcW w:w="0" w:type="auto"/>
          </w:tcPr>
          <w:p w14:paraId="670E5739" w14:textId="77777777" w:rsidR="00B60BE5" w:rsidRDefault="00B60BE5">
            <w:pPr>
              <w:rPr>
                <w:rFonts w:ascii="Times New Roman" w:hAnsi="Times New Roman" w:cs="Times New Roman"/>
                <w:sz w:val="24"/>
                <w:szCs w:val="24"/>
              </w:rPr>
            </w:pPr>
          </w:p>
        </w:tc>
        <w:tc>
          <w:tcPr>
            <w:tcW w:w="0" w:type="auto"/>
          </w:tcPr>
          <w:p w14:paraId="2C350BC3" w14:textId="77777777" w:rsidR="00B60BE5" w:rsidRDefault="00B60BE5">
            <w:pPr>
              <w:rPr>
                <w:rFonts w:ascii="Times New Roman" w:hAnsi="Times New Roman" w:cs="Times New Roman"/>
                <w:sz w:val="24"/>
                <w:szCs w:val="24"/>
              </w:rPr>
            </w:pPr>
          </w:p>
        </w:tc>
        <w:tc>
          <w:tcPr>
            <w:tcW w:w="0" w:type="auto"/>
          </w:tcPr>
          <w:p w14:paraId="0A10FA74" w14:textId="77777777" w:rsidR="00B60BE5" w:rsidRDefault="00B60BE5">
            <w:pPr>
              <w:rPr>
                <w:rFonts w:ascii="Times New Roman" w:hAnsi="Times New Roman" w:cs="Times New Roman"/>
                <w:sz w:val="24"/>
                <w:szCs w:val="24"/>
              </w:rPr>
            </w:pPr>
          </w:p>
        </w:tc>
        <w:tc>
          <w:tcPr>
            <w:tcW w:w="0" w:type="auto"/>
          </w:tcPr>
          <w:p w14:paraId="4864F9F9"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Annual Report</w:t>
            </w:r>
          </w:p>
        </w:tc>
      </w:tr>
    </w:tbl>
    <w:p w14:paraId="1A536525" w14:textId="77777777" w:rsidR="00B60BE5" w:rsidRDefault="00B60BE5">
      <w:pPr>
        <w:rPr>
          <w:rFonts w:ascii="Times New Roman" w:hAnsi="Times New Roman" w:cs="Times New Roman"/>
          <w:sz w:val="24"/>
          <w:szCs w:val="24"/>
        </w:rPr>
      </w:pPr>
    </w:p>
    <w:p w14:paraId="0C5BF35E"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SECTION E: DATA QUALITY CONTROL</w:t>
      </w:r>
    </w:p>
    <w:tbl>
      <w:tblPr>
        <w:tblStyle w:val="TableGrid"/>
        <w:tblW w:w="0" w:type="auto"/>
        <w:tblLook w:val="04A0" w:firstRow="1" w:lastRow="0" w:firstColumn="1" w:lastColumn="0" w:noHBand="0" w:noVBand="1"/>
      </w:tblPr>
      <w:tblGrid>
        <w:gridCol w:w="3162"/>
        <w:gridCol w:w="696"/>
        <w:gridCol w:w="857"/>
        <w:gridCol w:w="1912"/>
        <w:gridCol w:w="1770"/>
      </w:tblGrid>
      <w:tr w:rsidR="00B60BE5" w14:paraId="1A8DED4D" w14:textId="77777777">
        <w:tc>
          <w:tcPr>
            <w:tcW w:w="0" w:type="auto"/>
          </w:tcPr>
          <w:p w14:paraId="3E941618"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Check Item</w:t>
            </w:r>
          </w:p>
        </w:tc>
        <w:tc>
          <w:tcPr>
            <w:tcW w:w="0" w:type="auto"/>
          </w:tcPr>
          <w:p w14:paraId="5220725B"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Year</w:t>
            </w:r>
          </w:p>
        </w:tc>
        <w:tc>
          <w:tcPr>
            <w:tcW w:w="0" w:type="auto"/>
          </w:tcPr>
          <w:p w14:paraId="41CFEC84"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Status</w:t>
            </w:r>
          </w:p>
        </w:tc>
        <w:tc>
          <w:tcPr>
            <w:tcW w:w="0" w:type="auto"/>
          </w:tcPr>
          <w:p w14:paraId="60B16D87"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Action Required</w:t>
            </w:r>
          </w:p>
        </w:tc>
        <w:tc>
          <w:tcPr>
            <w:tcW w:w="0" w:type="auto"/>
          </w:tcPr>
          <w:p w14:paraId="11C3AB43"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Resolved (Y/N)</w:t>
            </w:r>
          </w:p>
        </w:tc>
      </w:tr>
      <w:tr w:rsidR="00B60BE5" w14:paraId="11818AA4" w14:textId="77777777">
        <w:tc>
          <w:tcPr>
            <w:tcW w:w="0" w:type="auto"/>
          </w:tcPr>
          <w:p w14:paraId="51D57325"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Data available for all variables</w:t>
            </w:r>
          </w:p>
        </w:tc>
        <w:tc>
          <w:tcPr>
            <w:tcW w:w="0" w:type="auto"/>
          </w:tcPr>
          <w:p w14:paraId="04AF39EC"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2021</w:t>
            </w:r>
          </w:p>
        </w:tc>
        <w:tc>
          <w:tcPr>
            <w:tcW w:w="0" w:type="auto"/>
          </w:tcPr>
          <w:p w14:paraId="514DC04A" w14:textId="77777777" w:rsidR="00B60BE5" w:rsidRDefault="00B60BE5">
            <w:pPr>
              <w:rPr>
                <w:rFonts w:ascii="Times New Roman" w:hAnsi="Times New Roman" w:cs="Times New Roman"/>
                <w:sz w:val="24"/>
                <w:szCs w:val="24"/>
              </w:rPr>
            </w:pPr>
          </w:p>
        </w:tc>
        <w:tc>
          <w:tcPr>
            <w:tcW w:w="0" w:type="auto"/>
          </w:tcPr>
          <w:p w14:paraId="2ED6C182" w14:textId="77777777" w:rsidR="00B60BE5" w:rsidRDefault="00B60BE5">
            <w:pPr>
              <w:rPr>
                <w:rFonts w:ascii="Times New Roman" w:hAnsi="Times New Roman" w:cs="Times New Roman"/>
                <w:sz w:val="24"/>
                <w:szCs w:val="24"/>
              </w:rPr>
            </w:pPr>
          </w:p>
        </w:tc>
        <w:tc>
          <w:tcPr>
            <w:tcW w:w="0" w:type="auto"/>
          </w:tcPr>
          <w:p w14:paraId="7FCA5DE8" w14:textId="77777777" w:rsidR="00B60BE5" w:rsidRDefault="00B60BE5">
            <w:pPr>
              <w:rPr>
                <w:rFonts w:ascii="Times New Roman" w:hAnsi="Times New Roman" w:cs="Times New Roman"/>
                <w:sz w:val="24"/>
                <w:szCs w:val="24"/>
              </w:rPr>
            </w:pPr>
          </w:p>
        </w:tc>
      </w:tr>
      <w:tr w:rsidR="00B60BE5" w14:paraId="792C5664" w14:textId="77777777">
        <w:tc>
          <w:tcPr>
            <w:tcW w:w="0" w:type="auto"/>
          </w:tcPr>
          <w:p w14:paraId="31B064B6"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Cross</w:t>
            </w:r>
            <w:r>
              <w:rPr>
                <w:rFonts w:ascii="Times New Roman" w:hAnsi="Times New Roman" w:cs="Times New Roman"/>
                <w:sz w:val="24"/>
                <w:szCs w:val="24"/>
                <w:lang w:val="en-US"/>
              </w:rPr>
              <w:t>,</w:t>
            </w:r>
            <w:r>
              <w:rPr>
                <w:rFonts w:ascii="Times New Roman" w:hAnsi="Times New Roman" w:cs="Times New Roman"/>
                <w:sz w:val="24"/>
                <w:szCs w:val="24"/>
              </w:rPr>
              <w:t>source consistency</w:t>
            </w:r>
          </w:p>
        </w:tc>
        <w:tc>
          <w:tcPr>
            <w:tcW w:w="0" w:type="auto"/>
          </w:tcPr>
          <w:p w14:paraId="57145742"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2021</w:t>
            </w:r>
          </w:p>
        </w:tc>
        <w:tc>
          <w:tcPr>
            <w:tcW w:w="0" w:type="auto"/>
          </w:tcPr>
          <w:p w14:paraId="42646135" w14:textId="77777777" w:rsidR="00B60BE5" w:rsidRDefault="00B60BE5">
            <w:pPr>
              <w:rPr>
                <w:rFonts w:ascii="Times New Roman" w:hAnsi="Times New Roman" w:cs="Times New Roman"/>
                <w:sz w:val="24"/>
                <w:szCs w:val="24"/>
              </w:rPr>
            </w:pPr>
          </w:p>
        </w:tc>
        <w:tc>
          <w:tcPr>
            <w:tcW w:w="0" w:type="auto"/>
          </w:tcPr>
          <w:p w14:paraId="1FF20D1E" w14:textId="77777777" w:rsidR="00B60BE5" w:rsidRDefault="00B60BE5">
            <w:pPr>
              <w:rPr>
                <w:rFonts w:ascii="Times New Roman" w:hAnsi="Times New Roman" w:cs="Times New Roman"/>
                <w:sz w:val="24"/>
                <w:szCs w:val="24"/>
              </w:rPr>
            </w:pPr>
          </w:p>
        </w:tc>
        <w:tc>
          <w:tcPr>
            <w:tcW w:w="0" w:type="auto"/>
          </w:tcPr>
          <w:p w14:paraId="23EDE9BA" w14:textId="77777777" w:rsidR="00B60BE5" w:rsidRDefault="00B60BE5">
            <w:pPr>
              <w:rPr>
                <w:rFonts w:ascii="Times New Roman" w:hAnsi="Times New Roman" w:cs="Times New Roman"/>
                <w:sz w:val="24"/>
                <w:szCs w:val="24"/>
              </w:rPr>
            </w:pPr>
          </w:p>
        </w:tc>
      </w:tr>
      <w:tr w:rsidR="00B60BE5" w14:paraId="5B5F1757" w14:textId="77777777">
        <w:tc>
          <w:tcPr>
            <w:tcW w:w="0" w:type="auto"/>
          </w:tcPr>
          <w:p w14:paraId="34FB21A8"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Missing values identified</w:t>
            </w:r>
          </w:p>
        </w:tc>
        <w:tc>
          <w:tcPr>
            <w:tcW w:w="0" w:type="auto"/>
          </w:tcPr>
          <w:p w14:paraId="2146F01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2021</w:t>
            </w:r>
          </w:p>
        </w:tc>
        <w:tc>
          <w:tcPr>
            <w:tcW w:w="0" w:type="auto"/>
          </w:tcPr>
          <w:p w14:paraId="397575D4" w14:textId="77777777" w:rsidR="00B60BE5" w:rsidRDefault="00B60BE5">
            <w:pPr>
              <w:rPr>
                <w:rFonts w:ascii="Times New Roman" w:hAnsi="Times New Roman" w:cs="Times New Roman"/>
                <w:sz w:val="24"/>
                <w:szCs w:val="24"/>
              </w:rPr>
            </w:pPr>
          </w:p>
        </w:tc>
        <w:tc>
          <w:tcPr>
            <w:tcW w:w="0" w:type="auto"/>
          </w:tcPr>
          <w:p w14:paraId="6A3606D4" w14:textId="77777777" w:rsidR="00B60BE5" w:rsidRDefault="00B60BE5">
            <w:pPr>
              <w:rPr>
                <w:rFonts w:ascii="Times New Roman" w:hAnsi="Times New Roman" w:cs="Times New Roman"/>
                <w:sz w:val="24"/>
                <w:szCs w:val="24"/>
              </w:rPr>
            </w:pPr>
          </w:p>
        </w:tc>
        <w:tc>
          <w:tcPr>
            <w:tcW w:w="0" w:type="auto"/>
          </w:tcPr>
          <w:p w14:paraId="35B0D16D" w14:textId="77777777" w:rsidR="00B60BE5" w:rsidRDefault="00B60BE5">
            <w:pPr>
              <w:rPr>
                <w:rFonts w:ascii="Times New Roman" w:hAnsi="Times New Roman" w:cs="Times New Roman"/>
                <w:sz w:val="24"/>
                <w:szCs w:val="24"/>
              </w:rPr>
            </w:pPr>
          </w:p>
        </w:tc>
      </w:tr>
      <w:tr w:rsidR="00B60BE5" w14:paraId="33E4C4AF" w14:textId="77777777">
        <w:tc>
          <w:tcPr>
            <w:tcW w:w="0" w:type="auto"/>
          </w:tcPr>
          <w:p w14:paraId="6A0F4F2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Unusual values flagged</w:t>
            </w:r>
          </w:p>
        </w:tc>
        <w:tc>
          <w:tcPr>
            <w:tcW w:w="0" w:type="auto"/>
          </w:tcPr>
          <w:p w14:paraId="685C703E"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2021</w:t>
            </w:r>
          </w:p>
        </w:tc>
        <w:tc>
          <w:tcPr>
            <w:tcW w:w="0" w:type="auto"/>
          </w:tcPr>
          <w:p w14:paraId="3D4AFC00" w14:textId="77777777" w:rsidR="00B60BE5" w:rsidRDefault="00B60BE5">
            <w:pPr>
              <w:rPr>
                <w:rFonts w:ascii="Times New Roman" w:hAnsi="Times New Roman" w:cs="Times New Roman"/>
                <w:sz w:val="24"/>
                <w:szCs w:val="24"/>
              </w:rPr>
            </w:pPr>
          </w:p>
        </w:tc>
        <w:tc>
          <w:tcPr>
            <w:tcW w:w="0" w:type="auto"/>
          </w:tcPr>
          <w:p w14:paraId="00B2610C" w14:textId="77777777" w:rsidR="00B60BE5" w:rsidRDefault="00B60BE5">
            <w:pPr>
              <w:rPr>
                <w:rFonts w:ascii="Times New Roman" w:hAnsi="Times New Roman" w:cs="Times New Roman"/>
                <w:sz w:val="24"/>
                <w:szCs w:val="24"/>
              </w:rPr>
            </w:pPr>
          </w:p>
        </w:tc>
        <w:tc>
          <w:tcPr>
            <w:tcW w:w="0" w:type="auto"/>
          </w:tcPr>
          <w:p w14:paraId="5641C30E" w14:textId="77777777" w:rsidR="00B60BE5" w:rsidRDefault="00B60BE5">
            <w:pPr>
              <w:rPr>
                <w:rFonts w:ascii="Times New Roman" w:hAnsi="Times New Roman" w:cs="Times New Roman"/>
                <w:sz w:val="24"/>
                <w:szCs w:val="24"/>
              </w:rPr>
            </w:pPr>
          </w:p>
        </w:tc>
      </w:tr>
      <w:tr w:rsidR="00B60BE5" w14:paraId="02CDC245" w14:textId="77777777">
        <w:tc>
          <w:tcPr>
            <w:tcW w:w="0" w:type="auto"/>
          </w:tcPr>
          <w:p w14:paraId="6A5A2F49"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Calculation verification</w:t>
            </w:r>
          </w:p>
        </w:tc>
        <w:tc>
          <w:tcPr>
            <w:tcW w:w="0" w:type="auto"/>
          </w:tcPr>
          <w:p w14:paraId="20D4E8D3"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2021</w:t>
            </w:r>
          </w:p>
        </w:tc>
        <w:tc>
          <w:tcPr>
            <w:tcW w:w="0" w:type="auto"/>
          </w:tcPr>
          <w:p w14:paraId="22F4B04F" w14:textId="77777777" w:rsidR="00B60BE5" w:rsidRDefault="00B60BE5">
            <w:pPr>
              <w:rPr>
                <w:rFonts w:ascii="Times New Roman" w:hAnsi="Times New Roman" w:cs="Times New Roman"/>
                <w:sz w:val="24"/>
                <w:szCs w:val="24"/>
              </w:rPr>
            </w:pPr>
          </w:p>
        </w:tc>
        <w:tc>
          <w:tcPr>
            <w:tcW w:w="0" w:type="auto"/>
          </w:tcPr>
          <w:p w14:paraId="201C8F62" w14:textId="77777777" w:rsidR="00B60BE5" w:rsidRDefault="00B60BE5">
            <w:pPr>
              <w:rPr>
                <w:rFonts w:ascii="Times New Roman" w:hAnsi="Times New Roman" w:cs="Times New Roman"/>
                <w:sz w:val="24"/>
                <w:szCs w:val="24"/>
              </w:rPr>
            </w:pPr>
          </w:p>
        </w:tc>
        <w:tc>
          <w:tcPr>
            <w:tcW w:w="0" w:type="auto"/>
          </w:tcPr>
          <w:p w14:paraId="02B55D6D" w14:textId="77777777" w:rsidR="00B60BE5" w:rsidRDefault="00B60BE5">
            <w:pPr>
              <w:rPr>
                <w:rFonts w:ascii="Times New Roman" w:hAnsi="Times New Roman" w:cs="Times New Roman"/>
                <w:sz w:val="24"/>
                <w:szCs w:val="24"/>
              </w:rPr>
            </w:pPr>
          </w:p>
        </w:tc>
      </w:tr>
      <w:tr w:rsidR="00B60BE5" w14:paraId="0C3A854C" w14:textId="77777777">
        <w:tc>
          <w:tcPr>
            <w:tcW w:w="0" w:type="auto"/>
          </w:tcPr>
          <w:p w14:paraId="2AA26FDE" w14:textId="77777777" w:rsidR="00B60BE5" w:rsidRDefault="00000000">
            <w:pPr>
              <w:rPr>
                <w:rFonts w:ascii="Times New Roman" w:hAnsi="Times New Roman" w:cs="Times New Roman"/>
                <w:sz w:val="24"/>
                <w:szCs w:val="24"/>
              </w:rPr>
            </w:pPr>
            <w:r>
              <w:rPr>
                <w:rFonts w:ascii="Times New Roman" w:hAnsi="Times New Roman" w:cs="Times New Roman"/>
                <w:i/>
                <w:iCs/>
                <w:sz w:val="24"/>
                <w:szCs w:val="24"/>
              </w:rPr>
              <w:t>Repeat for each year</w:t>
            </w:r>
          </w:p>
        </w:tc>
        <w:tc>
          <w:tcPr>
            <w:tcW w:w="0" w:type="auto"/>
          </w:tcPr>
          <w:p w14:paraId="34AA54DC" w14:textId="77777777" w:rsidR="00B60BE5" w:rsidRDefault="00B60BE5">
            <w:pPr>
              <w:rPr>
                <w:rFonts w:ascii="Times New Roman" w:hAnsi="Times New Roman" w:cs="Times New Roman"/>
                <w:sz w:val="24"/>
                <w:szCs w:val="24"/>
              </w:rPr>
            </w:pPr>
          </w:p>
        </w:tc>
        <w:tc>
          <w:tcPr>
            <w:tcW w:w="0" w:type="auto"/>
          </w:tcPr>
          <w:p w14:paraId="05865D7B" w14:textId="77777777" w:rsidR="00B60BE5" w:rsidRDefault="00B60BE5">
            <w:pPr>
              <w:rPr>
                <w:rFonts w:ascii="Times New Roman" w:hAnsi="Times New Roman" w:cs="Times New Roman"/>
                <w:sz w:val="24"/>
                <w:szCs w:val="24"/>
              </w:rPr>
            </w:pPr>
          </w:p>
        </w:tc>
        <w:tc>
          <w:tcPr>
            <w:tcW w:w="0" w:type="auto"/>
          </w:tcPr>
          <w:p w14:paraId="0EBCFE32" w14:textId="77777777" w:rsidR="00B60BE5" w:rsidRDefault="00B60BE5">
            <w:pPr>
              <w:rPr>
                <w:rFonts w:ascii="Times New Roman" w:hAnsi="Times New Roman" w:cs="Times New Roman"/>
                <w:sz w:val="24"/>
                <w:szCs w:val="24"/>
              </w:rPr>
            </w:pPr>
          </w:p>
        </w:tc>
        <w:tc>
          <w:tcPr>
            <w:tcW w:w="0" w:type="auto"/>
          </w:tcPr>
          <w:p w14:paraId="037074B9" w14:textId="77777777" w:rsidR="00B60BE5" w:rsidRDefault="00B60BE5">
            <w:pPr>
              <w:rPr>
                <w:rFonts w:ascii="Times New Roman" w:hAnsi="Times New Roman" w:cs="Times New Roman"/>
                <w:sz w:val="24"/>
                <w:szCs w:val="24"/>
              </w:rPr>
            </w:pPr>
          </w:p>
        </w:tc>
      </w:tr>
    </w:tbl>
    <w:p w14:paraId="3C186EE7" w14:textId="77777777" w:rsidR="00B60BE5" w:rsidRDefault="00B60BE5">
      <w:pPr>
        <w:rPr>
          <w:rFonts w:ascii="Times New Roman" w:hAnsi="Times New Roman" w:cs="Times New Roman"/>
          <w:b/>
          <w:bCs/>
          <w:sz w:val="24"/>
          <w:szCs w:val="24"/>
        </w:rPr>
      </w:pPr>
    </w:p>
    <w:p w14:paraId="106379E6"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EXTRACTOR SIGNATURE:</w:t>
      </w:r>
      <w:r>
        <w:rPr>
          <w:rFonts w:ascii="Times New Roman" w:hAnsi="Times New Roman" w:cs="Times New Roman"/>
          <w:sz w:val="24"/>
          <w:szCs w:val="24"/>
        </w:rPr>
        <w:t> ____________________</w:t>
      </w:r>
      <w:r>
        <w:rPr>
          <w:rFonts w:ascii="Times New Roman" w:hAnsi="Times New Roman" w:cs="Times New Roman"/>
          <w:sz w:val="24"/>
          <w:szCs w:val="24"/>
        </w:rPr>
        <w:br/>
      </w:r>
      <w:r>
        <w:rPr>
          <w:rFonts w:ascii="Times New Roman" w:hAnsi="Times New Roman" w:cs="Times New Roman"/>
          <w:b/>
          <w:bCs/>
          <w:sz w:val="24"/>
          <w:szCs w:val="24"/>
        </w:rPr>
        <w:t>DATE OF EXTRACTION:</w:t>
      </w:r>
      <w:r>
        <w:rPr>
          <w:rFonts w:ascii="Times New Roman" w:hAnsi="Times New Roman" w:cs="Times New Roman"/>
          <w:sz w:val="24"/>
          <w:szCs w:val="24"/>
        </w:rPr>
        <w:t> ____________________</w:t>
      </w:r>
      <w:r>
        <w:rPr>
          <w:rFonts w:ascii="Times New Roman" w:hAnsi="Times New Roman" w:cs="Times New Roman"/>
          <w:sz w:val="24"/>
          <w:szCs w:val="24"/>
        </w:rPr>
        <w:br/>
      </w:r>
      <w:r>
        <w:rPr>
          <w:rFonts w:ascii="Times New Roman" w:hAnsi="Times New Roman" w:cs="Times New Roman"/>
          <w:b/>
          <w:bCs/>
          <w:sz w:val="24"/>
          <w:szCs w:val="24"/>
        </w:rPr>
        <w:t>SUPERVISOR VERIFICATION:</w:t>
      </w:r>
      <w:r>
        <w:rPr>
          <w:rFonts w:ascii="Times New Roman" w:hAnsi="Times New Roman" w:cs="Times New Roman"/>
          <w:sz w:val="24"/>
          <w:szCs w:val="24"/>
        </w:rPr>
        <w:t> ____________________</w:t>
      </w:r>
      <w:r>
        <w:rPr>
          <w:rFonts w:ascii="Times New Roman" w:hAnsi="Times New Roman" w:cs="Times New Roman"/>
          <w:sz w:val="24"/>
          <w:szCs w:val="24"/>
        </w:rPr>
        <w:br/>
      </w:r>
      <w:r>
        <w:rPr>
          <w:rFonts w:ascii="Times New Roman" w:hAnsi="Times New Roman" w:cs="Times New Roman"/>
          <w:b/>
          <w:bCs/>
          <w:sz w:val="24"/>
          <w:szCs w:val="24"/>
        </w:rPr>
        <w:t>DATE OF VERIFICATION:</w:t>
      </w:r>
      <w:r>
        <w:rPr>
          <w:rFonts w:ascii="Times New Roman" w:hAnsi="Times New Roman" w:cs="Times New Roman"/>
          <w:sz w:val="24"/>
          <w:szCs w:val="24"/>
        </w:rPr>
        <w:t> ____________________</w:t>
      </w:r>
    </w:p>
    <w:p w14:paraId="53482832"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br w:type="page"/>
      </w:r>
    </w:p>
    <w:p w14:paraId="123AF67C" w14:textId="77777777" w:rsidR="00B60BE5" w:rsidRDefault="00000000">
      <w:pPr>
        <w:pStyle w:val="Heading3"/>
        <w:rPr>
          <w:rFonts w:ascii="Times New Roman" w:hAnsi="Times New Roman" w:cs="Times New Roman"/>
          <w:b/>
          <w:bCs/>
          <w:color w:val="auto"/>
          <w:sz w:val="24"/>
          <w:szCs w:val="24"/>
        </w:rPr>
      </w:pPr>
      <w:bookmarkStart w:id="54" w:name="_Toc222210230"/>
      <w:r>
        <w:rPr>
          <w:rFonts w:ascii="Times New Roman" w:hAnsi="Times New Roman" w:cs="Times New Roman"/>
          <w:b/>
          <w:bCs/>
          <w:color w:val="auto"/>
          <w:sz w:val="24"/>
          <w:szCs w:val="24"/>
        </w:rPr>
        <w:lastRenderedPageBreak/>
        <w:t>Variable Measurement Codebook</w:t>
      </w:r>
      <w:bookmarkEnd w:id="54"/>
    </w:p>
    <w:p w14:paraId="7B0EB13C"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VARIABLE CODEBOOK: DEFINITIONS AND MEASUREMENT RULES</w:t>
      </w:r>
    </w:p>
    <w:tbl>
      <w:tblPr>
        <w:tblStyle w:val="TableGrid"/>
        <w:tblW w:w="9923" w:type="dxa"/>
        <w:tblInd w:w="-289" w:type="dxa"/>
        <w:tblLayout w:type="fixed"/>
        <w:tblLook w:val="04A0" w:firstRow="1" w:lastRow="0" w:firstColumn="1" w:lastColumn="0" w:noHBand="0" w:noVBand="1"/>
      </w:tblPr>
      <w:tblGrid>
        <w:gridCol w:w="1844"/>
        <w:gridCol w:w="2551"/>
        <w:gridCol w:w="2552"/>
        <w:gridCol w:w="2976"/>
      </w:tblGrid>
      <w:tr w:rsidR="00B60BE5" w14:paraId="23FCA0C7" w14:textId="77777777">
        <w:tc>
          <w:tcPr>
            <w:tcW w:w="1844" w:type="dxa"/>
          </w:tcPr>
          <w:p w14:paraId="7DB241DB"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Variable Name</w:t>
            </w:r>
          </w:p>
        </w:tc>
        <w:tc>
          <w:tcPr>
            <w:tcW w:w="2551" w:type="dxa"/>
          </w:tcPr>
          <w:p w14:paraId="3A956086"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Measurement Formula</w:t>
            </w:r>
          </w:p>
        </w:tc>
        <w:tc>
          <w:tcPr>
            <w:tcW w:w="2552" w:type="dxa"/>
          </w:tcPr>
          <w:p w14:paraId="0FA4D929"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Data Source Priority</w:t>
            </w:r>
          </w:p>
        </w:tc>
        <w:tc>
          <w:tcPr>
            <w:tcW w:w="2976" w:type="dxa"/>
          </w:tcPr>
          <w:p w14:paraId="422BC3A0" w14:textId="77777777" w:rsidR="00B60BE5" w:rsidRDefault="00000000">
            <w:pPr>
              <w:rPr>
                <w:rFonts w:ascii="Times New Roman" w:hAnsi="Times New Roman" w:cs="Times New Roman"/>
                <w:b/>
                <w:bCs/>
                <w:sz w:val="24"/>
                <w:szCs w:val="24"/>
              </w:rPr>
            </w:pPr>
            <w:r>
              <w:rPr>
                <w:rFonts w:ascii="Times New Roman" w:hAnsi="Times New Roman" w:cs="Times New Roman"/>
                <w:b/>
                <w:bCs/>
                <w:sz w:val="24"/>
                <w:szCs w:val="24"/>
              </w:rPr>
              <w:t>Special Instructions</w:t>
            </w:r>
          </w:p>
        </w:tc>
      </w:tr>
      <w:tr w:rsidR="00B60BE5" w14:paraId="30621466" w14:textId="77777777">
        <w:tc>
          <w:tcPr>
            <w:tcW w:w="1844" w:type="dxa"/>
          </w:tcPr>
          <w:p w14:paraId="2DB0A8FE"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Dependent Variable</w:t>
            </w:r>
          </w:p>
        </w:tc>
        <w:tc>
          <w:tcPr>
            <w:tcW w:w="2551" w:type="dxa"/>
          </w:tcPr>
          <w:p w14:paraId="6D4FE2AD" w14:textId="77777777" w:rsidR="00B60BE5" w:rsidRDefault="00B60BE5">
            <w:pPr>
              <w:rPr>
                <w:rFonts w:ascii="Times New Roman" w:hAnsi="Times New Roman" w:cs="Times New Roman"/>
                <w:sz w:val="24"/>
                <w:szCs w:val="24"/>
              </w:rPr>
            </w:pPr>
          </w:p>
        </w:tc>
        <w:tc>
          <w:tcPr>
            <w:tcW w:w="2552" w:type="dxa"/>
          </w:tcPr>
          <w:p w14:paraId="2CB7EEDA" w14:textId="77777777" w:rsidR="00B60BE5" w:rsidRDefault="00B60BE5">
            <w:pPr>
              <w:rPr>
                <w:rFonts w:ascii="Times New Roman" w:hAnsi="Times New Roman" w:cs="Times New Roman"/>
                <w:sz w:val="24"/>
                <w:szCs w:val="24"/>
              </w:rPr>
            </w:pPr>
          </w:p>
        </w:tc>
        <w:tc>
          <w:tcPr>
            <w:tcW w:w="2976" w:type="dxa"/>
          </w:tcPr>
          <w:p w14:paraId="2752D92B" w14:textId="77777777" w:rsidR="00B60BE5" w:rsidRDefault="00B60BE5">
            <w:pPr>
              <w:rPr>
                <w:rFonts w:ascii="Times New Roman" w:hAnsi="Times New Roman" w:cs="Times New Roman"/>
                <w:sz w:val="24"/>
                <w:szCs w:val="24"/>
              </w:rPr>
            </w:pPr>
          </w:p>
        </w:tc>
      </w:tr>
      <w:tr w:rsidR="00B60BE5" w14:paraId="35F1762E" w14:textId="77777777">
        <w:tc>
          <w:tcPr>
            <w:tcW w:w="1844" w:type="dxa"/>
          </w:tcPr>
          <w:p w14:paraId="3DB5555C"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Return on Assets</w:t>
            </w:r>
          </w:p>
        </w:tc>
        <w:tc>
          <w:tcPr>
            <w:tcW w:w="2551" w:type="dxa"/>
          </w:tcPr>
          <w:p w14:paraId="70988F1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(Net Income / Total Assets) × 100</w:t>
            </w:r>
          </w:p>
        </w:tc>
        <w:tc>
          <w:tcPr>
            <w:tcW w:w="2552" w:type="dxa"/>
          </w:tcPr>
          <w:p w14:paraId="27B79D43"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1. Annual Report</w:t>
            </w:r>
            <w:r>
              <w:rPr>
                <w:rFonts w:ascii="Times New Roman" w:hAnsi="Times New Roman" w:cs="Times New Roman"/>
                <w:sz w:val="24"/>
                <w:szCs w:val="24"/>
              </w:rPr>
              <w:br/>
              <w:t>2. CBK Report</w:t>
            </w:r>
            <w:r>
              <w:rPr>
                <w:rFonts w:ascii="Times New Roman" w:hAnsi="Times New Roman" w:cs="Times New Roman"/>
                <w:sz w:val="24"/>
                <w:szCs w:val="24"/>
              </w:rPr>
              <w:br/>
              <w:t>3. Bloomberg/Refinitiv</w:t>
            </w:r>
          </w:p>
        </w:tc>
        <w:tc>
          <w:tcPr>
            <w:tcW w:w="2976" w:type="dxa"/>
          </w:tcPr>
          <w:p w14:paraId="4A18D6B3"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Use audited net income after tax</w:t>
            </w:r>
          </w:p>
        </w:tc>
      </w:tr>
      <w:tr w:rsidR="00B60BE5" w14:paraId="4D8C638D" w14:textId="77777777">
        <w:tc>
          <w:tcPr>
            <w:tcW w:w="1844" w:type="dxa"/>
          </w:tcPr>
          <w:p w14:paraId="0B4FA4CC"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Independent Variable</w:t>
            </w:r>
          </w:p>
        </w:tc>
        <w:tc>
          <w:tcPr>
            <w:tcW w:w="2551" w:type="dxa"/>
          </w:tcPr>
          <w:p w14:paraId="0971D0AC" w14:textId="77777777" w:rsidR="00B60BE5" w:rsidRDefault="00B60BE5">
            <w:pPr>
              <w:rPr>
                <w:rFonts w:ascii="Times New Roman" w:hAnsi="Times New Roman" w:cs="Times New Roman"/>
                <w:sz w:val="24"/>
                <w:szCs w:val="24"/>
              </w:rPr>
            </w:pPr>
          </w:p>
        </w:tc>
        <w:tc>
          <w:tcPr>
            <w:tcW w:w="2552" w:type="dxa"/>
          </w:tcPr>
          <w:p w14:paraId="6E5F108D" w14:textId="77777777" w:rsidR="00B60BE5" w:rsidRDefault="00B60BE5">
            <w:pPr>
              <w:rPr>
                <w:rFonts w:ascii="Times New Roman" w:hAnsi="Times New Roman" w:cs="Times New Roman"/>
                <w:sz w:val="24"/>
                <w:szCs w:val="24"/>
              </w:rPr>
            </w:pPr>
          </w:p>
        </w:tc>
        <w:tc>
          <w:tcPr>
            <w:tcW w:w="2976" w:type="dxa"/>
          </w:tcPr>
          <w:p w14:paraId="500AE8A8" w14:textId="77777777" w:rsidR="00B60BE5" w:rsidRDefault="00B60BE5">
            <w:pPr>
              <w:rPr>
                <w:rFonts w:ascii="Times New Roman" w:hAnsi="Times New Roman" w:cs="Times New Roman"/>
                <w:sz w:val="24"/>
                <w:szCs w:val="24"/>
              </w:rPr>
            </w:pPr>
          </w:p>
        </w:tc>
      </w:tr>
      <w:tr w:rsidR="00B60BE5" w14:paraId="7AFEDFB4" w14:textId="77777777">
        <w:tc>
          <w:tcPr>
            <w:tcW w:w="1844" w:type="dxa"/>
          </w:tcPr>
          <w:p w14:paraId="1DD3EEFE"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Green Finance Index</w:t>
            </w:r>
          </w:p>
        </w:tc>
        <w:tc>
          <w:tcPr>
            <w:tcW w:w="2551" w:type="dxa"/>
          </w:tcPr>
          <w:p w14:paraId="668446C9"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Standardized mean of GB, GC, CA</w:t>
            </w:r>
          </w:p>
        </w:tc>
        <w:tc>
          <w:tcPr>
            <w:tcW w:w="2552" w:type="dxa"/>
          </w:tcPr>
          <w:p w14:paraId="7B9C75E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1. Sustainability Report</w:t>
            </w:r>
            <w:r>
              <w:rPr>
                <w:rFonts w:ascii="Times New Roman" w:hAnsi="Times New Roman" w:cs="Times New Roman"/>
                <w:sz w:val="24"/>
                <w:szCs w:val="24"/>
              </w:rPr>
              <w:br/>
              <w:t>2. CBK Template</w:t>
            </w:r>
            <w:r>
              <w:rPr>
                <w:rFonts w:ascii="Times New Roman" w:hAnsi="Times New Roman" w:cs="Times New Roman"/>
                <w:sz w:val="24"/>
                <w:szCs w:val="24"/>
              </w:rPr>
              <w:br/>
              <w:t>3. KBA Report</w:t>
            </w:r>
          </w:p>
        </w:tc>
        <w:tc>
          <w:tcPr>
            <w:tcW w:w="2976" w:type="dxa"/>
          </w:tcPr>
          <w:p w14:paraId="3C649D9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Standardize each component first</w:t>
            </w:r>
          </w:p>
        </w:tc>
      </w:tr>
      <w:tr w:rsidR="00B60BE5" w14:paraId="29D02A4F" w14:textId="77777777">
        <w:tc>
          <w:tcPr>
            <w:tcW w:w="1844" w:type="dxa"/>
          </w:tcPr>
          <w:p w14:paraId="1ED8F68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Green Bonds</w:t>
            </w:r>
          </w:p>
        </w:tc>
        <w:tc>
          <w:tcPr>
            <w:tcW w:w="2551" w:type="dxa"/>
          </w:tcPr>
          <w:p w14:paraId="04764F85"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(Green Bonds / Total Assets) × 100</w:t>
            </w:r>
          </w:p>
        </w:tc>
        <w:tc>
          <w:tcPr>
            <w:tcW w:w="2552" w:type="dxa"/>
          </w:tcPr>
          <w:p w14:paraId="49D556D1"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1. NSE Register</w:t>
            </w:r>
            <w:r>
              <w:rPr>
                <w:rFonts w:ascii="Times New Roman" w:hAnsi="Times New Roman" w:cs="Times New Roman"/>
                <w:sz w:val="24"/>
                <w:szCs w:val="24"/>
              </w:rPr>
              <w:br/>
              <w:t>2. Bond Prospectus</w:t>
            </w:r>
            <w:r>
              <w:rPr>
                <w:rFonts w:ascii="Times New Roman" w:hAnsi="Times New Roman" w:cs="Times New Roman"/>
                <w:sz w:val="24"/>
                <w:szCs w:val="24"/>
              </w:rPr>
              <w:br/>
              <w:t>3. Annual Report</w:t>
            </w:r>
          </w:p>
        </w:tc>
        <w:tc>
          <w:tcPr>
            <w:tcW w:w="2976" w:type="dxa"/>
          </w:tcPr>
          <w:p w14:paraId="18705DEE"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Include both issued and held</w:t>
            </w:r>
          </w:p>
        </w:tc>
      </w:tr>
      <w:tr w:rsidR="00B60BE5" w14:paraId="10C4E3DB" w14:textId="77777777">
        <w:tc>
          <w:tcPr>
            <w:tcW w:w="1844" w:type="dxa"/>
          </w:tcPr>
          <w:p w14:paraId="31F3F10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Green Credit</w:t>
            </w:r>
          </w:p>
        </w:tc>
        <w:tc>
          <w:tcPr>
            <w:tcW w:w="2551" w:type="dxa"/>
          </w:tcPr>
          <w:p w14:paraId="7672EC63"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(Green Loans / Total Loans) × 100</w:t>
            </w:r>
          </w:p>
        </w:tc>
        <w:tc>
          <w:tcPr>
            <w:tcW w:w="2552" w:type="dxa"/>
          </w:tcPr>
          <w:p w14:paraId="31E3976A"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1. CBK Reporting</w:t>
            </w:r>
            <w:r>
              <w:rPr>
                <w:rFonts w:ascii="Times New Roman" w:hAnsi="Times New Roman" w:cs="Times New Roman"/>
                <w:sz w:val="24"/>
                <w:szCs w:val="24"/>
              </w:rPr>
              <w:br/>
              <w:t>2. Sustainability Report</w:t>
            </w:r>
            <w:r>
              <w:rPr>
                <w:rFonts w:ascii="Times New Roman" w:hAnsi="Times New Roman" w:cs="Times New Roman"/>
                <w:sz w:val="24"/>
                <w:szCs w:val="24"/>
              </w:rPr>
              <w:br/>
              <w:t>3. Lending Report</w:t>
            </w:r>
          </w:p>
        </w:tc>
        <w:tc>
          <w:tcPr>
            <w:tcW w:w="2976" w:type="dxa"/>
          </w:tcPr>
          <w:p w14:paraId="03348452"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Use CBK definition of green loans</w:t>
            </w:r>
          </w:p>
        </w:tc>
      </w:tr>
      <w:tr w:rsidR="00B60BE5" w14:paraId="085F10D9" w14:textId="77777777">
        <w:tc>
          <w:tcPr>
            <w:tcW w:w="1844" w:type="dxa"/>
          </w:tcPr>
          <w:p w14:paraId="6C660686"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Carbon Assets</w:t>
            </w:r>
          </w:p>
        </w:tc>
        <w:tc>
          <w:tcPr>
            <w:tcW w:w="2551" w:type="dxa"/>
          </w:tcPr>
          <w:p w14:paraId="21153BD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(Carbon Assets / Total Assets) × 100</w:t>
            </w:r>
          </w:p>
        </w:tc>
        <w:tc>
          <w:tcPr>
            <w:tcW w:w="2552" w:type="dxa"/>
          </w:tcPr>
          <w:p w14:paraId="46A57601"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1. Investment Portfolio</w:t>
            </w:r>
            <w:r>
              <w:rPr>
                <w:rFonts w:ascii="Times New Roman" w:hAnsi="Times New Roman" w:cs="Times New Roman"/>
                <w:sz w:val="24"/>
                <w:szCs w:val="24"/>
              </w:rPr>
              <w:br/>
              <w:t>2. Sustainability Report</w:t>
            </w:r>
            <w:r>
              <w:rPr>
                <w:rFonts w:ascii="Times New Roman" w:hAnsi="Times New Roman" w:cs="Times New Roman"/>
                <w:sz w:val="24"/>
                <w:szCs w:val="24"/>
              </w:rPr>
              <w:br/>
              <w:t>3. Project Reports</w:t>
            </w:r>
          </w:p>
        </w:tc>
        <w:tc>
          <w:tcPr>
            <w:tcW w:w="2976" w:type="dxa"/>
          </w:tcPr>
          <w:p w14:paraId="54ACE87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Include credits and investments</w:t>
            </w:r>
          </w:p>
        </w:tc>
      </w:tr>
      <w:tr w:rsidR="00B60BE5" w14:paraId="245DD07C" w14:textId="77777777">
        <w:tc>
          <w:tcPr>
            <w:tcW w:w="1844" w:type="dxa"/>
          </w:tcPr>
          <w:p w14:paraId="421612B9"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Moderating Variable</w:t>
            </w:r>
          </w:p>
        </w:tc>
        <w:tc>
          <w:tcPr>
            <w:tcW w:w="2551" w:type="dxa"/>
          </w:tcPr>
          <w:p w14:paraId="63D91E65" w14:textId="77777777" w:rsidR="00B60BE5" w:rsidRDefault="00B60BE5">
            <w:pPr>
              <w:rPr>
                <w:rFonts w:ascii="Times New Roman" w:hAnsi="Times New Roman" w:cs="Times New Roman"/>
                <w:sz w:val="24"/>
                <w:szCs w:val="24"/>
              </w:rPr>
            </w:pPr>
          </w:p>
        </w:tc>
        <w:tc>
          <w:tcPr>
            <w:tcW w:w="2552" w:type="dxa"/>
          </w:tcPr>
          <w:p w14:paraId="1B6FE4B5" w14:textId="77777777" w:rsidR="00B60BE5" w:rsidRDefault="00B60BE5">
            <w:pPr>
              <w:rPr>
                <w:rFonts w:ascii="Times New Roman" w:hAnsi="Times New Roman" w:cs="Times New Roman"/>
                <w:sz w:val="24"/>
                <w:szCs w:val="24"/>
              </w:rPr>
            </w:pPr>
          </w:p>
        </w:tc>
        <w:tc>
          <w:tcPr>
            <w:tcW w:w="2976" w:type="dxa"/>
          </w:tcPr>
          <w:p w14:paraId="2EA5A954" w14:textId="77777777" w:rsidR="00B60BE5" w:rsidRDefault="00B60BE5">
            <w:pPr>
              <w:rPr>
                <w:rFonts w:ascii="Times New Roman" w:hAnsi="Times New Roman" w:cs="Times New Roman"/>
                <w:sz w:val="24"/>
                <w:szCs w:val="24"/>
              </w:rPr>
            </w:pPr>
          </w:p>
        </w:tc>
      </w:tr>
      <w:tr w:rsidR="00B60BE5" w14:paraId="2DCC5155" w14:textId="77777777">
        <w:tc>
          <w:tcPr>
            <w:tcW w:w="1844" w:type="dxa"/>
          </w:tcPr>
          <w:p w14:paraId="3E13FE23"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Firm Size</w:t>
            </w:r>
          </w:p>
        </w:tc>
        <w:tc>
          <w:tcPr>
            <w:tcW w:w="2551" w:type="dxa"/>
          </w:tcPr>
          <w:p w14:paraId="20095D6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Natural log of Total Assets</w:t>
            </w:r>
          </w:p>
        </w:tc>
        <w:tc>
          <w:tcPr>
            <w:tcW w:w="2552" w:type="dxa"/>
          </w:tcPr>
          <w:p w14:paraId="22522133"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1. Balance Sheet</w:t>
            </w:r>
            <w:r>
              <w:rPr>
                <w:rFonts w:ascii="Times New Roman" w:hAnsi="Times New Roman" w:cs="Times New Roman"/>
                <w:sz w:val="24"/>
                <w:szCs w:val="24"/>
              </w:rPr>
              <w:br/>
              <w:t>2. CBK Report</w:t>
            </w:r>
            <w:r>
              <w:rPr>
                <w:rFonts w:ascii="Times New Roman" w:hAnsi="Times New Roman" w:cs="Times New Roman"/>
                <w:sz w:val="24"/>
                <w:szCs w:val="24"/>
              </w:rPr>
              <w:br/>
              <w:t>3. Bankers' Handbook</w:t>
            </w:r>
          </w:p>
        </w:tc>
        <w:tc>
          <w:tcPr>
            <w:tcW w:w="2976" w:type="dxa"/>
          </w:tcPr>
          <w:p w14:paraId="43D06C02"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Use year</w:t>
            </w:r>
            <w:r>
              <w:rPr>
                <w:rFonts w:ascii="Times New Roman" w:hAnsi="Times New Roman" w:cs="Times New Roman"/>
                <w:sz w:val="24"/>
                <w:szCs w:val="24"/>
                <w:lang w:val="en-US"/>
              </w:rPr>
              <w:t>,</w:t>
            </w:r>
            <w:r>
              <w:rPr>
                <w:rFonts w:ascii="Times New Roman" w:hAnsi="Times New Roman" w:cs="Times New Roman"/>
                <w:sz w:val="24"/>
                <w:szCs w:val="24"/>
              </w:rPr>
              <w:t>end total assets</w:t>
            </w:r>
          </w:p>
        </w:tc>
      </w:tr>
    </w:tbl>
    <w:p w14:paraId="12590418" w14:textId="77777777" w:rsidR="00B60BE5" w:rsidRDefault="00B60BE5">
      <w:pPr>
        <w:pStyle w:val="Heading3"/>
        <w:numPr>
          <w:ilvl w:val="0"/>
          <w:numId w:val="0"/>
        </w:numPr>
        <w:rPr>
          <w:i/>
          <w:iCs/>
        </w:rPr>
      </w:pPr>
    </w:p>
    <w:p w14:paraId="7BFEDADE" w14:textId="77777777" w:rsidR="00B60BE5" w:rsidRDefault="00000000">
      <w:pPr>
        <w:rPr>
          <w:rFonts w:eastAsia="SimSun"/>
          <w:i/>
          <w:iCs/>
          <w:color w:val="2F5496"/>
          <w:sz w:val="28"/>
          <w:szCs w:val="28"/>
        </w:rPr>
      </w:pPr>
      <w:r>
        <w:rPr>
          <w:i/>
          <w:iCs/>
        </w:rPr>
        <w:br w:type="page"/>
      </w:r>
    </w:p>
    <w:p w14:paraId="7B1F61CB" w14:textId="77777777" w:rsidR="00B60BE5" w:rsidRDefault="00000000">
      <w:pPr>
        <w:pStyle w:val="Heading3"/>
        <w:rPr>
          <w:i/>
          <w:iCs/>
        </w:rPr>
      </w:pPr>
      <w:bookmarkStart w:id="55" w:name="_Toc222210231"/>
      <w:r>
        <w:rPr>
          <w:rFonts w:ascii="Times New Roman" w:hAnsi="Times New Roman" w:cs="Times New Roman"/>
          <w:i/>
          <w:iCs/>
          <w:color w:val="auto"/>
          <w:sz w:val="24"/>
          <w:szCs w:val="24"/>
        </w:rPr>
        <w:lastRenderedPageBreak/>
        <w:t>Research Project Budget</w:t>
      </w:r>
      <w:bookmarkEnd w:id="55"/>
    </w:p>
    <w:p w14:paraId="7DF79F5B" w14:textId="77777777" w:rsidR="00B60BE5" w:rsidRDefault="00000000">
      <w:pPr>
        <w:rPr>
          <w:rFonts w:ascii="Times New Roman" w:hAnsi="Times New Roman" w:cs="Times New Roman"/>
          <w:sz w:val="24"/>
          <w:szCs w:val="24"/>
        </w:rPr>
      </w:pPr>
      <w:r>
        <w:rPr>
          <w:rFonts w:ascii="Times New Roman" w:hAnsi="Times New Roman" w:cs="Times New Roman"/>
          <w:i/>
          <w:iCs/>
          <w:sz w:val="24"/>
          <w:szCs w:val="24"/>
        </w:rPr>
        <w:t>Project Title: Green Finance, Firm Size and Financial Performance of Commercial Banks in Kenya</w:t>
      </w:r>
      <w:r>
        <w:rPr>
          <w:rFonts w:ascii="Times New Roman" w:hAnsi="Times New Roman" w:cs="Times New Roman"/>
          <w:sz w:val="24"/>
          <w:szCs w:val="24"/>
        </w:rPr>
        <w:t xml:space="preserve">. </w:t>
      </w:r>
    </w:p>
    <w:tbl>
      <w:tblPr>
        <w:tblStyle w:val="TableGrid"/>
        <w:tblW w:w="9919" w:type="dxa"/>
        <w:tblInd w:w="-453" w:type="dxa"/>
        <w:tblLook w:val="04A0" w:firstRow="1" w:lastRow="0" w:firstColumn="1" w:lastColumn="0" w:noHBand="0" w:noVBand="1"/>
      </w:tblPr>
      <w:tblGrid>
        <w:gridCol w:w="2701"/>
        <w:gridCol w:w="1585"/>
        <w:gridCol w:w="5633"/>
      </w:tblGrid>
      <w:tr w:rsidR="00B60BE5" w14:paraId="1D860CF3" w14:textId="77777777">
        <w:tc>
          <w:tcPr>
            <w:tcW w:w="2701" w:type="dxa"/>
          </w:tcPr>
          <w:p w14:paraId="1FA95495"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Category</w:t>
            </w:r>
          </w:p>
        </w:tc>
        <w:tc>
          <w:tcPr>
            <w:tcW w:w="0" w:type="auto"/>
          </w:tcPr>
          <w:p w14:paraId="3E1E889C"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Amount (KES)</w:t>
            </w:r>
          </w:p>
        </w:tc>
        <w:tc>
          <w:tcPr>
            <w:tcW w:w="5633" w:type="dxa"/>
          </w:tcPr>
          <w:p w14:paraId="346B9028"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Justification &amp; Allocation</w:t>
            </w:r>
          </w:p>
        </w:tc>
      </w:tr>
      <w:tr w:rsidR="00B60BE5" w14:paraId="5E859434" w14:textId="77777777">
        <w:tc>
          <w:tcPr>
            <w:tcW w:w="2701" w:type="dxa"/>
          </w:tcPr>
          <w:p w14:paraId="3AAB8584"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1. Research &amp; Materials</w:t>
            </w:r>
          </w:p>
        </w:tc>
        <w:tc>
          <w:tcPr>
            <w:tcW w:w="0" w:type="auto"/>
          </w:tcPr>
          <w:p w14:paraId="612DFE7B"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40,000</w:t>
            </w:r>
          </w:p>
        </w:tc>
        <w:tc>
          <w:tcPr>
            <w:tcW w:w="5633" w:type="dxa"/>
          </w:tcPr>
          <w:p w14:paraId="3C88933E"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Premium journal subscriptions, specialized finance databases, books, reports</w:t>
            </w:r>
          </w:p>
        </w:tc>
      </w:tr>
      <w:tr w:rsidR="00B60BE5" w14:paraId="66B0C62A" w14:textId="77777777">
        <w:tc>
          <w:tcPr>
            <w:tcW w:w="2701" w:type="dxa"/>
          </w:tcPr>
          <w:p w14:paraId="45937132"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2. Software &amp; Tools</w:t>
            </w:r>
          </w:p>
        </w:tc>
        <w:tc>
          <w:tcPr>
            <w:tcW w:w="0" w:type="auto"/>
          </w:tcPr>
          <w:p w14:paraId="446A70FE"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50,000</w:t>
            </w:r>
          </w:p>
        </w:tc>
        <w:tc>
          <w:tcPr>
            <w:tcW w:w="5633" w:type="dxa"/>
          </w:tcPr>
          <w:p w14:paraId="427D9458"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Licensed software (e.g., Stata, EViews, NVivo), cloud storage, data visualization tools</w:t>
            </w:r>
          </w:p>
        </w:tc>
      </w:tr>
      <w:tr w:rsidR="00B60BE5" w14:paraId="7EC4CE0E" w14:textId="77777777">
        <w:tc>
          <w:tcPr>
            <w:tcW w:w="2701" w:type="dxa"/>
          </w:tcPr>
          <w:p w14:paraId="26AF1D10"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3. Data Collection</w:t>
            </w:r>
          </w:p>
        </w:tc>
        <w:tc>
          <w:tcPr>
            <w:tcW w:w="0" w:type="auto"/>
          </w:tcPr>
          <w:p w14:paraId="26FAC68E"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80,000</w:t>
            </w:r>
          </w:p>
        </w:tc>
        <w:tc>
          <w:tcPr>
            <w:tcW w:w="5633" w:type="dxa"/>
          </w:tcPr>
          <w:p w14:paraId="7DA003F5"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Professional survey platform, participant incentives, interview transcription services</w:t>
            </w:r>
          </w:p>
        </w:tc>
      </w:tr>
      <w:tr w:rsidR="00B60BE5" w14:paraId="0B690654" w14:textId="77777777">
        <w:tc>
          <w:tcPr>
            <w:tcW w:w="2701" w:type="dxa"/>
          </w:tcPr>
          <w:p w14:paraId="5F21D942"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4. Printing &amp; Binding</w:t>
            </w:r>
          </w:p>
        </w:tc>
        <w:tc>
          <w:tcPr>
            <w:tcW w:w="0" w:type="auto"/>
          </w:tcPr>
          <w:p w14:paraId="3098A1A7"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40,000</w:t>
            </w:r>
          </w:p>
        </w:tc>
        <w:tc>
          <w:tcPr>
            <w:tcW w:w="5633" w:type="dxa"/>
          </w:tcPr>
          <w:p w14:paraId="6A7E53FD"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High</w:t>
            </w:r>
            <w:r>
              <w:rPr>
                <w:rFonts w:ascii="Times New Roman" w:hAnsi="Times New Roman" w:cs="Times New Roman"/>
                <w:sz w:val="24"/>
                <w:szCs w:val="24"/>
                <w:lang w:val="en-US"/>
              </w:rPr>
              <w:t>,</w:t>
            </w:r>
            <w:r>
              <w:rPr>
                <w:rFonts w:ascii="Times New Roman" w:hAnsi="Times New Roman" w:cs="Times New Roman"/>
                <w:sz w:val="24"/>
                <w:szCs w:val="24"/>
              </w:rPr>
              <w:t xml:space="preserve">quality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printing, premium binding, multiple copies for submission and examiners</w:t>
            </w:r>
          </w:p>
        </w:tc>
      </w:tr>
      <w:tr w:rsidR="00B60BE5" w14:paraId="66A4CD3C" w14:textId="77777777">
        <w:tc>
          <w:tcPr>
            <w:tcW w:w="2701" w:type="dxa"/>
          </w:tcPr>
          <w:p w14:paraId="572469D4"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5. Professional Support</w:t>
            </w:r>
          </w:p>
        </w:tc>
        <w:tc>
          <w:tcPr>
            <w:tcW w:w="0" w:type="auto"/>
          </w:tcPr>
          <w:p w14:paraId="2AFCD564"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60,000</w:t>
            </w:r>
          </w:p>
        </w:tc>
        <w:tc>
          <w:tcPr>
            <w:tcW w:w="5633" w:type="dxa"/>
          </w:tcPr>
          <w:p w14:paraId="40931BF8"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Statistical/data analysis consultant, editorial proofreading, formatting assistance</w:t>
            </w:r>
          </w:p>
        </w:tc>
      </w:tr>
      <w:tr w:rsidR="00B60BE5" w14:paraId="0362BCC7" w14:textId="77777777">
        <w:tc>
          <w:tcPr>
            <w:tcW w:w="2701" w:type="dxa"/>
          </w:tcPr>
          <w:p w14:paraId="5B627653"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6. Travel &amp; Logistics</w:t>
            </w:r>
          </w:p>
        </w:tc>
        <w:tc>
          <w:tcPr>
            <w:tcW w:w="0" w:type="auto"/>
          </w:tcPr>
          <w:p w14:paraId="6B622DD5"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15,000</w:t>
            </w:r>
          </w:p>
        </w:tc>
        <w:tc>
          <w:tcPr>
            <w:tcW w:w="5633" w:type="dxa"/>
          </w:tcPr>
          <w:p w14:paraId="308542DC"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Transport to/from campus for defences, meetings, and data collection sites</w:t>
            </w:r>
          </w:p>
        </w:tc>
      </w:tr>
      <w:tr w:rsidR="00B60BE5" w14:paraId="1832BBF9" w14:textId="77777777">
        <w:tc>
          <w:tcPr>
            <w:tcW w:w="2701" w:type="dxa"/>
          </w:tcPr>
          <w:p w14:paraId="7DF0E360"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7. Contingency Fund</w:t>
            </w:r>
          </w:p>
        </w:tc>
        <w:tc>
          <w:tcPr>
            <w:tcW w:w="0" w:type="auto"/>
          </w:tcPr>
          <w:p w14:paraId="1D4FC5D9"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15,000</w:t>
            </w:r>
          </w:p>
        </w:tc>
        <w:tc>
          <w:tcPr>
            <w:tcW w:w="5633" w:type="dxa"/>
          </w:tcPr>
          <w:p w14:paraId="1865E5EF" w14:textId="77777777" w:rsidR="00B60BE5" w:rsidRDefault="00000000">
            <w:pPr>
              <w:rPr>
                <w:rFonts w:ascii="Times New Roman" w:hAnsi="Times New Roman" w:cs="Times New Roman"/>
                <w:sz w:val="24"/>
                <w:szCs w:val="24"/>
              </w:rPr>
            </w:pPr>
            <w:r>
              <w:rPr>
                <w:rFonts w:ascii="Times New Roman" w:hAnsi="Times New Roman" w:cs="Times New Roman"/>
                <w:sz w:val="24"/>
                <w:szCs w:val="24"/>
              </w:rPr>
              <w:t>Unforeseen expenses, additional revisions, extra printing, or last</w:t>
            </w:r>
            <w:r>
              <w:rPr>
                <w:rFonts w:ascii="Times New Roman" w:hAnsi="Times New Roman" w:cs="Times New Roman"/>
                <w:sz w:val="24"/>
                <w:szCs w:val="24"/>
                <w:lang w:val="en-US"/>
              </w:rPr>
              <w:t>,</w:t>
            </w:r>
            <w:r>
              <w:rPr>
                <w:rFonts w:ascii="Times New Roman" w:hAnsi="Times New Roman" w:cs="Times New Roman"/>
                <w:sz w:val="24"/>
                <w:szCs w:val="24"/>
              </w:rPr>
              <w:t>minute resource needs</w:t>
            </w:r>
          </w:p>
        </w:tc>
      </w:tr>
      <w:tr w:rsidR="00B60BE5" w14:paraId="1EBCED25" w14:textId="77777777">
        <w:tc>
          <w:tcPr>
            <w:tcW w:w="2701" w:type="dxa"/>
          </w:tcPr>
          <w:p w14:paraId="6D61F122" w14:textId="77777777" w:rsidR="00B60BE5" w:rsidRDefault="00B60BE5">
            <w:pPr>
              <w:rPr>
                <w:rFonts w:ascii="Times New Roman" w:hAnsi="Times New Roman" w:cs="Times New Roman"/>
                <w:sz w:val="24"/>
                <w:szCs w:val="24"/>
              </w:rPr>
            </w:pPr>
          </w:p>
        </w:tc>
        <w:tc>
          <w:tcPr>
            <w:tcW w:w="0" w:type="auto"/>
          </w:tcPr>
          <w:p w14:paraId="616C8F99" w14:textId="77777777" w:rsidR="00B60BE5" w:rsidRDefault="00B60BE5">
            <w:pPr>
              <w:rPr>
                <w:rFonts w:ascii="Times New Roman" w:hAnsi="Times New Roman" w:cs="Times New Roman"/>
                <w:sz w:val="24"/>
                <w:szCs w:val="24"/>
              </w:rPr>
            </w:pPr>
          </w:p>
        </w:tc>
        <w:tc>
          <w:tcPr>
            <w:tcW w:w="5633" w:type="dxa"/>
          </w:tcPr>
          <w:p w14:paraId="1CCDD04D" w14:textId="77777777" w:rsidR="00B60BE5" w:rsidRDefault="00B60BE5">
            <w:pPr>
              <w:rPr>
                <w:rFonts w:ascii="Times New Roman" w:hAnsi="Times New Roman" w:cs="Times New Roman"/>
                <w:sz w:val="24"/>
                <w:szCs w:val="24"/>
              </w:rPr>
            </w:pPr>
          </w:p>
        </w:tc>
      </w:tr>
      <w:tr w:rsidR="00B60BE5" w14:paraId="52C52BAB" w14:textId="77777777">
        <w:tc>
          <w:tcPr>
            <w:tcW w:w="2701" w:type="dxa"/>
          </w:tcPr>
          <w:p w14:paraId="50E26FBE"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TOTAL</w:t>
            </w:r>
          </w:p>
        </w:tc>
        <w:tc>
          <w:tcPr>
            <w:tcW w:w="0" w:type="auto"/>
          </w:tcPr>
          <w:p w14:paraId="19E5BAEC" w14:textId="77777777" w:rsidR="00B60BE5" w:rsidRDefault="00000000">
            <w:pPr>
              <w:rPr>
                <w:rFonts w:ascii="Times New Roman" w:hAnsi="Times New Roman" w:cs="Times New Roman"/>
                <w:sz w:val="24"/>
                <w:szCs w:val="24"/>
              </w:rPr>
            </w:pPr>
            <w:r>
              <w:rPr>
                <w:rFonts w:ascii="Times New Roman" w:hAnsi="Times New Roman" w:cs="Times New Roman"/>
                <w:b/>
                <w:bCs/>
                <w:sz w:val="24"/>
                <w:szCs w:val="24"/>
              </w:rPr>
              <w:t>300,000</w:t>
            </w:r>
          </w:p>
        </w:tc>
        <w:tc>
          <w:tcPr>
            <w:tcW w:w="5633" w:type="dxa"/>
          </w:tcPr>
          <w:p w14:paraId="1D409C9E" w14:textId="77777777" w:rsidR="00B60BE5" w:rsidRDefault="00B60BE5">
            <w:pPr>
              <w:rPr>
                <w:rFonts w:ascii="Times New Roman" w:hAnsi="Times New Roman" w:cs="Times New Roman"/>
                <w:sz w:val="24"/>
                <w:szCs w:val="24"/>
              </w:rPr>
            </w:pPr>
          </w:p>
        </w:tc>
      </w:tr>
    </w:tbl>
    <w:p w14:paraId="712929E4" w14:textId="77777777" w:rsidR="00B60BE5" w:rsidRDefault="00B60BE5"/>
    <w:p w14:paraId="533909CF" w14:textId="77777777" w:rsidR="00B60BE5" w:rsidRDefault="00000000">
      <w:pPr>
        <w:rPr>
          <w:rFonts w:ascii="Times New Roman" w:eastAsia="SimSun" w:hAnsi="Times New Roman" w:cs="Times New Roman"/>
          <w:i/>
          <w:iCs/>
          <w:sz w:val="24"/>
          <w:szCs w:val="24"/>
        </w:rPr>
      </w:pPr>
      <w:r>
        <w:rPr>
          <w:rFonts w:ascii="Times New Roman" w:hAnsi="Times New Roman" w:cs="Times New Roman"/>
          <w:i/>
          <w:iCs/>
          <w:sz w:val="24"/>
          <w:szCs w:val="24"/>
        </w:rPr>
        <w:br w:type="page"/>
      </w:r>
    </w:p>
    <w:p w14:paraId="4E3A3F50" w14:textId="77777777" w:rsidR="00B60BE5" w:rsidRDefault="00000000">
      <w:pPr>
        <w:pStyle w:val="Heading3"/>
        <w:rPr>
          <w:rFonts w:ascii="Times New Roman" w:hAnsi="Times New Roman" w:cs="Times New Roman"/>
          <w:i/>
          <w:iCs/>
          <w:color w:val="auto"/>
          <w:sz w:val="24"/>
          <w:szCs w:val="24"/>
        </w:rPr>
      </w:pPr>
      <w:bookmarkStart w:id="56" w:name="_Toc222210232"/>
      <w:r>
        <w:rPr>
          <w:rFonts w:ascii="Times New Roman" w:hAnsi="Times New Roman" w:cs="Times New Roman"/>
          <w:i/>
          <w:iCs/>
          <w:color w:val="auto"/>
          <w:sz w:val="24"/>
          <w:szCs w:val="24"/>
        </w:rPr>
        <w:lastRenderedPageBreak/>
        <w:t>Adjusted Work plan</w:t>
      </w:r>
      <w:bookmarkEnd w:id="56"/>
    </w:p>
    <w:p w14:paraId="2B9BB63B" w14:textId="77777777" w:rsidR="00B60BE5" w:rsidRDefault="00B60BE5"/>
    <w:tbl>
      <w:tblPr>
        <w:tblStyle w:val="TableGrid"/>
        <w:tblW w:w="10135" w:type="dxa"/>
        <w:tblInd w:w="-431" w:type="dxa"/>
        <w:tblLayout w:type="fixed"/>
        <w:tblLook w:val="04A0" w:firstRow="1" w:lastRow="0" w:firstColumn="1" w:lastColumn="0" w:noHBand="0" w:noVBand="1"/>
      </w:tblPr>
      <w:tblGrid>
        <w:gridCol w:w="1986"/>
        <w:gridCol w:w="850"/>
        <w:gridCol w:w="709"/>
        <w:gridCol w:w="709"/>
        <w:gridCol w:w="850"/>
        <w:gridCol w:w="851"/>
        <w:gridCol w:w="850"/>
        <w:gridCol w:w="851"/>
        <w:gridCol w:w="861"/>
        <w:gridCol w:w="688"/>
        <w:gridCol w:w="919"/>
        <w:gridCol w:w="11"/>
      </w:tblGrid>
      <w:tr w:rsidR="00B60BE5" w14:paraId="453DFB2D" w14:textId="77777777">
        <w:trPr>
          <w:trHeight w:val="1007"/>
        </w:trPr>
        <w:tc>
          <w:tcPr>
            <w:tcW w:w="1986" w:type="dxa"/>
            <w:vMerge w:val="restart"/>
          </w:tcPr>
          <w:p w14:paraId="0FAACAEE"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Activity</w:t>
            </w:r>
          </w:p>
        </w:tc>
        <w:tc>
          <w:tcPr>
            <w:tcW w:w="8149" w:type="dxa"/>
            <w:gridSpan w:val="11"/>
          </w:tcPr>
          <w:p w14:paraId="2637C99B" w14:textId="77777777" w:rsidR="00B60BE5" w:rsidRDefault="0000000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MONTHS</w:t>
            </w:r>
          </w:p>
        </w:tc>
      </w:tr>
      <w:tr w:rsidR="00B60BE5" w14:paraId="2D23D964" w14:textId="77777777">
        <w:trPr>
          <w:gridAfter w:val="1"/>
          <w:wAfter w:w="11" w:type="dxa"/>
          <w:trHeight w:val="518"/>
        </w:trPr>
        <w:tc>
          <w:tcPr>
            <w:tcW w:w="1986" w:type="dxa"/>
            <w:vMerge/>
          </w:tcPr>
          <w:p w14:paraId="75D9CC34" w14:textId="77777777" w:rsidR="00B60BE5" w:rsidRDefault="00B60BE5">
            <w:pPr>
              <w:spacing w:after="0" w:line="240" w:lineRule="auto"/>
              <w:rPr>
                <w:rFonts w:ascii="Times New Roman" w:hAnsi="Times New Roman" w:cs="Times New Roman"/>
                <w:sz w:val="24"/>
                <w:szCs w:val="24"/>
              </w:rPr>
            </w:pPr>
          </w:p>
        </w:tc>
        <w:tc>
          <w:tcPr>
            <w:tcW w:w="850" w:type="dxa"/>
          </w:tcPr>
          <w:p w14:paraId="3F7BE572"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Jan</w:t>
            </w:r>
          </w:p>
        </w:tc>
        <w:tc>
          <w:tcPr>
            <w:tcW w:w="709" w:type="dxa"/>
          </w:tcPr>
          <w:p w14:paraId="0F1E1850"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Feb</w:t>
            </w:r>
          </w:p>
        </w:tc>
        <w:tc>
          <w:tcPr>
            <w:tcW w:w="709" w:type="dxa"/>
          </w:tcPr>
          <w:p w14:paraId="10977CFF"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Mar</w:t>
            </w:r>
          </w:p>
        </w:tc>
        <w:tc>
          <w:tcPr>
            <w:tcW w:w="850" w:type="dxa"/>
          </w:tcPr>
          <w:p w14:paraId="1EA30480"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Apr</w:t>
            </w:r>
          </w:p>
        </w:tc>
        <w:tc>
          <w:tcPr>
            <w:tcW w:w="851" w:type="dxa"/>
          </w:tcPr>
          <w:p w14:paraId="6EF06F60"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May</w:t>
            </w:r>
          </w:p>
        </w:tc>
        <w:tc>
          <w:tcPr>
            <w:tcW w:w="850" w:type="dxa"/>
          </w:tcPr>
          <w:p w14:paraId="18ED9DA7"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June</w:t>
            </w:r>
          </w:p>
        </w:tc>
        <w:tc>
          <w:tcPr>
            <w:tcW w:w="851" w:type="dxa"/>
          </w:tcPr>
          <w:p w14:paraId="6EC5D92C"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July </w:t>
            </w:r>
          </w:p>
        </w:tc>
        <w:tc>
          <w:tcPr>
            <w:tcW w:w="861" w:type="dxa"/>
          </w:tcPr>
          <w:p w14:paraId="37294E18"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Aug</w:t>
            </w:r>
          </w:p>
        </w:tc>
        <w:tc>
          <w:tcPr>
            <w:tcW w:w="688" w:type="dxa"/>
          </w:tcPr>
          <w:p w14:paraId="46A5B1C8"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Sept</w:t>
            </w:r>
          </w:p>
        </w:tc>
        <w:tc>
          <w:tcPr>
            <w:tcW w:w="919" w:type="dxa"/>
          </w:tcPr>
          <w:p w14:paraId="5DA20EEF"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Oct</w:t>
            </w:r>
          </w:p>
        </w:tc>
      </w:tr>
      <w:tr w:rsidR="00B60BE5" w14:paraId="4BC02A77" w14:textId="77777777">
        <w:trPr>
          <w:gridAfter w:val="1"/>
          <w:wAfter w:w="11" w:type="dxa"/>
          <w:trHeight w:val="590"/>
        </w:trPr>
        <w:tc>
          <w:tcPr>
            <w:tcW w:w="1986" w:type="dxa"/>
          </w:tcPr>
          <w:p w14:paraId="5357A0C0"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Literature Review</w:t>
            </w:r>
          </w:p>
        </w:tc>
        <w:tc>
          <w:tcPr>
            <w:tcW w:w="850" w:type="dxa"/>
            <w:shd w:val="clear" w:color="auto" w:fill="000000"/>
          </w:tcPr>
          <w:p w14:paraId="63BED444" w14:textId="77777777" w:rsidR="00B60BE5" w:rsidRDefault="00B60BE5">
            <w:pPr>
              <w:spacing w:after="0" w:line="240" w:lineRule="auto"/>
              <w:rPr>
                <w:rFonts w:ascii="Times New Roman" w:hAnsi="Times New Roman" w:cs="Times New Roman"/>
                <w:sz w:val="24"/>
                <w:szCs w:val="24"/>
              </w:rPr>
            </w:pPr>
          </w:p>
        </w:tc>
        <w:tc>
          <w:tcPr>
            <w:tcW w:w="709" w:type="dxa"/>
          </w:tcPr>
          <w:p w14:paraId="2AE231D6" w14:textId="77777777" w:rsidR="00B60BE5" w:rsidRDefault="00B60BE5">
            <w:pPr>
              <w:spacing w:after="0" w:line="240" w:lineRule="auto"/>
              <w:rPr>
                <w:rFonts w:ascii="Times New Roman" w:hAnsi="Times New Roman" w:cs="Times New Roman"/>
                <w:sz w:val="24"/>
                <w:szCs w:val="24"/>
              </w:rPr>
            </w:pPr>
          </w:p>
        </w:tc>
        <w:tc>
          <w:tcPr>
            <w:tcW w:w="709" w:type="dxa"/>
          </w:tcPr>
          <w:p w14:paraId="429E9F41" w14:textId="77777777" w:rsidR="00B60BE5" w:rsidRDefault="00B60BE5">
            <w:pPr>
              <w:spacing w:after="0" w:line="240" w:lineRule="auto"/>
              <w:rPr>
                <w:rFonts w:ascii="Times New Roman" w:hAnsi="Times New Roman" w:cs="Times New Roman"/>
                <w:sz w:val="24"/>
                <w:szCs w:val="24"/>
              </w:rPr>
            </w:pPr>
          </w:p>
        </w:tc>
        <w:tc>
          <w:tcPr>
            <w:tcW w:w="850" w:type="dxa"/>
          </w:tcPr>
          <w:p w14:paraId="5A506983" w14:textId="77777777" w:rsidR="00B60BE5" w:rsidRDefault="00B60BE5">
            <w:pPr>
              <w:spacing w:after="0" w:line="240" w:lineRule="auto"/>
              <w:rPr>
                <w:rFonts w:ascii="Times New Roman" w:hAnsi="Times New Roman" w:cs="Times New Roman"/>
                <w:sz w:val="24"/>
                <w:szCs w:val="24"/>
              </w:rPr>
            </w:pPr>
          </w:p>
        </w:tc>
        <w:tc>
          <w:tcPr>
            <w:tcW w:w="851" w:type="dxa"/>
          </w:tcPr>
          <w:p w14:paraId="59ECABD1" w14:textId="77777777" w:rsidR="00B60BE5" w:rsidRDefault="00B60BE5">
            <w:pPr>
              <w:spacing w:after="0" w:line="240" w:lineRule="auto"/>
              <w:rPr>
                <w:rFonts w:ascii="Times New Roman" w:hAnsi="Times New Roman" w:cs="Times New Roman"/>
                <w:sz w:val="24"/>
                <w:szCs w:val="24"/>
              </w:rPr>
            </w:pPr>
          </w:p>
        </w:tc>
        <w:tc>
          <w:tcPr>
            <w:tcW w:w="850" w:type="dxa"/>
          </w:tcPr>
          <w:p w14:paraId="678859F9" w14:textId="77777777" w:rsidR="00B60BE5" w:rsidRDefault="00B60BE5">
            <w:pPr>
              <w:spacing w:after="0" w:line="240" w:lineRule="auto"/>
              <w:rPr>
                <w:rFonts w:ascii="Times New Roman" w:hAnsi="Times New Roman" w:cs="Times New Roman"/>
                <w:sz w:val="24"/>
                <w:szCs w:val="24"/>
              </w:rPr>
            </w:pPr>
          </w:p>
        </w:tc>
        <w:tc>
          <w:tcPr>
            <w:tcW w:w="851" w:type="dxa"/>
          </w:tcPr>
          <w:p w14:paraId="74F0989E" w14:textId="77777777" w:rsidR="00B60BE5" w:rsidRDefault="00B60BE5">
            <w:pPr>
              <w:spacing w:after="0" w:line="240" w:lineRule="auto"/>
              <w:rPr>
                <w:rFonts w:ascii="Times New Roman" w:hAnsi="Times New Roman" w:cs="Times New Roman"/>
                <w:sz w:val="24"/>
                <w:szCs w:val="24"/>
              </w:rPr>
            </w:pPr>
          </w:p>
        </w:tc>
        <w:tc>
          <w:tcPr>
            <w:tcW w:w="861" w:type="dxa"/>
          </w:tcPr>
          <w:p w14:paraId="4D1BEC92" w14:textId="77777777" w:rsidR="00B60BE5" w:rsidRDefault="00B60BE5">
            <w:pPr>
              <w:spacing w:after="0" w:line="240" w:lineRule="auto"/>
              <w:rPr>
                <w:rFonts w:ascii="Times New Roman" w:hAnsi="Times New Roman" w:cs="Times New Roman"/>
                <w:sz w:val="24"/>
                <w:szCs w:val="24"/>
              </w:rPr>
            </w:pPr>
          </w:p>
        </w:tc>
        <w:tc>
          <w:tcPr>
            <w:tcW w:w="688" w:type="dxa"/>
          </w:tcPr>
          <w:p w14:paraId="434F6A97" w14:textId="77777777" w:rsidR="00B60BE5" w:rsidRDefault="00B60BE5">
            <w:pPr>
              <w:spacing w:after="0" w:line="240" w:lineRule="auto"/>
              <w:rPr>
                <w:rFonts w:ascii="Times New Roman" w:hAnsi="Times New Roman" w:cs="Times New Roman"/>
                <w:sz w:val="24"/>
                <w:szCs w:val="24"/>
              </w:rPr>
            </w:pPr>
          </w:p>
        </w:tc>
        <w:tc>
          <w:tcPr>
            <w:tcW w:w="919" w:type="dxa"/>
          </w:tcPr>
          <w:p w14:paraId="58B8FC9E" w14:textId="77777777" w:rsidR="00B60BE5" w:rsidRDefault="00B60BE5">
            <w:pPr>
              <w:spacing w:after="0" w:line="240" w:lineRule="auto"/>
              <w:rPr>
                <w:rFonts w:ascii="Times New Roman" w:hAnsi="Times New Roman" w:cs="Times New Roman"/>
                <w:sz w:val="24"/>
                <w:szCs w:val="24"/>
              </w:rPr>
            </w:pPr>
          </w:p>
        </w:tc>
      </w:tr>
      <w:tr w:rsidR="00B60BE5" w14:paraId="124D915F" w14:textId="77777777">
        <w:trPr>
          <w:gridAfter w:val="1"/>
          <w:wAfter w:w="11" w:type="dxa"/>
          <w:trHeight w:val="556"/>
        </w:trPr>
        <w:tc>
          <w:tcPr>
            <w:tcW w:w="1986" w:type="dxa"/>
          </w:tcPr>
          <w:p w14:paraId="2629F4BE"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Proposal Writing</w:t>
            </w:r>
          </w:p>
        </w:tc>
        <w:tc>
          <w:tcPr>
            <w:tcW w:w="850" w:type="dxa"/>
          </w:tcPr>
          <w:p w14:paraId="329EEAE0" w14:textId="77777777" w:rsidR="00B60BE5" w:rsidRDefault="00B60BE5">
            <w:pPr>
              <w:spacing w:after="0" w:line="240" w:lineRule="auto"/>
              <w:rPr>
                <w:rFonts w:ascii="Times New Roman" w:hAnsi="Times New Roman" w:cs="Times New Roman"/>
                <w:sz w:val="24"/>
                <w:szCs w:val="24"/>
              </w:rPr>
            </w:pPr>
          </w:p>
        </w:tc>
        <w:tc>
          <w:tcPr>
            <w:tcW w:w="709" w:type="dxa"/>
            <w:shd w:val="clear" w:color="auto" w:fill="000000"/>
          </w:tcPr>
          <w:p w14:paraId="15A562A7" w14:textId="77777777" w:rsidR="00B60BE5" w:rsidRDefault="00B60BE5">
            <w:pPr>
              <w:spacing w:after="0" w:line="240" w:lineRule="auto"/>
              <w:rPr>
                <w:rFonts w:ascii="Times New Roman" w:hAnsi="Times New Roman" w:cs="Times New Roman"/>
                <w:sz w:val="24"/>
                <w:szCs w:val="24"/>
              </w:rPr>
            </w:pPr>
          </w:p>
        </w:tc>
        <w:tc>
          <w:tcPr>
            <w:tcW w:w="709" w:type="dxa"/>
          </w:tcPr>
          <w:p w14:paraId="04C65AE4" w14:textId="77777777" w:rsidR="00B60BE5" w:rsidRDefault="00B60BE5">
            <w:pPr>
              <w:spacing w:after="0" w:line="240" w:lineRule="auto"/>
              <w:rPr>
                <w:rFonts w:ascii="Times New Roman" w:hAnsi="Times New Roman" w:cs="Times New Roman"/>
                <w:sz w:val="24"/>
                <w:szCs w:val="24"/>
              </w:rPr>
            </w:pPr>
          </w:p>
        </w:tc>
        <w:tc>
          <w:tcPr>
            <w:tcW w:w="850" w:type="dxa"/>
          </w:tcPr>
          <w:p w14:paraId="48999579" w14:textId="77777777" w:rsidR="00B60BE5" w:rsidRDefault="00B60BE5">
            <w:pPr>
              <w:spacing w:after="0" w:line="240" w:lineRule="auto"/>
              <w:rPr>
                <w:rFonts w:ascii="Times New Roman" w:hAnsi="Times New Roman" w:cs="Times New Roman"/>
                <w:sz w:val="24"/>
                <w:szCs w:val="24"/>
              </w:rPr>
            </w:pPr>
          </w:p>
        </w:tc>
        <w:tc>
          <w:tcPr>
            <w:tcW w:w="851" w:type="dxa"/>
          </w:tcPr>
          <w:p w14:paraId="47082916" w14:textId="77777777" w:rsidR="00B60BE5" w:rsidRDefault="00B60BE5">
            <w:pPr>
              <w:spacing w:after="0" w:line="240" w:lineRule="auto"/>
              <w:rPr>
                <w:rFonts w:ascii="Times New Roman" w:hAnsi="Times New Roman" w:cs="Times New Roman"/>
                <w:sz w:val="24"/>
                <w:szCs w:val="24"/>
              </w:rPr>
            </w:pPr>
          </w:p>
        </w:tc>
        <w:tc>
          <w:tcPr>
            <w:tcW w:w="850" w:type="dxa"/>
          </w:tcPr>
          <w:p w14:paraId="1F1CFA93" w14:textId="77777777" w:rsidR="00B60BE5" w:rsidRDefault="00B60BE5">
            <w:pPr>
              <w:spacing w:after="0" w:line="240" w:lineRule="auto"/>
              <w:rPr>
                <w:rFonts w:ascii="Times New Roman" w:hAnsi="Times New Roman" w:cs="Times New Roman"/>
                <w:sz w:val="24"/>
                <w:szCs w:val="24"/>
              </w:rPr>
            </w:pPr>
          </w:p>
        </w:tc>
        <w:tc>
          <w:tcPr>
            <w:tcW w:w="851" w:type="dxa"/>
          </w:tcPr>
          <w:p w14:paraId="35C59B1E" w14:textId="77777777" w:rsidR="00B60BE5" w:rsidRDefault="00B60BE5">
            <w:pPr>
              <w:spacing w:after="0" w:line="240" w:lineRule="auto"/>
              <w:rPr>
                <w:rFonts w:ascii="Times New Roman" w:hAnsi="Times New Roman" w:cs="Times New Roman"/>
                <w:sz w:val="24"/>
                <w:szCs w:val="24"/>
              </w:rPr>
            </w:pPr>
          </w:p>
        </w:tc>
        <w:tc>
          <w:tcPr>
            <w:tcW w:w="861" w:type="dxa"/>
          </w:tcPr>
          <w:p w14:paraId="78DC8CD6" w14:textId="77777777" w:rsidR="00B60BE5" w:rsidRDefault="00B60BE5">
            <w:pPr>
              <w:spacing w:after="0" w:line="240" w:lineRule="auto"/>
              <w:rPr>
                <w:rFonts w:ascii="Times New Roman" w:hAnsi="Times New Roman" w:cs="Times New Roman"/>
                <w:sz w:val="24"/>
                <w:szCs w:val="24"/>
              </w:rPr>
            </w:pPr>
          </w:p>
        </w:tc>
        <w:tc>
          <w:tcPr>
            <w:tcW w:w="688" w:type="dxa"/>
          </w:tcPr>
          <w:p w14:paraId="4013DDC3" w14:textId="77777777" w:rsidR="00B60BE5" w:rsidRDefault="00B60BE5">
            <w:pPr>
              <w:spacing w:after="0" w:line="240" w:lineRule="auto"/>
              <w:rPr>
                <w:rFonts w:ascii="Times New Roman" w:hAnsi="Times New Roman" w:cs="Times New Roman"/>
                <w:sz w:val="24"/>
                <w:szCs w:val="24"/>
              </w:rPr>
            </w:pPr>
          </w:p>
        </w:tc>
        <w:tc>
          <w:tcPr>
            <w:tcW w:w="919" w:type="dxa"/>
          </w:tcPr>
          <w:p w14:paraId="552F4A98" w14:textId="77777777" w:rsidR="00B60BE5" w:rsidRDefault="00B60BE5">
            <w:pPr>
              <w:spacing w:after="0" w:line="240" w:lineRule="auto"/>
              <w:rPr>
                <w:rFonts w:ascii="Times New Roman" w:hAnsi="Times New Roman" w:cs="Times New Roman"/>
                <w:sz w:val="24"/>
                <w:szCs w:val="24"/>
              </w:rPr>
            </w:pPr>
          </w:p>
        </w:tc>
      </w:tr>
      <w:tr w:rsidR="00B60BE5" w14:paraId="1467E2B4" w14:textId="77777777">
        <w:trPr>
          <w:gridAfter w:val="1"/>
          <w:wAfter w:w="11" w:type="dxa"/>
          <w:trHeight w:val="564"/>
        </w:trPr>
        <w:tc>
          <w:tcPr>
            <w:tcW w:w="1986" w:type="dxa"/>
          </w:tcPr>
          <w:p w14:paraId="44CEAF6B"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School Defence</w:t>
            </w:r>
          </w:p>
        </w:tc>
        <w:tc>
          <w:tcPr>
            <w:tcW w:w="850" w:type="dxa"/>
          </w:tcPr>
          <w:p w14:paraId="482C87C5" w14:textId="77777777" w:rsidR="00B60BE5" w:rsidRDefault="00B60BE5">
            <w:pPr>
              <w:spacing w:after="0" w:line="240" w:lineRule="auto"/>
              <w:rPr>
                <w:rFonts w:ascii="Times New Roman" w:hAnsi="Times New Roman" w:cs="Times New Roman"/>
                <w:sz w:val="24"/>
                <w:szCs w:val="24"/>
              </w:rPr>
            </w:pPr>
          </w:p>
        </w:tc>
        <w:tc>
          <w:tcPr>
            <w:tcW w:w="709" w:type="dxa"/>
            <w:shd w:val="clear" w:color="auto" w:fill="000000"/>
          </w:tcPr>
          <w:p w14:paraId="6F61599E" w14:textId="77777777" w:rsidR="00B60BE5" w:rsidRDefault="00B60BE5">
            <w:pPr>
              <w:spacing w:after="0" w:line="240" w:lineRule="auto"/>
              <w:rPr>
                <w:rFonts w:ascii="Times New Roman" w:hAnsi="Times New Roman" w:cs="Times New Roman"/>
                <w:sz w:val="24"/>
                <w:szCs w:val="24"/>
              </w:rPr>
            </w:pPr>
          </w:p>
        </w:tc>
        <w:tc>
          <w:tcPr>
            <w:tcW w:w="709" w:type="dxa"/>
          </w:tcPr>
          <w:p w14:paraId="04B8066D" w14:textId="77777777" w:rsidR="00B60BE5" w:rsidRDefault="00B60BE5">
            <w:pPr>
              <w:spacing w:after="0" w:line="240" w:lineRule="auto"/>
              <w:rPr>
                <w:rFonts w:ascii="Times New Roman" w:hAnsi="Times New Roman" w:cs="Times New Roman"/>
                <w:sz w:val="24"/>
                <w:szCs w:val="24"/>
              </w:rPr>
            </w:pPr>
          </w:p>
        </w:tc>
        <w:tc>
          <w:tcPr>
            <w:tcW w:w="850" w:type="dxa"/>
          </w:tcPr>
          <w:p w14:paraId="22DB392C" w14:textId="77777777" w:rsidR="00B60BE5" w:rsidRDefault="00B60BE5">
            <w:pPr>
              <w:spacing w:after="0" w:line="240" w:lineRule="auto"/>
              <w:rPr>
                <w:rFonts w:ascii="Times New Roman" w:hAnsi="Times New Roman" w:cs="Times New Roman"/>
                <w:sz w:val="24"/>
                <w:szCs w:val="24"/>
              </w:rPr>
            </w:pPr>
          </w:p>
        </w:tc>
        <w:tc>
          <w:tcPr>
            <w:tcW w:w="851" w:type="dxa"/>
          </w:tcPr>
          <w:p w14:paraId="4F2D21F4" w14:textId="77777777" w:rsidR="00B60BE5" w:rsidRDefault="00B60BE5">
            <w:pPr>
              <w:spacing w:after="0" w:line="240" w:lineRule="auto"/>
              <w:rPr>
                <w:rFonts w:ascii="Times New Roman" w:hAnsi="Times New Roman" w:cs="Times New Roman"/>
                <w:sz w:val="24"/>
                <w:szCs w:val="24"/>
              </w:rPr>
            </w:pPr>
          </w:p>
        </w:tc>
        <w:tc>
          <w:tcPr>
            <w:tcW w:w="850" w:type="dxa"/>
          </w:tcPr>
          <w:p w14:paraId="117C66BC" w14:textId="77777777" w:rsidR="00B60BE5" w:rsidRDefault="00B60BE5">
            <w:pPr>
              <w:spacing w:after="0" w:line="240" w:lineRule="auto"/>
              <w:rPr>
                <w:rFonts w:ascii="Times New Roman" w:hAnsi="Times New Roman" w:cs="Times New Roman"/>
                <w:sz w:val="24"/>
                <w:szCs w:val="24"/>
              </w:rPr>
            </w:pPr>
          </w:p>
        </w:tc>
        <w:tc>
          <w:tcPr>
            <w:tcW w:w="851" w:type="dxa"/>
          </w:tcPr>
          <w:p w14:paraId="6C7DECA5" w14:textId="77777777" w:rsidR="00B60BE5" w:rsidRDefault="00B60BE5">
            <w:pPr>
              <w:spacing w:after="0" w:line="240" w:lineRule="auto"/>
              <w:rPr>
                <w:rFonts w:ascii="Times New Roman" w:hAnsi="Times New Roman" w:cs="Times New Roman"/>
                <w:sz w:val="24"/>
                <w:szCs w:val="24"/>
              </w:rPr>
            </w:pPr>
          </w:p>
        </w:tc>
        <w:tc>
          <w:tcPr>
            <w:tcW w:w="861" w:type="dxa"/>
          </w:tcPr>
          <w:p w14:paraId="35EC788B" w14:textId="77777777" w:rsidR="00B60BE5" w:rsidRDefault="00B60BE5">
            <w:pPr>
              <w:spacing w:after="0" w:line="240" w:lineRule="auto"/>
              <w:rPr>
                <w:rFonts w:ascii="Times New Roman" w:hAnsi="Times New Roman" w:cs="Times New Roman"/>
                <w:sz w:val="24"/>
                <w:szCs w:val="24"/>
              </w:rPr>
            </w:pPr>
          </w:p>
        </w:tc>
        <w:tc>
          <w:tcPr>
            <w:tcW w:w="688" w:type="dxa"/>
          </w:tcPr>
          <w:p w14:paraId="4BD9370D" w14:textId="77777777" w:rsidR="00B60BE5" w:rsidRDefault="00B60BE5">
            <w:pPr>
              <w:spacing w:after="0" w:line="240" w:lineRule="auto"/>
              <w:rPr>
                <w:rFonts w:ascii="Times New Roman" w:hAnsi="Times New Roman" w:cs="Times New Roman"/>
                <w:sz w:val="24"/>
                <w:szCs w:val="24"/>
              </w:rPr>
            </w:pPr>
          </w:p>
        </w:tc>
        <w:tc>
          <w:tcPr>
            <w:tcW w:w="919" w:type="dxa"/>
          </w:tcPr>
          <w:p w14:paraId="6721BD4B" w14:textId="77777777" w:rsidR="00B60BE5" w:rsidRDefault="00B60BE5">
            <w:pPr>
              <w:spacing w:after="0" w:line="240" w:lineRule="auto"/>
              <w:rPr>
                <w:rFonts w:ascii="Times New Roman" w:hAnsi="Times New Roman" w:cs="Times New Roman"/>
                <w:sz w:val="24"/>
                <w:szCs w:val="24"/>
              </w:rPr>
            </w:pPr>
          </w:p>
        </w:tc>
      </w:tr>
      <w:tr w:rsidR="00B60BE5" w14:paraId="47F38EBF" w14:textId="77777777">
        <w:trPr>
          <w:gridAfter w:val="1"/>
          <w:wAfter w:w="11" w:type="dxa"/>
          <w:trHeight w:val="686"/>
        </w:trPr>
        <w:tc>
          <w:tcPr>
            <w:tcW w:w="1986" w:type="dxa"/>
          </w:tcPr>
          <w:p w14:paraId="7070E1EA"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Data Collection</w:t>
            </w:r>
          </w:p>
        </w:tc>
        <w:tc>
          <w:tcPr>
            <w:tcW w:w="850" w:type="dxa"/>
          </w:tcPr>
          <w:p w14:paraId="3597B5A2" w14:textId="77777777" w:rsidR="00B60BE5" w:rsidRDefault="00B60BE5">
            <w:pPr>
              <w:spacing w:after="0" w:line="240" w:lineRule="auto"/>
              <w:rPr>
                <w:rFonts w:ascii="Times New Roman" w:hAnsi="Times New Roman" w:cs="Times New Roman"/>
                <w:sz w:val="24"/>
                <w:szCs w:val="24"/>
              </w:rPr>
            </w:pPr>
          </w:p>
        </w:tc>
        <w:tc>
          <w:tcPr>
            <w:tcW w:w="709" w:type="dxa"/>
          </w:tcPr>
          <w:p w14:paraId="181FE9C9" w14:textId="77777777" w:rsidR="00B60BE5" w:rsidRDefault="00B60BE5">
            <w:pPr>
              <w:spacing w:after="0" w:line="240" w:lineRule="auto"/>
              <w:rPr>
                <w:rFonts w:ascii="Times New Roman" w:hAnsi="Times New Roman" w:cs="Times New Roman"/>
                <w:sz w:val="24"/>
                <w:szCs w:val="24"/>
              </w:rPr>
            </w:pPr>
          </w:p>
        </w:tc>
        <w:tc>
          <w:tcPr>
            <w:tcW w:w="709" w:type="dxa"/>
            <w:shd w:val="clear" w:color="auto" w:fill="000000"/>
          </w:tcPr>
          <w:p w14:paraId="1B588702" w14:textId="77777777" w:rsidR="00B60BE5" w:rsidRDefault="00B60BE5">
            <w:pPr>
              <w:spacing w:after="0" w:line="240" w:lineRule="auto"/>
              <w:rPr>
                <w:rFonts w:ascii="Times New Roman" w:hAnsi="Times New Roman" w:cs="Times New Roman"/>
                <w:sz w:val="24"/>
                <w:szCs w:val="24"/>
              </w:rPr>
            </w:pPr>
          </w:p>
        </w:tc>
        <w:tc>
          <w:tcPr>
            <w:tcW w:w="850" w:type="dxa"/>
          </w:tcPr>
          <w:p w14:paraId="2E401A0A" w14:textId="77777777" w:rsidR="00B60BE5" w:rsidRDefault="00B60BE5">
            <w:pPr>
              <w:spacing w:after="0" w:line="240" w:lineRule="auto"/>
              <w:rPr>
                <w:rFonts w:ascii="Times New Roman" w:hAnsi="Times New Roman" w:cs="Times New Roman"/>
                <w:sz w:val="24"/>
                <w:szCs w:val="24"/>
              </w:rPr>
            </w:pPr>
          </w:p>
        </w:tc>
        <w:tc>
          <w:tcPr>
            <w:tcW w:w="851" w:type="dxa"/>
          </w:tcPr>
          <w:p w14:paraId="6C33C1F4" w14:textId="77777777" w:rsidR="00B60BE5" w:rsidRDefault="00B60BE5">
            <w:pPr>
              <w:spacing w:after="0" w:line="240" w:lineRule="auto"/>
              <w:rPr>
                <w:rFonts w:ascii="Times New Roman" w:hAnsi="Times New Roman" w:cs="Times New Roman"/>
                <w:sz w:val="24"/>
                <w:szCs w:val="24"/>
              </w:rPr>
            </w:pPr>
          </w:p>
        </w:tc>
        <w:tc>
          <w:tcPr>
            <w:tcW w:w="850" w:type="dxa"/>
          </w:tcPr>
          <w:p w14:paraId="18A4A30E" w14:textId="77777777" w:rsidR="00B60BE5" w:rsidRDefault="00B60BE5">
            <w:pPr>
              <w:spacing w:after="0" w:line="240" w:lineRule="auto"/>
              <w:rPr>
                <w:rFonts w:ascii="Times New Roman" w:hAnsi="Times New Roman" w:cs="Times New Roman"/>
                <w:sz w:val="24"/>
                <w:szCs w:val="24"/>
              </w:rPr>
            </w:pPr>
          </w:p>
        </w:tc>
        <w:tc>
          <w:tcPr>
            <w:tcW w:w="851" w:type="dxa"/>
          </w:tcPr>
          <w:p w14:paraId="7F101BD6" w14:textId="77777777" w:rsidR="00B60BE5" w:rsidRDefault="00B60BE5">
            <w:pPr>
              <w:spacing w:after="0" w:line="240" w:lineRule="auto"/>
              <w:rPr>
                <w:rFonts w:ascii="Times New Roman" w:hAnsi="Times New Roman" w:cs="Times New Roman"/>
                <w:sz w:val="24"/>
                <w:szCs w:val="24"/>
              </w:rPr>
            </w:pPr>
          </w:p>
        </w:tc>
        <w:tc>
          <w:tcPr>
            <w:tcW w:w="861" w:type="dxa"/>
          </w:tcPr>
          <w:p w14:paraId="2808D316" w14:textId="77777777" w:rsidR="00B60BE5" w:rsidRDefault="00B60BE5">
            <w:pPr>
              <w:spacing w:after="0" w:line="240" w:lineRule="auto"/>
              <w:rPr>
                <w:rFonts w:ascii="Times New Roman" w:hAnsi="Times New Roman" w:cs="Times New Roman"/>
                <w:sz w:val="24"/>
                <w:szCs w:val="24"/>
              </w:rPr>
            </w:pPr>
          </w:p>
        </w:tc>
        <w:tc>
          <w:tcPr>
            <w:tcW w:w="688" w:type="dxa"/>
          </w:tcPr>
          <w:p w14:paraId="7596ADA8" w14:textId="77777777" w:rsidR="00B60BE5" w:rsidRDefault="00B60BE5">
            <w:pPr>
              <w:spacing w:after="0" w:line="240" w:lineRule="auto"/>
              <w:rPr>
                <w:rFonts w:ascii="Times New Roman" w:hAnsi="Times New Roman" w:cs="Times New Roman"/>
                <w:sz w:val="24"/>
                <w:szCs w:val="24"/>
              </w:rPr>
            </w:pPr>
          </w:p>
        </w:tc>
        <w:tc>
          <w:tcPr>
            <w:tcW w:w="919" w:type="dxa"/>
          </w:tcPr>
          <w:p w14:paraId="30910EDA" w14:textId="77777777" w:rsidR="00B60BE5" w:rsidRDefault="00B60BE5">
            <w:pPr>
              <w:spacing w:after="0" w:line="240" w:lineRule="auto"/>
              <w:rPr>
                <w:rFonts w:ascii="Times New Roman" w:hAnsi="Times New Roman" w:cs="Times New Roman"/>
                <w:sz w:val="24"/>
                <w:szCs w:val="24"/>
              </w:rPr>
            </w:pPr>
          </w:p>
        </w:tc>
      </w:tr>
      <w:tr w:rsidR="00B60BE5" w14:paraId="30BC035D" w14:textId="77777777">
        <w:trPr>
          <w:gridAfter w:val="1"/>
          <w:wAfter w:w="11" w:type="dxa"/>
          <w:trHeight w:val="710"/>
        </w:trPr>
        <w:tc>
          <w:tcPr>
            <w:tcW w:w="1986" w:type="dxa"/>
          </w:tcPr>
          <w:p w14:paraId="65B80F26"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Data Analysis</w:t>
            </w:r>
          </w:p>
        </w:tc>
        <w:tc>
          <w:tcPr>
            <w:tcW w:w="850" w:type="dxa"/>
          </w:tcPr>
          <w:p w14:paraId="612A15DF" w14:textId="77777777" w:rsidR="00B60BE5" w:rsidRDefault="00B60BE5">
            <w:pPr>
              <w:spacing w:after="0" w:line="240" w:lineRule="auto"/>
              <w:rPr>
                <w:rFonts w:ascii="Times New Roman" w:hAnsi="Times New Roman" w:cs="Times New Roman"/>
                <w:sz w:val="24"/>
                <w:szCs w:val="24"/>
              </w:rPr>
            </w:pPr>
          </w:p>
        </w:tc>
        <w:tc>
          <w:tcPr>
            <w:tcW w:w="709" w:type="dxa"/>
          </w:tcPr>
          <w:p w14:paraId="2695E986" w14:textId="77777777" w:rsidR="00B60BE5" w:rsidRDefault="00B60BE5">
            <w:pPr>
              <w:spacing w:after="0" w:line="240" w:lineRule="auto"/>
              <w:rPr>
                <w:rFonts w:ascii="Times New Roman" w:hAnsi="Times New Roman" w:cs="Times New Roman"/>
                <w:sz w:val="24"/>
                <w:szCs w:val="24"/>
              </w:rPr>
            </w:pPr>
          </w:p>
        </w:tc>
        <w:tc>
          <w:tcPr>
            <w:tcW w:w="709" w:type="dxa"/>
            <w:shd w:val="clear" w:color="auto" w:fill="000000"/>
          </w:tcPr>
          <w:p w14:paraId="602C8787" w14:textId="77777777" w:rsidR="00B60BE5" w:rsidRDefault="00B60BE5">
            <w:pPr>
              <w:spacing w:after="0" w:line="240" w:lineRule="auto"/>
              <w:rPr>
                <w:rFonts w:ascii="Times New Roman" w:hAnsi="Times New Roman" w:cs="Times New Roman"/>
                <w:sz w:val="24"/>
                <w:szCs w:val="24"/>
              </w:rPr>
            </w:pPr>
          </w:p>
        </w:tc>
        <w:tc>
          <w:tcPr>
            <w:tcW w:w="850" w:type="dxa"/>
          </w:tcPr>
          <w:p w14:paraId="27583BAF" w14:textId="77777777" w:rsidR="00B60BE5" w:rsidRDefault="00B60BE5">
            <w:pPr>
              <w:spacing w:after="0" w:line="240" w:lineRule="auto"/>
              <w:rPr>
                <w:rFonts w:ascii="Times New Roman" w:hAnsi="Times New Roman" w:cs="Times New Roman"/>
                <w:sz w:val="24"/>
                <w:szCs w:val="24"/>
              </w:rPr>
            </w:pPr>
          </w:p>
        </w:tc>
        <w:tc>
          <w:tcPr>
            <w:tcW w:w="851" w:type="dxa"/>
          </w:tcPr>
          <w:p w14:paraId="7EF662CA" w14:textId="77777777" w:rsidR="00B60BE5" w:rsidRDefault="00B60BE5">
            <w:pPr>
              <w:spacing w:after="0" w:line="240" w:lineRule="auto"/>
              <w:rPr>
                <w:rFonts w:ascii="Times New Roman" w:hAnsi="Times New Roman" w:cs="Times New Roman"/>
                <w:sz w:val="24"/>
                <w:szCs w:val="24"/>
              </w:rPr>
            </w:pPr>
          </w:p>
        </w:tc>
        <w:tc>
          <w:tcPr>
            <w:tcW w:w="850" w:type="dxa"/>
          </w:tcPr>
          <w:p w14:paraId="4D38E4C1" w14:textId="77777777" w:rsidR="00B60BE5" w:rsidRDefault="00B60BE5">
            <w:pPr>
              <w:spacing w:after="0" w:line="240" w:lineRule="auto"/>
              <w:rPr>
                <w:rFonts w:ascii="Times New Roman" w:hAnsi="Times New Roman" w:cs="Times New Roman"/>
                <w:sz w:val="24"/>
                <w:szCs w:val="24"/>
              </w:rPr>
            </w:pPr>
          </w:p>
        </w:tc>
        <w:tc>
          <w:tcPr>
            <w:tcW w:w="851" w:type="dxa"/>
          </w:tcPr>
          <w:p w14:paraId="1AACA63E" w14:textId="77777777" w:rsidR="00B60BE5" w:rsidRDefault="00B60BE5">
            <w:pPr>
              <w:spacing w:after="0" w:line="240" w:lineRule="auto"/>
              <w:rPr>
                <w:rFonts w:ascii="Times New Roman" w:hAnsi="Times New Roman" w:cs="Times New Roman"/>
                <w:sz w:val="24"/>
                <w:szCs w:val="24"/>
              </w:rPr>
            </w:pPr>
          </w:p>
        </w:tc>
        <w:tc>
          <w:tcPr>
            <w:tcW w:w="861" w:type="dxa"/>
          </w:tcPr>
          <w:p w14:paraId="6C72621A" w14:textId="77777777" w:rsidR="00B60BE5" w:rsidRDefault="00B60BE5">
            <w:pPr>
              <w:spacing w:after="0" w:line="240" w:lineRule="auto"/>
              <w:rPr>
                <w:rFonts w:ascii="Times New Roman" w:hAnsi="Times New Roman" w:cs="Times New Roman"/>
                <w:sz w:val="24"/>
                <w:szCs w:val="24"/>
              </w:rPr>
            </w:pPr>
          </w:p>
        </w:tc>
        <w:tc>
          <w:tcPr>
            <w:tcW w:w="688" w:type="dxa"/>
          </w:tcPr>
          <w:p w14:paraId="7B2A6784" w14:textId="77777777" w:rsidR="00B60BE5" w:rsidRDefault="00B60BE5">
            <w:pPr>
              <w:spacing w:after="0" w:line="240" w:lineRule="auto"/>
              <w:rPr>
                <w:rFonts w:ascii="Times New Roman" w:hAnsi="Times New Roman" w:cs="Times New Roman"/>
                <w:sz w:val="24"/>
                <w:szCs w:val="24"/>
              </w:rPr>
            </w:pPr>
          </w:p>
        </w:tc>
        <w:tc>
          <w:tcPr>
            <w:tcW w:w="919" w:type="dxa"/>
          </w:tcPr>
          <w:p w14:paraId="24D23EB2" w14:textId="77777777" w:rsidR="00B60BE5" w:rsidRDefault="00B60BE5">
            <w:pPr>
              <w:spacing w:after="0" w:line="240" w:lineRule="auto"/>
              <w:rPr>
                <w:rFonts w:ascii="Times New Roman" w:hAnsi="Times New Roman" w:cs="Times New Roman"/>
                <w:sz w:val="24"/>
                <w:szCs w:val="24"/>
              </w:rPr>
            </w:pPr>
          </w:p>
        </w:tc>
      </w:tr>
      <w:tr w:rsidR="00B60BE5" w14:paraId="17330C35" w14:textId="77777777">
        <w:trPr>
          <w:gridAfter w:val="1"/>
          <w:wAfter w:w="11" w:type="dxa"/>
          <w:trHeight w:val="834"/>
        </w:trPr>
        <w:tc>
          <w:tcPr>
            <w:tcW w:w="1986" w:type="dxa"/>
          </w:tcPr>
          <w:p w14:paraId="37D9D250"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Report writing</w:t>
            </w:r>
          </w:p>
        </w:tc>
        <w:tc>
          <w:tcPr>
            <w:tcW w:w="850" w:type="dxa"/>
          </w:tcPr>
          <w:p w14:paraId="3A662480" w14:textId="77777777" w:rsidR="00B60BE5" w:rsidRDefault="00B60BE5">
            <w:pPr>
              <w:spacing w:after="0" w:line="240" w:lineRule="auto"/>
              <w:rPr>
                <w:rFonts w:ascii="Times New Roman" w:hAnsi="Times New Roman" w:cs="Times New Roman"/>
                <w:sz w:val="24"/>
                <w:szCs w:val="24"/>
              </w:rPr>
            </w:pPr>
          </w:p>
        </w:tc>
        <w:tc>
          <w:tcPr>
            <w:tcW w:w="709" w:type="dxa"/>
          </w:tcPr>
          <w:p w14:paraId="7B930961" w14:textId="77777777" w:rsidR="00B60BE5" w:rsidRDefault="00B60BE5">
            <w:pPr>
              <w:spacing w:after="0" w:line="240" w:lineRule="auto"/>
              <w:rPr>
                <w:rFonts w:ascii="Times New Roman" w:hAnsi="Times New Roman" w:cs="Times New Roman"/>
                <w:sz w:val="24"/>
                <w:szCs w:val="24"/>
              </w:rPr>
            </w:pPr>
          </w:p>
        </w:tc>
        <w:tc>
          <w:tcPr>
            <w:tcW w:w="709" w:type="dxa"/>
          </w:tcPr>
          <w:p w14:paraId="52DBC7FF" w14:textId="77777777" w:rsidR="00B60BE5" w:rsidRDefault="00B60BE5">
            <w:pPr>
              <w:spacing w:after="0" w:line="240" w:lineRule="auto"/>
              <w:rPr>
                <w:rFonts w:ascii="Times New Roman" w:hAnsi="Times New Roman" w:cs="Times New Roman"/>
                <w:sz w:val="24"/>
                <w:szCs w:val="24"/>
              </w:rPr>
            </w:pPr>
          </w:p>
        </w:tc>
        <w:tc>
          <w:tcPr>
            <w:tcW w:w="850" w:type="dxa"/>
            <w:shd w:val="clear" w:color="auto" w:fill="000000"/>
          </w:tcPr>
          <w:p w14:paraId="549461EB" w14:textId="77777777" w:rsidR="00B60BE5" w:rsidRDefault="00B60BE5">
            <w:pPr>
              <w:spacing w:after="0" w:line="240" w:lineRule="auto"/>
              <w:rPr>
                <w:rFonts w:ascii="Times New Roman" w:hAnsi="Times New Roman" w:cs="Times New Roman"/>
                <w:sz w:val="24"/>
                <w:szCs w:val="24"/>
              </w:rPr>
            </w:pPr>
          </w:p>
        </w:tc>
        <w:tc>
          <w:tcPr>
            <w:tcW w:w="851" w:type="dxa"/>
          </w:tcPr>
          <w:p w14:paraId="5B7D5DDE" w14:textId="77777777" w:rsidR="00B60BE5" w:rsidRDefault="00B60BE5">
            <w:pPr>
              <w:spacing w:after="0" w:line="240" w:lineRule="auto"/>
              <w:rPr>
                <w:rFonts w:ascii="Times New Roman" w:hAnsi="Times New Roman" w:cs="Times New Roman"/>
                <w:sz w:val="24"/>
                <w:szCs w:val="24"/>
              </w:rPr>
            </w:pPr>
          </w:p>
        </w:tc>
        <w:tc>
          <w:tcPr>
            <w:tcW w:w="850" w:type="dxa"/>
          </w:tcPr>
          <w:p w14:paraId="73870442" w14:textId="77777777" w:rsidR="00B60BE5" w:rsidRDefault="00B60BE5">
            <w:pPr>
              <w:spacing w:after="0" w:line="240" w:lineRule="auto"/>
              <w:rPr>
                <w:rFonts w:ascii="Times New Roman" w:hAnsi="Times New Roman" w:cs="Times New Roman"/>
                <w:sz w:val="24"/>
                <w:szCs w:val="24"/>
              </w:rPr>
            </w:pPr>
          </w:p>
        </w:tc>
        <w:tc>
          <w:tcPr>
            <w:tcW w:w="851" w:type="dxa"/>
          </w:tcPr>
          <w:p w14:paraId="1DBB466C" w14:textId="77777777" w:rsidR="00B60BE5" w:rsidRDefault="00B60BE5">
            <w:pPr>
              <w:spacing w:after="0" w:line="240" w:lineRule="auto"/>
              <w:rPr>
                <w:rFonts w:ascii="Times New Roman" w:hAnsi="Times New Roman" w:cs="Times New Roman"/>
                <w:sz w:val="24"/>
                <w:szCs w:val="24"/>
              </w:rPr>
            </w:pPr>
          </w:p>
        </w:tc>
        <w:tc>
          <w:tcPr>
            <w:tcW w:w="861" w:type="dxa"/>
          </w:tcPr>
          <w:p w14:paraId="34896D2F" w14:textId="77777777" w:rsidR="00B60BE5" w:rsidRDefault="00B60BE5">
            <w:pPr>
              <w:spacing w:after="0" w:line="240" w:lineRule="auto"/>
              <w:rPr>
                <w:rFonts w:ascii="Times New Roman" w:hAnsi="Times New Roman" w:cs="Times New Roman"/>
                <w:sz w:val="24"/>
                <w:szCs w:val="24"/>
              </w:rPr>
            </w:pPr>
          </w:p>
        </w:tc>
        <w:tc>
          <w:tcPr>
            <w:tcW w:w="688" w:type="dxa"/>
          </w:tcPr>
          <w:p w14:paraId="172E76A6" w14:textId="77777777" w:rsidR="00B60BE5" w:rsidRDefault="00B60BE5">
            <w:pPr>
              <w:spacing w:after="0" w:line="240" w:lineRule="auto"/>
              <w:rPr>
                <w:rFonts w:ascii="Times New Roman" w:hAnsi="Times New Roman" w:cs="Times New Roman"/>
                <w:sz w:val="24"/>
                <w:szCs w:val="24"/>
              </w:rPr>
            </w:pPr>
          </w:p>
        </w:tc>
        <w:tc>
          <w:tcPr>
            <w:tcW w:w="919" w:type="dxa"/>
          </w:tcPr>
          <w:p w14:paraId="6C8A7839" w14:textId="77777777" w:rsidR="00B60BE5" w:rsidRDefault="00B60BE5">
            <w:pPr>
              <w:spacing w:after="0" w:line="240" w:lineRule="auto"/>
              <w:rPr>
                <w:rFonts w:ascii="Times New Roman" w:hAnsi="Times New Roman" w:cs="Times New Roman"/>
                <w:sz w:val="24"/>
                <w:szCs w:val="24"/>
              </w:rPr>
            </w:pPr>
          </w:p>
        </w:tc>
      </w:tr>
      <w:tr w:rsidR="00B60BE5" w14:paraId="21463508" w14:textId="77777777">
        <w:trPr>
          <w:gridAfter w:val="1"/>
          <w:wAfter w:w="11" w:type="dxa"/>
          <w:trHeight w:val="704"/>
        </w:trPr>
        <w:tc>
          <w:tcPr>
            <w:tcW w:w="1986" w:type="dxa"/>
          </w:tcPr>
          <w:p w14:paraId="1C681D81"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Project Submission</w:t>
            </w:r>
          </w:p>
        </w:tc>
        <w:tc>
          <w:tcPr>
            <w:tcW w:w="850" w:type="dxa"/>
          </w:tcPr>
          <w:p w14:paraId="6140A5F1" w14:textId="77777777" w:rsidR="00B60BE5" w:rsidRDefault="00B60BE5">
            <w:pPr>
              <w:spacing w:after="0" w:line="240" w:lineRule="auto"/>
              <w:rPr>
                <w:rFonts w:ascii="Times New Roman" w:hAnsi="Times New Roman" w:cs="Times New Roman"/>
                <w:sz w:val="24"/>
                <w:szCs w:val="24"/>
              </w:rPr>
            </w:pPr>
          </w:p>
        </w:tc>
        <w:tc>
          <w:tcPr>
            <w:tcW w:w="709" w:type="dxa"/>
          </w:tcPr>
          <w:p w14:paraId="082B04B7" w14:textId="77777777" w:rsidR="00B60BE5" w:rsidRDefault="00B60BE5">
            <w:pPr>
              <w:spacing w:after="0" w:line="240" w:lineRule="auto"/>
              <w:rPr>
                <w:rFonts w:ascii="Times New Roman" w:hAnsi="Times New Roman" w:cs="Times New Roman"/>
                <w:sz w:val="24"/>
                <w:szCs w:val="24"/>
              </w:rPr>
            </w:pPr>
          </w:p>
        </w:tc>
        <w:tc>
          <w:tcPr>
            <w:tcW w:w="709" w:type="dxa"/>
          </w:tcPr>
          <w:p w14:paraId="7560A51D" w14:textId="77777777" w:rsidR="00B60BE5" w:rsidRDefault="00B60BE5">
            <w:pPr>
              <w:spacing w:after="0" w:line="240" w:lineRule="auto"/>
              <w:rPr>
                <w:rFonts w:ascii="Times New Roman" w:hAnsi="Times New Roman" w:cs="Times New Roman"/>
                <w:sz w:val="24"/>
                <w:szCs w:val="24"/>
              </w:rPr>
            </w:pPr>
          </w:p>
        </w:tc>
        <w:tc>
          <w:tcPr>
            <w:tcW w:w="850" w:type="dxa"/>
          </w:tcPr>
          <w:p w14:paraId="17AB3210" w14:textId="77777777" w:rsidR="00B60BE5" w:rsidRDefault="00B60BE5">
            <w:pPr>
              <w:spacing w:after="0" w:line="240" w:lineRule="auto"/>
              <w:rPr>
                <w:rFonts w:ascii="Times New Roman" w:hAnsi="Times New Roman" w:cs="Times New Roman"/>
                <w:sz w:val="24"/>
                <w:szCs w:val="24"/>
              </w:rPr>
            </w:pPr>
          </w:p>
        </w:tc>
        <w:tc>
          <w:tcPr>
            <w:tcW w:w="851" w:type="dxa"/>
            <w:shd w:val="clear" w:color="auto" w:fill="000000"/>
          </w:tcPr>
          <w:p w14:paraId="1DAC5247" w14:textId="77777777" w:rsidR="00B60BE5" w:rsidRDefault="00B60BE5">
            <w:pPr>
              <w:spacing w:after="0" w:line="240" w:lineRule="auto"/>
              <w:rPr>
                <w:rFonts w:ascii="Times New Roman" w:hAnsi="Times New Roman" w:cs="Times New Roman"/>
                <w:sz w:val="24"/>
                <w:szCs w:val="24"/>
              </w:rPr>
            </w:pPr>
          </w:p>
        </w:tc>
        <w:tc>
          <w:tcPr>
            <w:tcW w:w="850" w:type="dxa"/>
          </w:tcPr>
          <w:p w14:paraId="76DD25B0" w14:textId="77777777" w:rsidR="00B60BE5" w:rsidRDefault="00B60BE5">
            <w:pPr>
              <w:spacing w:after="0" w:line="240" w:lineRule="auto"/>
              <w:rPr>
                <w:rFonts w:ascii="Times New Roman" w:hAnsi="Times New Roman" w:cs="Times New Roman"/>
                <w:sz w:val="24"/>
                <w:szCs w:val="24"/>
              </w:rPr>
            </w:pPr>
          </w:p>
        </w:tc>
        <w:tc>
          <w:tcPr>
            <w:tcW w:w="851" w:type="dxa"/>
          </w:tcPr>
          <w:p w14:paraId="1CFBBE1C" w14:textId="77777777" w:rsidR="00B60BE5" w:rsidRDefault="00B60BE5">
            <w:pPr>
              <w:spacing w:after="0" w:line="240" w:lineRule="auto"/>
              <w:rPr>
                <w:rFonts w:ascii="Times New Roman" w:hAnsi="Times New Roman" w:cs="Times New Roman"/>
                <w:sz w:val="24"/>
                <w:szCs w:val="24"/>
              </w:rPr>
            </w:pPr>
          </w:p>
        </w:tc>
        <w:tc>
          <w:tcPr>
            <w:tcW w:w="861" w:type="dxa"/>
          </w:tcPr>
          <w:p w14:paraId="00B904AE" w14:textId="77777777" w:rsidR="00B60BE5" w:rsidRDefault="00B60BE5">
            <w:pPr>
              <w:spacing w:after="0" w:line="240" w:lineRule="auto"/>
              <w:rPr>
                <w:rFonts w:ascii="Times New Roman" w:hAnsi="Times New Roman" w:cs="Times New Roman"/>
                <w:sz w:val="24"/>
                <w:szCs w:val="24"/>
              </w:rPr>
            </w:pPr>
          </w:p>
        </w:tc>
        <w:tc>
          <w:tcPr>
            <w:tcW w:w="688" w:type="dxa"/>
          </w:tcPr>
          <w:p w14:paraId="54F525C8" w14:textId="77777777" w:rsidR="00B60BE5" w:rsidRDefault="00B60BE5">
            <w:pPr>
              <w:spacing w:after="0" w:line="240" w:lineRule="auto"/>
              <w:rPr>
                <w:rFonts w:ascii="Times New Roman" w:hAnsi="Times New Roman" w:cs="Times New Roman"/>
                <w:sz w:val="24"/>
                <w:szCs w:val="24"/>
              </w:rPr>
            </w:pPr>
          </w:p>
        </w:tc>
        <w:tc>
          <w:tcPr>
            <w:tcW w:w="919" w:type="dxa"/>
          </w:tcPr>
          <w:p w14:paraId="5BB747B1" w14:textId="77777777" w:rsidR="00B60BE5" w:rsidRDefault="00B60BE5">
            <w:pPr>
              <w:spacing w:after="0" w:line="240" w:lineRule="auto"/>
              <w:rPr>
                <w:rFonts w:ascii="Times New Roman" w:hAnsi="Times New Roman" w:cs="Times New Roman"/>
                <w:sz w:val="24"/>
                <w:szCs w:val="24"/>
              </w:rPr>
            </w:pPr>
          </w:p>
        </w:tc>
      </w:tr>
      <w:tr w:rsidR="00B60BE5" w14:paraId="1B4BB7D8" w14:textId="77777777">
        <w:trPr>
          <w:gridAfter w:val="1"/>
          <w:wAfter w:w="11" w:type="dxa"/>
          <w:trHeight w:val="700"/>
        </w:trPr>
        <w:tc>
          <w:tcPr>
            <w:tcW w:w="1986" w:type="dxa"/>
          </w:tcPr>
          <w:p w14:paraId="1D6D44AE"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Project </w:t>
            </w:r>
            <w:proofErr w:type="spellStart"/>
            <w:r>
              <w:rPr>
                <w:rFonts w:ascii="Times New Roman" w:hAnsi="Times New Roman" w:cs="Times New Roman"/>
                <w:sz w:val="24"/>
                <w:szCs w:val="24"/>
              </w:rPr>
              <w:t>Defense</w:t>
            </w:r>
            <w:proofErr w:type="spellEnd"/>
          </w:p>
        </w:tc>
        <w:tc>
          <w:tcPr>
            <w:tcW w:w="850" w:type="dxa"/>
          </w:tcPr>
          <w:p w14:paraId="03F099B6" w14:textId="77777777" w:rsidR="00B60BE5" w:rsidRDefault="00B60BE5">
            <w:pPr>
              <w:spacing w:after="0" w:line="240" w:lineRule="auto"/>
              <w:rPr>
                <w:rFonts w:ascii="Times New Roman" w:hAnsi="Times New Roman" w:cs="Times New Roman"/>
                <w:sz w:val="24"/>
                <w:szCs w:val="24"/>
              </w:rPr>
            </w:pPr>
          </w:p>
        </w:tc>
        <w:tc>
          <w:tcPr>
            <w:tcW w:w="709" w:type="dxa"/>
          </w:tcPr>
          <w:p w14:paraId="40458E12" w14:textId="77777777" w:rsidR="00B60BE5" w:rsidRDefault="00B60BE5">
            <w:pPr>
              <w:spacing w:after="0" w:line="240" w:lineRule="auto"/>
              <w:rPr>
                <w:rFonts w:ascii="Times New Roman" w:hAnsi="Times New Roman" w:cs="Times New Roman"/>
                <w:sz w:val="24"/>
                <w:szCs w:val="24"/>
              </w:rPr>
            </w:pPr>
          </w:p>
        </w:tc>
        <w:tc>
          <w:tcPr>
            <w:tcW w:w="709" w:type="dxa"/>
          </w:tcPr>
          <w:p w14:paraId="47680FCC" w14:textId="77777777" w:rsidR="00B60BE5" w:rsidRDefault="00B60BE5">
            <w:pPr>
              <w:spacing w:after="0" w:line="240" w:lineRule="auto"/>
              <w:rPr>
                <w:rFonts w:ascii="Times New Roman" w:hAnsi="Times New Roman" w:cs="Times New Roman"/>
                <w:sz w:val="24"/>
                <w:szCs w:val="24"/>
              </w:rPr>
            </w:pPr>
          </w:p>
        </w:tc>
        <w:tc>
          <w:tcPr>
            <w:tcW w:w="850" w:type="dxa"/>
          </w:tcPr>
          <w:p w14:paraId="7E32D4FB" w14:textId="77777777" w:rsidR="00B60BE5" w:rsidRDefault="00B60BE5">
            <w:pPr>
              <w:spacing w:after="0" w:line="240" w:lineRule="auto"/>
              <w:rPr>
                <w:rFonts w:ascii="Times New Roman" w:hAnsi="Times New Roman" w:cs="Times New Roman"/>
                <w:sz w:val="24"/>
                <w:szCs w:val="24"/>
              </w:rPr>
            </w:pPr>
          </w:p>
        </w:tc>
        <w:tc>
          <w:tcPr>
            <w:tcW w:w="851" w:type="dxa"/>
            <w:shd w:val="clear" w:color="auto" w:fill="000000"/>
          </w:tcPr>
          <w:p w14:paraId="7F219325" w14:textId="77777777" w:rsidR="00B60BE5" w:rsidRDefault="00B60BE5">
            <w:pPr>
              <w:spacing w:after="0" w:line="240" w:lineRule="auto"/>
              <w:rPr>
                <w:rFonts w:ascii="Times New Roman" w:hAnsi="Times New Roman" w:cs="Times New Roman"/>
                <w:sz w:val="24"/>
                <w:szCs w:val="24"/>
              </w:rPr>
            </w:pPr>
          </w:p>
        </w:tc>
        <w:tc>
          <w:tcPr>
            <w:tcW w:w="850" w:type="dxa"/>
          </w:tcPr>
          <w:p w14:paraId="4616FD49" w14:textId="77777777" w:rsidR="00B60BE5" w:rsidRDefault="00B60BE5">
            <w:pPr>
              <w:spacing w:after="0" w:line="240" w:lineRule="auto"/>
              <w:rPr>
                <w:rFonts w:ascii="Times New Roman" w:hAnsi="Times New Roman" w:cs="Times New Roman"/>
                <w:sz w:val="24"/>
                <w:szCs w:val="24"/>
              </w:rPr>
            </w:pPr>
          </w:p>
        </w:tc>
        <w:tc>
          <w:tcPr>
            <w:tcW w:w="851" w:type="dxa"/>
          </w:tcPr>
          <w:p w14:paraId="7AFFA352" w14:textId="77777777" w:rsidR="00B60BE5" w:rsidRDefault="00B60BE5">
            <w:pPr>
              <w:spacing w:after="0" w:line="240" w:lineRule="auto"/>
              <w:rPr>
                <w:rFonts w:ascii="Times New Roman" w:hAnsi="Times New Roman" w:cs="Times New Roman"/>
                <w:sz w:val="24"/>
                <w:szCs w:val="24"/>
              </w:rPr>
            </w:pPr>
          </w:p>
        </w:tc>
        <w:tc>
          <w:tcPr>
            <w:tcW w:w="861" w:type="dxa"/>
          </w:tcPr>
          <w:p w14:paraId="3C297DC5" w14:textId="77777777" w:rsidR="00B60BE5" w:rsidRDefault="00B60BE5">
            <w:pPr>
              <w:spacing w:after="0" w:line="240" w:lineRule="auto"/>
              <w:rPr>
                <w:rFonts w:ascii="Times New Roman" w:hAnsi="Times New Roman" w:cs="Times New Roman"/>
                <w:sz w:val="24"/>
                <w:szCs w:val="24"/>
              </w:rPr>
            </w:pPr>
          </w:p>
        </w:tc>
        <w:tc>
          <w:tcPr>
            <w:tcW w:w="688" w:type="dxa"/>
          </w:tcPr>
          <w:p w14:paraId="1ECAC782" w14:textId="77777777" w:rsidR="00B60BE5" w:rsidRDefault="00B60BE5">
            <w:pPr>
              <w:spacing w:after="0" w:line="240" w:lineRule="auto"/>
              <w:rPr>
                <w:rFonts w:ascii="Times New Roman" w:hAnsi="Times New Roman" w:cs="Times New Roman"/>
                <w:sz w:val="24"/>
                <w:szCs w:val="24"/>
              </w:rPr>
            </w:pPr>
          </w:p>
        </w:tc>
        <w:tc>
          <w:tcPr>
            <w:tcW w:w="919" w:type="dxa"/>
          </w:tcPr>
          <w:p w14:paraId="64549101" w14:textId="77777777" w:rsidR="00B60BE5" w:rsidRDefault="00B60BE5">
            <w:pPr>
              <w:spacing w:after="0" w:line="240" w:lineRule="auto"/>
              <w:rPr>
                <w:rFonts w:ascii="Times New Roman" w:hAnsi="Times New Roman" w:cs="Times New Roman"/>
                <w:sz w:val="24"/>
                <w:szCs w:val="24"/>
              </w:rPr>
            </w:pPr>
          </w:p>
        </w:tc>
      </w:tr>
      <w:tr w:rsidR="00B60BE5" w14:paraId="087705E2" w14:textId="77777777">
        <w:trPr>
          <w:gridAfter w:val="1"/>
          <w:wAfter w:w="11" w:type="dxa"/>
          <w:trHeight w:val="838"/>
        </w:trPr>
        <w:tc>
          <w:tcPr>
            <w:tcW w:w="1986" w:type="dxa"/>
          </w:tcPr>
          <w:p w14:paraId="42D8A333"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External Examination</w:t>
            </w:r>
          </w:p>
        </w:tc>
        <w:tc>
          <w:tcPr>
            <w:tcW w:w="850" w:type="dxa"/>
          </w:tcPr>
          <w:p w14:paraId="0BF9AB2E" w14:textId="77777777" w:rsidR="00B60BE5" w:rsidRDefault="00B60BE5">
            <w:pPr>
              <w:spacing w:after="0" w:line="240" w:lineRule="auto"/>
              <w:rPr>
                <w:rFonts w:ascii="Times New Roman" w:hAnsi="Times New Roman" w:cs="Times New Roman"/>
                <w:sz w:val="24"/>
                <w:szCs w:val="24"/>
              </w:rPr>
            </w:pPr>
          </w:p>
        </w:tc>
        <w:tc>
          <w:tcPr>
            <w:tcW w:w="709" w:type="dxa"/>
          </w:tcPr>
          <w:p w14:paraId="0428BA6A" w14:textId="77777777" w:rsidR="00B60BE5" w:rsidRDefault="00B60BE5">
            <w:pPr>
              <w:spacing w:after="0" w:line="240" w:lineRule="auto"/>
              <w:rPr>
                <w:rFonts w:ascii="Times New Roman" w:hAnsi="Times New Roman" w:cs="Times New Roman"/>
                <w:sz w:val="24"/>
                <w:szCs w:val="24"/>
              </w:rPr>
            </w:pPr>
          </w:p>
        </w:tc>
        <w:tc>
          <w:tcPr>
            <w:tcW w:w="709" w:type="dxa"/>
          </w:tcPr>
          <w:p w14:paraId="2984188D" w14:textId="77777777" w:rsidR="00B60BE5" w:rsidRDefault="00B60BE5">
            <w:pPr>
              <w:spacing w:after="0" w:line="240" w:lineRule="auto"/>
              <w:rPr>
                <w:rFonts w:ascii="Times New Roman" w:hAnsi="Times New Roman" w:cs="Times New Roman"/>
                <w:sz w:val="24"/>
                <w:szCs w:val="24"/>
              </w:rPr>
            </w:pPr>
          </w:p>
        </w:tc>
        <w:tc>
          <w:tcPr>
            <w:tcW w:w="850" w:type="dxa"/>
          </w:tcPr>
          <w:p w14:paraId="4BAE9ADC" w14:textId="77777777" w:rsidR="00B60BE5" w:rsidRDefault="00B60BE5">
            <w:pPr>
              <w:spacing w:after="0" w:line="240" w:lineRule="auto"/>
              <w:rPr>
                <w:rFonts w:ascii="Times New Roman" w:hAnsi="Times New Roman" w:cs="Times New Roman"/>
                <w:sz w:val="24"/>
                <w:szCs w:val="24"/>
              </w:rPr>
            </w:pPr>
          </w:p>
        </w:tc>
        <w:tc>
          <w:tcPr>
            <w:tcW w:w="851" w:type="dxa"/>
          </w:tcPr>
          <w:p w14:paraId="0477C843" w14:textId="77777777" w:rsidR="00B60BE5" w:rsidRDefault="00B60BE5">
            <w:pPr>
              <w:spacing w:after="0" w:line="240" w:lineRule="auto"/>
              <w:rPr>
                <w:rFonts w:ascii="Times New Roman" w:hAnsi="Times New Roman" w:cs="Times New Roman"/>
                <w:sz w:val="24"/>
                <w:szCs w:val="24"/>
              </w:rPr>
            </w:pPr>
          </w:p>
        </w:tc>
        <w:tc>
          <w:tcPr>
            <w:tcW w:w="850" w:type="dxa"/>
            <w:shd w:val="clear" w:color="auto" w:fill="000000"/>
          </w:tcPr>
          <w:p w14:paraId="024A59C2" w14:textId="77777777" w:rsidR="00B60BE5" w:rsidRDefault="00B60BE5">
            <w:pPr>
              <w:spacing w:after="0" w:line="240" w:lineRule="auto"/>
              <w:rPr>
                <w:rFonts w:ascii="Times New Roman" w:hAnsi="Times New Roman" w:cs="Times New Roman"/>
                <w:sz w:val="24"/>
                <w:szCs w:val="24"/>
              </w:rPr>
            </w:pPr>
          </w:p>
        </w:tc>
        <w:tc>
          <w:tcPr>
            <w:tcW w:w="851" w:type="dxa"/>
            <w:shd w:val="clear" w:color="auto" w:fill="000000"/>
          </w:tcPr>
          <w:p w14:paraId="7962096A" w14:textId="77777777" w:rsidR="00B60BE5" w:rsidRDefault="00B60BE5">
            <w:pPr>
              <w:spacing w:after="0" w:line="240" w:lineRule="auto"/>
              <w:rPr>
                <w:rFonts w:ascii="Times New Roman" w:hAnsi="Times New Roman" w:cs="Times New Roman"/>
                <w:sz w:val="24"/>
                <w:szCs w:val="24"/>
              </w:rPr>
            </w:pPr>
          </w:p>
        </w:tc>
        <w:tc>
          <w:tcPr>
            <w:tcW w:w="861" w:type="dxa"/>
          </w:tcPr>
          <w:p w14:paraId="41103294" w14:textId="77777777" w:rsidR="00B60BE5" w:rsidRDefault="00B60BE5">
            <w:pPr>
              <w:spacing w:after="0" w:line="240" w:lineRule="auto"/>
              <w:rPr>
                <w:rFonts w:ascii="Times New Roman" w:hAnsi="Times New Roman" w:cs="Times New Roman"/>
                <w:sz w:val="24"/>
                <w:szCs w:val="24"/>
              </w:rPr>
            </w:pPr>
          </w:p>
        </w:tc>
        <w:tc>
          <w:tcPr>
            <w:tcW w:w="688" w:type="dxa"/>
          </w:tcPr>
          <w:p w14:paraId="2571271E" w14:textId="77777777" w:rsidR="00B60BE5" w:rsidRDefault="00B60BE5">
            <w:pPr>
              <w:spacing w:after="0" w:line="240" w:lineRule="auto"/>
              <w:rPr>
                <w:rFonts w:ascii="Times New Roman" w:hAnsi="Times New Roman" w:cs="Times New Roman"/>
                <w:sz w:val="24"/>
                <w:szCs w:val="24"/>
              </w:rPr>
            </w:pPr>
          </w:p>
        </w:tc>
        <w:tc>
          <w:tcPr>
            <w:tcW w:w="919" w:type="dxa"/>
          </w:tcPr>
          <w:p w14:paraId="00F66B17" w14:textId="77777777" w:rsidR="00B60BE5" w:rsidRDefault="00B60BE5">
            <w:pPr>
              <w:spacing w:after="0" w:line="240" w:lineRule="auto"/>
              <w:rPr>
                <w:rFonts w:ascii="Times New Roman" w:hAnsi="Times New Roman" w:cs="Times New Roman"/>
                <w:sz w:val="24"/>
                <w:szCs w:val="24"/>
              </w:rPr>
            </w:pPr>
          </w:p>
        </w:tc>
      </w:tr>
      <w:tr w:rsidR="00B60BE5" w14:paraId="0302820B" w14:textId="77777777">
        <w:trPr>
          <w:gridAfter w:val="1"/>
          <w:wAfter w:w="11" w:type="dxa"/>
          <w:trHeight w:val="1007"/>
        </w:trPr>
        <w:tc>
          <w:tcPr>
            <w:tcW w:w="1986" w:type="dxa"/>
          </w:tcPr>
          <w:p w14:paraId="59296F3D"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Final </w:t>
            </w:r>
            <w:proofErr w:type="spellStart"/>
            <w:r>
              <w:rPr>
                <w:rFonts w:ascii="Times New Roman" w:hAnsi="Times New Roman" w:cs="Times New Roman"/>
                <w:sz w:val="24"/>
                <w:szCs w:val="24"/>
              </w:rPr>
              <w:t>Defense</w:t>
            </w:r>
            <w:proofErr w:type="spellEnd"/>
            <w:r>
              <w:rPr>
                <w:rFonts w:ascii="Times New Roman" w:hAnsi="Times New Roman" w:cs="Times New Roman"/>
                <w:sz w:val="24"/>
                <w:szCs w:val="24"/>
              </w:rPr>
              <w:t xml:space="preserve"> (DPS)</w:t>
            </w:r>
          </w:p>
        </w:tc>
        <w:tc>
          <w:tcPr>
            <w:tcW w:w="850" w:type="dxa"/>
          </w:tcPr>
          <w:p w14:paraId="259D6F16" w14:textId="77777777" w:rsidR="00B60BE5" w:rsidRDefault="00B60BE5">
            <w:pPr>
              <w:spacing w:after="0" w:line="240" w:lineRule="auto"/>
              <w:rPr>
                <w:rFonts w:ascii="Times New Roman" w:hAnsi="Times New Roman" w:cs="Times New Roman"/>
                <w:sz w:val="24"/>
                <w:szCs w:val="24"/>
              </w:rPr>
            </w:pPr>
          </w:p>
        </w:tc>
        <w:tc>
          <w:tcPr>
            <w:tcW w:w="709" w:type="dxa"/>
          </w:tcPr>
          <w:p w14:paraId="23BB5AC9" w14:textId="77777777" w:rsidR="00B60BE5" w:rsidRDefault="00B60BE5">
            <w:pPr>
              <w:spacing w:after="0" w:line="240" w:lineRule="auto"/>
              <w:rPr>
                <w:rFonts w:ascii="Times New Roman" w:hAnsi="Times New Roman" w:cs="Times New Roman"/>
                <w:sz w:val="24"/>
                <w:szCs w:val="24"/>
              </w:rPr>
            </w:pPr>
          </w:p>
        </w:tc>
        <w:tc>
          <w:tcPr>
            <w:tcW w:w="709" w:type="dxa"/>
          </w:tcPr>
          <w:p w14:paraId="6596A8E9" w14:textId="77777777" w:rsidR="00B60BE5" w:rsidRDefault="00B60BE5">
            <w:pPr>
              <w:spacing w:after="0" w:line="240" w:lineRule="auto"/>
              <w:rPr>
                <w:rFonts w:ascii="Times New Roman" w:hAnsi="Times New Roman" w:cs="Times New Roman"/>
                <w:sz w:val="24"/>
                <w:szCs w:val="24"/>
              </w:rPr>
            </w:pPr>
          </w:p>
        </w:tc>
        <w:tc>
          <w:tcPr>
            <w:tcW w:w="850" w:type="dxa"/>
          </w:tcPr>
          <w:p w14:paraId="5FDACEF4" w14:textId="77777777" w:rsidR="00B60BE5" w:rsidRDefault="00B60BE5">
            <w:pPr>
              <w:spacing w:after="0" w:line="240" w:lineRule="auto"/>
              <w:rPr>
                <w:rFonts w:ascii="Times New Roman" w:hAnsi="Times New Roman" w:cs="Times New Roman"/>
                <w:sz w:val="24"/>
                <w:szCs w:val="24"/>
              </w:rPr>
            </w:pPr>
          </w:p>
        </w:tc>
        <w:tc>
          <w:tcPr>
            <w:tcW w:w="851" w:type="dxa"/>
          </w:tcPr>
          <w:p w14:paraId="68425E73" w14:textId="77777777" w:rsidR="00B60BE5" w:rsidRDefault="00B60BE5">
            <w:pPr>
              <w:spacing w:after="0" w:line="240" w:lineRule="auto"/>
              <w:rPr>
                <w:rFonts w:ascii="Times New Roman" w:hAnsi="Times New Roman" w:cs="Times New Roman"/>
                <w:sz w:val="24"/>
                <w:szCs w:val="24"/>
              </w:rPr>
            </w:pPr>
          </w:p>
        </w:tc>
        <w:tc>
          <w:tcPr>
            <w:tcW w:w="850" w:type="dxa"/>
          </w:tcPr>
          <w:p w14:paraId="552E4CA0" w14:textId="77777777" w:rsidR="00B60BE5" w:rsidRDefault="00B60BE5">
            <w:pPr>
              <w:spacing w:after="0" w:line="240" w:lineRule="auto"/>
              <w:rPr>
                <w:rFonts w:ascii="Times New Roman" w:hAnsi="Times New Roman" w:cs="Times New Roman"/>
                <w:sz w:val="24"/>
                <w:szCs w:val="24"/>
              </w:rPr>
            </w:pPr>
          </w:p>
        </w:tc>
        <w:tc>
          <w:tcPr>
            <w:tcW w:w="851" w:type="dxa"/>
          </w:tcPr>
          <w:p w14:paraId="6C3E70B6" w14:textId="77777777" w:rsidR="00B60BE5" w:rsidRDefault="00B60BE5">
            <w:pPr>
              <w:spacing w:after="0" w:line="240" w:lineRule="auto"/>
              <w:rPr>
                <w:rFonts w:ascii="Times New Roman" w:hAnsi="Times New Roman" w:cs="Times New Roman"/>
                <w:sz w:val="24"/>
                <w:szCs w:val="24"/>
              </w:rPr>
            </w:pPr>
          </w:p>
        </w:tc>
        <w:tc>
          <w:tcPr>
            <w:tcW w:w="861" w:type="dxa"/>
            <w:shd w:val="clear" w:color="auto" w:fill="000000"/>
          </w:tcPr>
          <w:p w14:paraId="3276E71C" w14:textId="77777777" w:rsidR="00B60BE5" w:rsidRDefault="00B60BE5">
            <w:pPr>
              <w:spacing w:after="0" w:line="240" w:lineRule="auto"/>
              <w:rPr>
                <w:rFonts w:ascii="Times New Roman" w:hAnsi="Times New Roman" w:cs="Times New Roman"/>
                <w:sz w:val="24"/>
                <w:szCs w:val="24"/>
              </w:rPr>
            </w:pPr>
          </w:p>
        </w:tc>
        <w:tc>
          <w:tcPr>
            <w:tcW w:w="688" w:type="dxa"/>
          </w:tcPr>
          <w:p w14:paraId="168CF3B8" w14:textId="77777777" w:rsidR="00B60BE5" w:rsidRDefault="00B60BE5">
            <w:pPr>
              <w:spacing w:after="0" w:line="240" w:lineRule="auto"/>
              <w:rPr>
                <w:rFonts w:ascii="Times New Roman" w:hAnsi="Times New Roman" w:cs="Times New Roman"/>
                <w:sz w:val="24"/>
                <w:szCs w:val="24"/>
              </w:rPr>
            </w:pPr>
          </w:p>
        </w:tc>
        <w:tc>
          <w:tcPr>
            <w:tcW w:w="919" w:type="dxa"/>
          </w:tcPr>
          <w:p w14:paraId="386E8574" w14:textId="77777777" w:rsidR="00B60BE5" w:rsidRDefault="00B60BE5">
            <w:pPr>
              <w:spacing w:after="0" w:line="240" w:lineRule="auto"/>
              <w:rPr>
                <w:rFonts w:ascii="Times New Roman" w:hAnsi="Times New Roman" w:cs="Times New Roman"/>
                <w:sz w:val="24"/>
                <w:szCs w:val="24"/>
              </w:rPr>
            </w:pPr>
          </w:p>
        </w:tc>
      </w:tr>
      <w:tr w:rsidR="00B60BE5" w14:paraId="5C596069" w14:textId="77777777">
        <w:trPr>
          <w:gridAfter w:val="1"/>
          <w:wAfter w:w="11" w:type="dxa"/>
          <w:trHeight w:val="1007"/>
        </w:trPr>
        <w:tc>
          <w:tcPr>
            <w:tcW w:w="1986" w:type="dxa"/>
          </w:tcPr>
          <w:p w14:paraId="12439DBD"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Final corrections</w:t>
            </w:r>
          </w:p>
        </w:tc>
        <w:tc>
          <w:tcPr>
            <w:tcW w:w="850" w:type="dxa"/>
          </w:tcPr>
          <w:p w14:paraId="470728EA" w14:textId="77777777" w:rsidR="00B60BE5" w:rsidRDefault="00B60BE5">
            <w:pPr>
              <w:spacing w:after="0" w:line="240" w:lineRule="auto"/>
              <w:rPr>
                <w:rFonts w:ascii="Times New Roman" w:hAnsi="Times New Roman" w:cs="Times New Roman"/>
                <w:sz w:val="24"/>
                <w:szCs w:val="24"/>
              </w:rPr>
            </w:pPr>
          </w:p>
        </w:tc>
        <w:tc>
          <w:tcPr>
            <w:tcW w:w="709" w:type="dxa"/>
          </w:tcPr>
          <w:p w14:paraId="78B96DE6" w14:textId="77777777" w:rsidR="00B60BE5" w:rsidRDefault="00B60BE5">
            <w:pPr>
              <w:spacing w:after="0" w:line="240" w:lineRule="auto"/>
              <w:rPr>
                <w:rFonts w:ascii="Times New Roman" w:hAnsi="Times New Roman" w:cs="Times New Roman"/>
                <w:sz w:val="24"/>
                <w:szCs w:val="24"/>
              </w:rPr>
            </w:pPr>
          </w:p>
        </w:tc>
        <w:tc>
          <w:tcPr>
            <w:tcW w:w="709" w:type="dxa"/>
          </w:tcPr>
          <w:p w14:paraId="7CBA0909" w14:textId="77777777" w:rsidR="00B60BE5" w:rsidRDefault="00B60BE5">
            <w:pPr>
              <w:spacing w:after="0" w:line="240" w:lineRule="auto"/>
              <w:rPr>
                <w:rFonts w:ascii="Times New Roman" w:hAnsi="Times New Roman" w:cs="Times New Roman"/>
                <w:sz w:val="24"/>
                <w:szCs w:val="24"/>
              </w:rPr>
            </w:pPr>
          </w:p>
        </w:tc>
        <w:tc>
          <w:tcPr>
            <w:tcW w:w="850" w:type="dxa"/>
          </w:tcPr>
          <w:p w14:paraId="07F9A179" w14:textId="77777777" w:rsidR="00B60BE5" w:rsidRDefault="00B60BE5">
            <w:pPr>
              <w:spacing w:after="0" w:line="240" w:lineRule="auto"/>
              <w:rPr>
                <w:rFonts w:ascii="Times New Roman" w:hAnsi="Times New Roman" w:cs="Times New Roman"/>
                <w:sz w:val="24"/>
                <w:szCs w:val="24"/>
              </w:rPr>
            </w:pPr>
          </w:p>
        </w:tc>
        <w:tc>
          <w:tcPr>
            <w:tcW w:w="851" w:type="dxa"/>
          </w:tcPr>
          <w:p w14:paraId="0EB45489" w14:textId="77777777" w:rsidR="00B60BE5" w:rsidRDefault="00B60BE5">
            <w:pPr>
              <w:spacing w:after="0" w:line="240" w:lineRule="auto"/>
              <w:rPr>
                <w:rFonts w:ascii="Times New Roman" w:hAnsi="Times New Roman" w:cs="Times New Roman"/>
                <w:sz w:val="24"/>
                <w:szCs w:val="24"/>
              </w:rPr>
            </w:pPr>
          </w:p>
        </w:tc>
        <w:tc>
          <w:tcPr>
            <w:tcW w:w="850" w:type="dxa"/>
          </w:tcPr>
          <w:p w14:paraId="371BBA60" w14:textId="77777777" w:rsidR="00B60BE5" w:rsidRDefault="00B60BE5">
            <w:pPr>
              <w:spacing w:after="0" w:line="240" w:lineRule="auto"/>
              <w:rPr>
                <w:rFonts w:ascii="Times New Roman" w:hAnsi="Times New Roman" w:cs="Times New Roman"/>
                <w:sz w:val="24"/>
                <w:szCs w:val="24"/>
              </w:rPr>
            </w:pPr>
          </w:p>
        </w:tc>
        <w:tc>
          <w:tcPr>
            <w:tcW w:w="851" w:type="dxa"/>
          </w:tcPr>
          <w:p w14:paraId="3DC9CDF7" w14:textId="77777777" w:rsidR="00B60BE5" w:rsidRDefault="00B60BE5">
            <w:pPr>
              <w:spacing w:after="0" w:line="240" w:lineRule="auto"/>
              <w:rPr>
                <w:rFonts w:ascii="Times New Roman" w:hAnsi="Times New Roman" w:cs="Times New Roman"/>
                <w:sz w:val="24"/>
                <w:szCs w:val="24"/>
              </w:rPr>
            </w:pPr>
          </w:p>
        </w:tc>
        <w:tc>
          <w:tcPr>
            <w:tcW w:w="861" w:type="dxa"/>
          </w:tcPr>
          <w:p w14:paraId="01EF5573" w14:textId="77777777" w:rsidR="00B60BE5" w:rsidRDefault="00B60BE5">
            <w:pPr>
              <w:spacing w:after="0" w:line="240" w:lineRule="auto"/>
              <w:rPr>
                <w:rFonts w:ascii="Times New Roman" w:hAnsi="Times New Roman" w:cs="Times New Roman"/>
                <w:sz w:val="24"/>
                <w:szCs w:val="24"/>
              </w:rPr>
            </w:pPr>
          </w:p>
        </w:tc>
        <w:tc>
          <w:tcPr>
            <w:tcW w:w="688" w:type="dxa"/>
            <w:shd w:val="clear" w:color="auto" w:fill="000000"/>
          </w:tcPr>
          <w:p w14:paraId="55ADD2A6" w14:textId="77777777" w:rsidR="00B60BE5" w:rsidRDefault="00B60BE5">
            <w:pPr>
              <w:spacing w:after="0" w:line="240" w:lineRule="auto"/>
              <w:rPr>
                <w:rFonts w:ascii="Times New Roman" w:hAnsi="Times New Roman" w:cs="Times New Roman"/>
                <w:sz w:val="24"/>
                <w:szCs w:val="24"/>
              </w:rPr>
            </w:pPr>
          </w:p>
        </w:tc>
        <w:tc>
          <w:tcPr>
            <w:tcW w:w="919" w:type="dxa"/>
          </w:tcPr>
          <w:p w14:paraId="08771B27" w14:textId="77777777" w:rsidR="00B60BE5" w:rsidRDefault="00B60BE5">
            <w:pPr>
              <w:spacing w:after="0" w:line="240" w:lineRule="auto"/>
              <w:rPr>
                <w:rFonts w:ascii="Times New Roman" w:hAnsi="Times New Roman" w:cs="Times New Roman"/>
                <w:sz w:val="24"/>
                <w:szCs w:val="24"/>
              </w:rPr>
            </w:pPr>
          </w:p>
        </w:tc>
      </w:tr>
      <w:tr w:rsidR="00B60BE5" w14:paraId="723E375C" w14:textId="77777777">
        <w:trPr>
          <w:gridAfter w:val="1"/>
          <w:wAfter w:w="11" w:type="dxa"/>
          <w:trHeight w:val="1007"/>
        </w:trPr>
        <w:tc>
          <w:tcPr>
            <w:tcW w:w="1986" w:type="dxa"/>
          </w:tcPr>
          <w:p w14:paraId="6BD493A7" w14:textId="77777777" w:rsidR="00B60BE5"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Final submission</w:t>
            </w:r>
          </w:p>
        </w:tc>
        <w:tc>
          <w:tcPr>
            <w:tcW w:w="850" w:type="dxa"/>
          </w:tcPr>
          <w:p w14:paraId="55316301" w14:textId="77777777" w:rsidR="00B60BE5" w:rsidRDefault="00B60BE5">
            <w:pPr>
              <w:spacing w:after="0" w:line="240" w:lineRule="auto"/>
              <w:rPr>
                <w:rFonts w:ascii="Times New Roman" w:hAnsi="Times New Roman" w:cs="Times New Roman"/>
                <w:sz w:val="24"/>
                <w:szCs w:val="24"/>
              </w:rPr>
            </w:pPr>
          </w:p>
        </w:tc>
        <w:tc>
          <w:tcPr>
            <w:tcW w:w="709" w:type="dxa"/>
          </w:tcPr>
          <w:p w14:paraId="62B00895" w14:textId="77777777" w:rsidR="00B60BE5" w:rsidRDefault="00B60BE5">
            <w:pPr>
              <w:spacing w:after="0" w:line="240" w:lineRule="auto"/>
              <w:rPr>
                <w:rFonts w:ascii="Times New Roman" w:hAnsi="Times New Roman" w:cs="Times New Roman"/>
                <w:sz w:val="24"/>
                <w:szCs w:val="24"/>
              </w:rPr>
            </w:pPr>
          </w:p>
        </w:tc>
        <w:tc>
          <w:tcPr>
            <w:tcW w:w="709" w:type="dxa"/>
          </w:tcPr>
          <w:p w14:paraId="16463990" w14:textId="77777777" w:rsidR="00B60BE5" w:rsidRDefault="00B60BE5">
            <w:pPr>
              <w:spacing w:after="0" w:line="240" w:lineRule="auto"/>
              <w:rPr>
                <w:rFonts w:ascii="Times New Roman" w:hAnsi="Times New Roman" w:cs="Times New Roman"/>
                <w:sz w:val="24"/>
                <w:szCs w:val="24"/>
              </w:rPr>
            </w:pPr>
          </w:p>
        </w:tc>
        <w:tc>
          <w:tcPr>
            <w:tcW w:w="850" w:type="dxa"/>
          </w:tcPr>
          <w:p w14:paraId="1F1AFF57" w14:textId="77777777" w:rsidR="00B60BE5" w:rsidRDefault="00B60BE5">
            <w:pPr>
              <w:spacing w:after="0" w:line="240" w:lineRule="auto"/>
              <w:rPr>
                <w:rFonts w:ascii="Times New Roman" w:hAnsi="Times New Roman" w:cs="Times New Roman"/>
                <w:sz w:val="24"/>
                <w:szCs w:val="24"/>
              </w:rPr>
            </w:pPr>
          </w:p>
        </w:tc>
        <w:tc>
          <w:tcPr>
            <w:tcW w:w="851" w:type="dxa"/>
          </w:tcPr>
          <w:p w14:paraId="69C25EA8" w14:textId="77777777" w:rsidR="00B60BE5" w:rsidRDefault="00B60BE5">
            <w:pPr>
              <w:spacing w:after="0" w:line="240" w:lineRule="auto"/>
              <w:rPr>
                <w:rFonts w:ascii="Times New Roman" w:hAnsi="Times New Roman" w:cs="Times New Roman"/>
                <w:sz w:val="24"/>
                <w:szCs w:val="24"/>
              </w:rPr>
            </w:pPr>
          </w:p>
        </w:tc>
        <w:tc>
          <w:tcPr>
            <w:tcW w:w="850" w:type="dxa"/>
          </w:tcPr>
          <w:p w14:paraId="60B639C2" w14:textId="77777777" w:rsidR="00B60BE5" w:rsidRDefault="00B60BE5">
            <w:pPr>
              <w:spacing w:after="0" w:line="240" w:lineRule="auto"/>
              <w:rPr>
                <w:rFonts w:ascii="Times New Roman" w:hAnsi="Times New Roman" w:cs="Times New Roman"/>
                <w:sz w:val="24"/>
                <w:szCs w:val="24"/>
              </w:rPr>
            </w:pPr>
          </w:p>
        </w:tc>
        <w:tc>
          <w:tcPr>
            <w:tcW w:w="851" w:type="dxa"/>
          </w:tcPr>
          <w:p w14:paraId="49D2A270" w14:textId="77777777" w:rsidR="00B60BE5" w:rsidRDefault="00B60BE5">
            <w:pPr>
              <w:spacing w:after="0" w:line="240" w:lineRule="auto"/>
              <w:rPr>
                <w:rFonts w:ascii="Times New Roman" w:hAnsi="Times New Roman" w:cs="Times New Roman"/>
                <w:sz w:val="24"/>
                <w:szCs w:val="24"/>
              </w:rPr>
            </w:pPr>
          </w:p>
        </w:tc>
        <w:tc>
          <w:tcPr>
            <w:tcW w:w="861" w:type="dxa"/>
          </w:tcPr>
          <w:p w14:paraId="30AE9029" w14:textId="77777777" w:rsidR="00B60BE5" w:rsidRDefault="00B60BE5">
            <w:pPr>
              <w:spacing w:after="0" w:line="240" w:lineRule="auto"/>
              <w:rPr>
                <w:rFonts w:ascii="Times New Roman" w:hAnsi="Times New Roman" w:cs="Times New Roman"/>
                <w:sz w:val="24"/>
                <w:szCs w:val="24"/>
              </w:rPr>
            </w:pPr>
          </w:p>
        </w:tc>
        <w:tc>
          <w:tcPr>
            <w:tcW w:w="688" w:type="dxa"/>
          </w:tcPr>
          <w:p w14:paraId="33DD36D5" w14:textId="77777777" w:rsidR="00B60BE5" w:rsidRDefault="00B60BE5">
            <w:pPr>
              <w:spacing w:after="0" w:line="240" w:lineRule="auto"/>
              <w:rPr>
                <w:rFonts w:ascii="Times New Roman" w:hAnsi="Times New Roman" w:cs="Times New Roman"/>
                <w:sz w:val="24"/>
                <w:szCs w:val="24"/>
              </w:rPr>
            </w:pPr>
          </w:p>
        </w:tc>
        <w:tc>
          <w:tcPr>
            <w:tcW w:w="919" w:type="dxa"/>
            <w:shd w:val="clear" w:color="auto" w:fill="000000"/>
          </w:tcPr>
          <w:p w14:paraId="488D5D39" w14:textId="77777777" w:rsidR="00B60BE5" w:rsidRDefault="00B60BE5">
            <w:pPr>
              <w:spacing w:after="0" w:line="240" w:lineRule="auto"/>
              <w:rPr>
                <w:rFonts w:ascii="Times New Roman" w:hAnsi="Times New Roman" w:cs="Times New Roman"/>
                <w:sz w:val="24"/>
                <w:szCs w:val="24"/>
              </w:rPr>
            </w:pPr>
          </w:p>
        </w:tc>
      </w:tr>
    </w:tbl>
    <w:p w14:paraId="57DEB497" w14:textId="77777777" w:rsidR="00B60BE5" w:rsidRDefault="00B60BE5">
      <w:pPr>
        <w:rPr>
          <w:rFonts w:ascii="Times New Roman" w:hAnsi="Times New Roman" w:cs="Times New Roman"/>
          <w:sz w:val="24"/>
          <w:szCs w:val="24"/>
        </w:rPr>
      </w:pPr>
    </w:p>
    <w:p w14:paraId="15C2DB8D" w14:textId="77777777" w:rsidR="00B60BE5" w:rsidRDefault="00B60BE5">
      <w:pPr>
        <w:rPr>
          <w:rFonts w:ascii="Times New Roman" w:hAnsi="Times New Roman" w:cs="Times New Roman"/>
          <w:sz w:val="24"/>
          <w:szCs w:val="24"/>
        </w:rPr>
      </w:pPr>
    </w:p>
    <w:sectPr w:rsidR="00B60BE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279F3" w14:textId="77777777" w:rsidR="008A337E" w:rsidRDefault="008A337E">
      <w:pPr>
        <w:spacing w:line="240" w:lineRule="auto"/>
      </w:pPr>
      <w:r>
        <w:separator/>
      </w:r>
    </w:p>
  </w:endnote>
  <w:endnote w:type="continuationSeparator" w:id="0">
    <w:p w14:paraId="48A61B2F" w14:textId="77777777" w:rsidR="008A337E" w:rsidRDefault="008A3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F3C5" w14:textId="77777777" w:rsidR="00B60BE5" w:rsidRDefault="00000000">
    <w:pPr>
      <w:pStyle w:val="Footer"/>
      <w:jc w:val="center"/>
    </w:pPr>
    <w:r>
      <w:fldChar w:fldCharType="begin"/>
    </w:r>
    <w:r>
      <w:instrText xml:space="preserve"> PAGE   \* MERGEFORMAT </w:instrText>
    </w:r>
    <w:r>
      <w:fldChar w:fldCharType="separate"/>
    </w:r>
    <w:r>
      <w:t>2</w:t>
    </w:r>
    <w:r>
      <w:fldChar w:fldCharType="end"/>
    </w:r>
  </w:p>
  <w:p w14:paraId="21CE7913" w14:textId="77777777" w:rsidR="00B60BE5" w:rsidRDefault="00B60B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36E73" w14:textId="77777777" w:rsidR="008A337E" w:rsidRDefault="008A337E">
      <w:pPr>
        <w:spacing w:after="0"/>
      </w:pPr>
      <w:r>
        <w:separator/>
      </w:r>
    </w:p>
  </w:footnote>
  <w:footnote w:type="continuationSeparator" w:id="0">
    <w:p w14:paraId="5563DB5A" w14:textId="77777777" w:rsidR="008A337E" w:rsidRDefault="008A337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imes New Roman" w:hAnsi="Times New Roman" w:cs="Times New Roman" w:hint="default"/>
        <w:b/>
        <w:bCs/>
        <w:color w:val="auto"/>
        <w:sz w:val="24"/>
        <w:szCs w:val="24"/>
      </w:rPr>
    </w:lvl>
    <w:lvl w:ilvl="2">
      <w:start w:val="1"/>
      <w:numFmt w:val="decimal"/>
      <w:pStyle w:val="Heading3"/>
      <w:lvlText w:val="%1.%2.%3"/>
      <w:lvlJc w:val="left"/>
      <w:pPr>
        <w:ind w:left="720" w:hanging="720"/>
      </w:pPr>
      <w:rPr>
        <w:rFonts w:ascii="Times New Roman" w:hAnsi="Times New Roman" w:cs="Times New Roman" w:hint="default"/>
        <w:b w:val="0"/>
        <w:bCs w:val="0"/>
        <w:color w:val="auto"/>
        <w:sz w:val="24"/>
        <w:szCs w:val="24"/>
      </w:rPr>
    </w:lvl>
    <w:lvl w:ilvl="3">
      <w:start w:val="1"/>
      <w:numFmt w:val="decimal"/>
      <w:pStyle w:val="Heading4"/>
      <w:lvlText w:val="%1.%2.%3.%4"/>
      <w:lvlJc w:val="left"/>
      <w:pPr>
        <w:ind w:left="1006" w:hanging="864"/>
      </w:pPr>
      <w:rPr>
        <w:b/>
        <w:bCs/>
        <w:color w:val="auto"/>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0000002"/>
    <w:multiLevelType w:val="multilevel"/>
    <w:tmpl w:val="000000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3"/>
    <w:multiLevelType w:val="multilevel"/>
    <w:tmpl w:val="0000000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0000004"/>
    <w:multiLevelType w:val="multilevel"/>
    <w:tmpl w:val="00000004"/>
    <w:lvl w:ilvl="0">
      <w:start w:val="1"/>
      <w:numFmt w:val="lowerRoman"/>
      <w:lvlText w:val="%1."/>
      <w:lvlJc w:val="righ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0000005"/>
    <w:multiLevelType w:val="multilevel"/>
    <w:tmpl w:val="0000000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0000008"/>
    <w:multiLevelType w:val="multilevel"/>
    <w:tmpl w:val="0000000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26317001">
    <w:abstractNumId w:val="0"/>
  </w:num>
  <w:num w:numId="2" w16cid:durableId="341248129">
    <w:abstractNumId w:val="1"/>
  </w:num>
  <w:num w:numId="3" w16cid:durableId="1972708791">
    <w:abstractNumId w:val="3"/>
  </w:num>
  <w:num w:numId="4" w16cid:durableId="1547524359">
    <w:abstractNumId w:val="5"/>
  </w:num>
  <w:num w:numId="5" w16cid:durableId="758792708">
    <w:abstractNumId w:val="2"/>
  </w:num>
  <w:num w:numId="6" w16cid:durableId="12184712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BE5"/>
    <w:rsid w:val="00267B07"/>
    <w:rsid w:val="00391C18"/>
    <w:rsid w:val="003C47A3"/>
    <w:rsid w:val="00413905"/>
    <w:rsid w:val="00735CFC"/>
    <w:rsid w:val="008A337E"/>
    <w:rsid w:val="009716D4"/>
    <w:rsid w:val="00B11B57"/>
    <w:rsid w:val="00B60BE5"/>
    <w:rsid w:val="00D90AF6"/>
    <w:rsid w:val="08732A98"/>
    <w:rsid w:val="7607359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E5267"/>
  <w15:docId w15:val="{4380B7F6-CD4C-4AE7-A415-9980BCDE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KE" w:eastAsia="en-K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header" w:uiPriority="99" w:qFormat="1"/>
    <w:lsdException w:name="footer" w:uiPriority="99" w:qFormat="1"/>
    <w:lsdException w:name="caption" w:uiPriority="35" w:qFormat="1"/>
    <w:lsdException w:name="Title" w:uiPriority="10" w:qFormat="1"/>
    <w:lsdException w:name="Default Paragraph Font" w:uiPriority="1" w:qFormat="1"/>
    <w:lsdException w:name="Subtitle" w:uiPriority="11"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SimSun"/>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numPr>
        <w:numId w:val="1"/>
      </w:numPr>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qFormat/>
    <w:pPr>
      <w:keepNext/>
      <w:keepLines/>
      <w:numPr>
        <w:ilvl w:val="1"/>
        <w:numId w:val="1"/>
      </w:numPr>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qFormat/>
    <w:pPr>
      <w:keepNext/>
      <w:keepLines/>
      <w:numPr>
        <w:ilvl w:val="2"/>
        <w:numId w:val="1"/>
      </w:numPr>
      <w:spacing w:before="160" w:after="80"/>
      <w:outlineLvl w:val="2"/>
    </w:pPr>
    <w:rPr>
      <w:rFonts w:eastAsia="SimSun"/>
      <w:color w:val="2F5496"/>
      <w:sz w:val="28"/>
      <w:szCs w:val="28"/>
    </w:rPr>
  </w:style>
  <w:style w:type="paragraph" w:styleId="Heading4">
    <w:name w:val="heading 4"/>
    <w:basedOn w:val="Normal"/>
    <w:next w:val="Normal"/>
    <w:link w:val="Heading4Char"/>
    <w:uiPriority w:val="9"/>
    <w:qFormat/>
    <w:pPr>
      <w:keepNext/>
      <w:keepLines/>
      <w:numPr>
        <w:ilvl w:val="3"/>
        <w:numId w:val="1"/>
      </w:numPr>
      <w:spacing w:before="80" w:after="40"/>
      <w:outlineLvl w:val="3"/>
    </w:pPr>
    <w:rPr>
      <w:rFonts w:eastAsia="SimSun"/>
      <w:i/>
      <w:iCs/>
      <w:color w:val="2F5496"/>
    </w:rPr>
  </w:style>
  <w:style w:type="paragraph" w:styleId="Heading5">
    <w:name w:val="heading 5"/>
    <w:basedOn w:val="Normal"/>
    <w:next w:val="Normal"/>
    <w:link w:val="Heading5Char"/>
    <w:uiPriority w:val="9"/>
    <w:qFormat/>
    <w:pPr>
      <w:keepNext/>
      <w:keepLines/>
      <w:numPr>
        <w:ilvl w:val="4"/>
        <w:numId w:val="1"/>
      </w:numPr>
      <w:spacing w:before="80" w:after="40"/>
      <w:outlineLvl w:val="4"/>
    </w:pPr>
    <w:rPr>
      <w:rFonts w:eastAsia="SimSun"/>
      <w:color w:val="2F5496"/>
    </w:rPr>
  </w:style>
  <w:style w:type="paragraph" w:styleId="Heading6">
    <w:name w:val="heading 6"/>
    <w:basedOn w:val="Normal"/>
    <w:next w:val="Normal"/>
    <w:link w:val="Heading6Char"/>
    <w:uiPriority w:val="9"/>
    <w:qFormat/>
    <w:pPr>
      <w:keepNext/>
      <w:keepLines/>
      <w:numPr>
        <w:ilvl w:val="5"/>
        <w:numId w:val="1"/>
      </w:numPr>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numPr>
        <w:ilvl w:val="6"/>
        <w:numId w:val="1"/>
      </w:numPr>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numPr>
        <w:ilvl w:val="7"/>
        <w:numId w:val="1"/>
      </w:numPr>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numPr>
        <w:ilvl w:val="8"/>
        <w:numId w:val="1"/>
      </w:numPr>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qFormat/>
    <w:pPr>
      <w:spacing w:after="200" w:line="240" w:lineRule="auto"/>
    </w:pPr>
    <w:rPr>
      <w:i/>
      <w:iCs/>
      <w:color w:val="44546A"/>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513"/>
        <w:tab w:val="right" w:pos="9026"/>
      </w:tabs>
      <w:spacing w:after="0" w:line="240" w:lineRule="auto"/>
    </w:pPr>
  </w:style>
  <w:style w:type="paragraph" w:styleId="Header">
    <w:name w:val="header"/>
    <w:basedOn w:val="Normal"/>
    <w:link w:val="HeaderChar"/>
    <w:uiPriority w:val="99"/>
    <w:qFormat/>
    <w:pPr>
      <w:tabs>
        <w:tab w:val="center" w:pos="4513"/>
        <w:tab w:val="right" w:pos="9026"/>
      </w:tabs>
      <w:spacing w:after="0" w:line="240" w:lineRule="auto"/>
    </w:pPr>
  </w:style>
  <w:style w:type="character" w:styleId="Hyperlink">
    <w:name w:val="Hyperlink"/>
    <w:basedOn w:val="DefaultParagraphFont"/>
    <w:uiPriority w:val="99"/>
    <w:qFormat/>
    <w:rPr>
      <w:color w:val="0563C1"/>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paragraph" w:styleId="TOC1">
    <w:name w:val="toc 1"/>
    <w:basedOn w:val="Normal"/>
    <w:next w:val="Normal"/>
    <w:uiPriority w:val="39"/>
    <w:qFormat/>
    <w:pPr>
      <w:spacing w:after="100"/>
    </w:pPr>
  </w:style>
  <w:style w:type="paragraph" w:styleId="TOC2">
    <w:name w:val="toc 2"/>
    <w:basedOn w:val="Normal"/>
    <w:next w:val="Normal"/>
    <w:uiPriority w:val="39"/>
    <w:qFormat/>
    <w:pPr>
      <w:spacing w:after="100"/>
      <w:ind w:left="220"/>
    </w:pPr>
  </w:style>
  <w:style w:type="paragraph" w:styleId="TOC3">
    <w:name w:val="toc 3"/>
    <w:basedOn w:val="Normal"/>
    <w:next w:val="Normal"/>
    <w:uiPriority w:val="39"/>
    <w:qFormat/>
    <w:pPr>
      <w:spacing w:after="100"/>
      <w:ind w:left="440"/>
    </w:pPr>
  </w:style>
  <w:style w:type="paragraph" w:styleId="TOC4">
    <w:name w:val="toc 4"/>
    <w:basedOn w:val="Normal"/>
    <w:next w:val="Normal"/>
    <w:uiPriority w:val="39"/>
    <w:qFormat/>
    <w:pPr>
      <w:spacing w:after="100" w:line="278" w:lineRule="auto"/>
      <w:ind w:left="720"/>
    </w:pPr>
    <w:rPr>
      <w:rFonts w:eastAsia="SimSun"/>
      <w:sz w:val="24"/>
      <w:szCs w:val="24"/>
    </w:rPr>
  </w:style>
  <w:style w:type="paragraph" w:styleId="TOC5">
    <w:name w:val="toc 5"/>
    <w:basedOn w:val="Normal"/>
    <w:next w:val="Normal"/>
    <w:uiPriority w:val="39"/>
    <w:qFormat/>
    <w:pPr>
      <w:spacing w:after="100" w:line="278" w:lineRule="auto"/>
      <w:ind w:left="960"/>
    </w:pPr>
    <w:rPr>
      <w:rFonts w:eastAsia="SimSun"/>
      <w:sz w:val="24"/>
      <w:szCs w:val="24"/>
    </w:rPr>
  </w:style>
  <w:style w:type="paragraph" w:styleId="TOC6">
    <w:name w:val="toc 6"/>
    <w:basedOn w:val="Normal"/>
    <w:next w:val="Normal"/>
    <w:uiPriority w:val="39"/>
    <w:qFormat/>
    <w:pPr>
      <w:spacing w:after="100" w:line="278" w:lineRule="auto"/>
      <w:ind w:left="1200"/>
    </w:pPr>
    <w:rPr>
      <w:rFonts w:eastAsia="SimSun"/>
      <w:sz w:val="24"/>
      <w:szCs w:val="24"/>
    </w:rPr>
  </w:style>
  <w:style w:type="paragraph" w:styleId="TOC7">
    <w:name w:val="toc 7"/>
    <w:basedOn w:val="Normal"/>
    <w:next w:val="Normal"/>
    <w:uiPriority w:val="39"/>
    <w:qFormat/>
    <w:pPr>
      <w:spacing w:after="100" w:line="278" w:lineRule="auto"/>
      <w:ind w:left="1440"/>
    </w:pPr>
    <w:rPr>
      <w:rFonts w:eastAsia="SimSun"/>
      <w:sz w:val="24"/>
      <w:szCs w:val="24"/>
    </w:rPr>
  </w:style>
  <w:style w:type="paragraph" w:styleId="TOC8">
    <w:name w:val="toc 8"/>
    <w:basedOn w:val="Normal"/>
    <w:next w:val="Normal"/>
    <w:uiPriority w:val="39"/>
    <w:qFormat/>
    <w:pPr>
      <w:spacing w:after="100" w:line="278" w:lineRule="auto"/>
      <w:ind w:left="1680"/>
    </w:pPr>
    <w:rPr>
      <w:rFonts w:eastAsia="SimSun"/>
      <w:sz w:val="24"/>
      <w:szCs w:val="24"/>
    </w:rPr>
  </w:style>
  <w:style w:type="paragraph" w:styleId="TOC9">
    <w:name w:val="toc 9"/>
    <w:basedOn w:val="Normal"/>
    <w:next w:val="Normal"/>
    <w:uiPriority w:val="39"/>
    <w:qFormat/>
    <w:pPr>
      <w:spacing w:after="100" w:line="278" w:lineRule="auto"/>
      <w:ind w:left="1920"/>
    </w:pPr>
    <w:rPr>
      <w:rFonts w:eastAsia="SimSun"/>
      <w:sz w:val="24"/>
      <w:szCs w:val="24"/>
    </w:rPr>
  </w:style>
  <w:style w:type="character" w:customStyle="1" w:styleId="Heading1Char">
    <w:name w:val="Heading 1 Char"/>
    <w:basedOn w:val="DefaultParagraphFont"/>
    <w:link w:val="Heading1"/>
    <w:uiPriority w:val="9"/>
    <w:qFormat/>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qFormat/>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qFormat/>
    <w:rPr>
      <w:rFonts w:eastAsia="SimSun" w:cs="SimSun"/>
      <w:color w:val="2F5496"/>
      <w:sz w:val="28"/>
      <w:szCs w:val="28"/>
    </w:rPr>
  </w:style>
  <w:style w:type="character" w:customStyle="1" w:styleId="Heading4Char">
    <w:name w:val="Heading 4 Char"/>
    <w:basedOn w:val="DefaultParagraphFont"/>
    <w:link w:val="Heading4"/>
    <w:uiPriority w:val="9"/>
    <w:qFormat/>
    <w:rPr>
      <w:rFonts w:eastAsia="SimSun" w:cs="SimSun"/>
      <w:i/>
      <w:iCs/>
      <w:color w:val="2F5496"/>
    </w:rPr>
  </w:style>
  <w:style w:type="character" w:customStyle="1" w:styleId="Heading5Char">
    <w:name w:val="Heading 5 Char"/>
    <w:basedOn w:val="DefaultParagraphFont"/>
    <w:link w:val="Heading5"/>
    <w:uiPriority w:val="9"/>
    <w:qFormat/>
    <w:rPr>
      <w:rFonts w:eastAsia="SimSun" w:cs="SimSun"/>
      <w:color w:val="2F5496"/>
    </w:rPr>
  </w:style>
  <w:style w:type="character" w:customStyle="1" w:styleId="Heading6Char">
    <w:name w:val="Heading 6 Char"/>
    <w:basedOn w:val="DefaultParagraphFont"/>
    <w:link w:val="Heading6"/>
    <w:uiPriority w:val="9"/>
    <w:qFormat/>
    <w:rPr>
      <w:rFonts w:eastAsia="SimSun" w:cs="SimSun"/>
      <w:i/>
      <w:iCs/>
      <w:color w:val="595959"/>
    </w:rPr>
  </w:style>
  <w:style w:type="character" w:customStyle="1" w:styleId="Heading7Char">
    <w:name w:val="Heading 7 Char"/>
    <w:basedOn w:val="DefaultParagraphFont"/>
    <w:link w:val="Heading7"/>
    <w:uiPriority w:val="9"/>
    <w:qFormat/>
    <w:rPr>
      <w:rFonts w:eastAsia="SimSun" w:cs="SimSun"/>
      <w:color w:val="595959"/>
    </w:rPr>
  </w:style>
  <w:style w:type="character" w:customStyle="1" w:styleId="Heading8Char">
    <w:name w:val="Heading 8 Char"/>
    <w:basedOn w:val="DefaultParagraphFont"/>
    <w:link w:val="Heading8"/>
    <w:uiPriority w:val="9"/>
    <w:qFormat/>
    <w:rPr>
      <w:rFonts w:eastAsia="SimSun" w:cs="SimSun"/>
      <w:i/>
      <w:iCs/>
      <w:color w:val="272727"/>
    </w:rPr>
  </w:style>
  <w:style w:type="character" w:customStyle="1" w:styleId="Heading9Char">
    <w:name w:val="Heading 9 Char"/>
    <w:basedOn w:val="DefaultParagraphFont"/>
    <w:link w:val="Heading9"/>
    <w:uiPriority w:val="9"/>
    <w:qFormat/>
    <w:rPr>
      <w:rFonts w:eastAsia="SimSun" w:cs="SimSun"/>
      <w:color w:val="272727"/>
    </w:rPr>
  </w:style>
  <w:style w:type="character" w:customStyle="1" w:styleId="TitleChar">
    <w:name w:val="Title Char"/>
    <w:basedOn w:val="DefaultParagraphFont"/>
    <w:link w:val="Title"/>
    <w:uiPriority w:val="10"/>
    <w:qFormat/>
    <w:rPr>
      <w:rFonts w:ascii="Calibri Light" w:eastAsia="SimSun" w:hAnsi="Calibri Light" w:cs="SimSun"/>
      <w:spacing w:val="-10"/>
      <w:kern w:val="28"/>
      <w:sz w:val="56"/>
      <w:szCs w:val="56"/>
    </w:rPr>
  </w:style>
  <w:style w:type="character" w:customStyle="1" w:styleId="SubtitleChar">
    <w:name w:val="Subtitle Char"/>
    <w:basedOn w:val="DefaultParagraphFont"/>
    <w:link w:val="Subtitle"/>
    <w:uiPriority w:val="11"/>
    <w:qFormat/>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qFormat/>
    <w:rPr>
      <w:i/>
      <w:iCs/>
      <w:color w:val="404040"/>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qFormat/>
    <w:rPr>
      <w:i/>
      <w:iCs/>
      <w:color w:val="2F5496"/>
    </w:rPr>
  </w:style>
  <w:style w:type="character" w:customStyle="1" w:styleId="IntenseReference1">
    <w:name w:val="Intense Reference1"/>
    <w:basedOn w:val="DefaultParagraphFont"/>
    <w:uiPriority w:val="32"/>
    <w:qFormat/>
    <w:rPr>
      <w:b/>
      <w:bCs/>
      <w:smallCaps/>
      <w:color w:val="2F5496"/>
      <w:spacing w:val="5"/>
    </w:rPr>
  </w:style>
  <w:style w:type="character" w:customStyle="1" w:styleId="overflow-hidden">
    <w:name w:val="overflow-hidden"/>
    <w:basedOn w:val="DefaultParagraphFont"/>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qFormat/>
    <w:pPr>
      <w:numPr>
        <w:numId w:val="0"/>
      </w:numPr>
      <w:spacing w:before="240" w:after="0"/>
      <w:outlineLvl w:val="9"/>
    </w:pPr>
    <w:rPr>
      <w:kern w:val="0"/>
      <w:sz w:val="32"/>
      <w:szCs w:val="32"/>
      <w:lang w:val="en-US"/>
      <w14:ligatures w14:val="none"/>
    </w:rPr>
  </w:style>
  <w:style w:type="paragraph" w:customStyle="1" w:styleId="Revision1">
    <w:name w:val="Revision1"/>
    <w:uiPriority w:val="99"/>
    <w:qFormat/>
    <w:rPr>
      <w:rFonts w:ascii="Calibri" w:eastAsia="Calibri" w:hAnsi="Calibri" w:cs="SimSun"/>
      <w:kern w:val="2"/>
      <w:sz w:val="22"/>
      <w:szCs w:val="22"/>
      <w:lang w:eastAsia="en-US"/>
      <w14:ligatures w14:val="standardContextual"/>
    </w:rPr>
  </w:style>
  <w:style w:type="character" w:customStyle="1" w:styleId="UnresolvedMention1">
    <w:name w:val="Unresolved Mention1"/>
    <w:basedOn w:val="DefaultParagraphFont"/>
    <w:uiPriority w:val="99"/>
    <w:qFormat/>
    <w:rPr>
      <w:color w:val="605E5C"/>
      <w:shd w:val="clear" w:color="auto" w:fill="E1DFDD"/>
    </w:rPr>
  </w:style>
  <w:style w:type="table" w:customStyle="1" w:styleId="TableGridLight1">
    <w:name w:val="Table Grid Light1"/>
    <w:basedOn w:val="TableNormal"/>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ir-library.ku.ac.ke/handle/123456789/25938?show=full&amp;locale-attribute=en"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repository.seku.ac.ke:8080/feed/rss_1.0/123456789/18" TargetMode="External"/><Relationship Id="rId17" Type="http://schemas.openxmlformats.org/officeDocument/2006/relationships/hyperlink" Target="https://ir-library.ku.ac.ke/items/b2536361-96a4-4a60-afa9-80e06571a84f/full" TargetMode="External"/><Relationship Id="rId2" Type="http://schemas.openxmlformats.org/officeDocument/2006/relationships/customXml" Target="../customXml/item2.xml"/><Relationship Id="rId16" Type="http://schemas.openxmlformats.org/officeDocument/2006/relationships/hyperlink" Target="https://www.kenyaclimatedirectory.org/resources/6904e4c619ef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r-library.ku.ac.ke/items/b2536361-96a4-4a60-afa9-80e06571a84f/full" TargetMode="External"/><Relationship Id="rId5" Type="http://schemas.openxmlformats.org/officeDocument/2006/relationships/settings" Target="settings.xml"/><Relationship Id="rId15" Type="http://schemas.openxmlformats.org/officeDocument/2006/relationships/hyperlink" Target="https://www.kenyaclimatedirectory.org/resources/6904e4c619ef2" TargetMode="External"/><Relationship Id="rId10" Type="http://schemas.openxmlformats.org/officeDocument/2006/relationships/hyperlink" Target="https://www.taylorfrancis.com/chapters/edit/10.4324/9781003539759-6/green-bonds-driver-improved-bank-loan-quality-profitability-greta-benedetta-ferilli-egidio-palmieri-federico-giovanni-rega?context=ubx&amp;refId=6f97f65b-0f77-4936-9c11-887fcb60e93f"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www.jryj.org.cn/EN/Y2025/V537/I3/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596C83-03BE-45AF-9496-875BFE51F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54</Pages>
  <Words>13843</Words>
  <Characters>78910</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Heiress Ke</dc:creator>
  <cp:lastModifiedBy>Heiress Ke</cp:lastModifiedBy>
  <cp:revision>61</cp:revision>
  <dcterms:created xsi:type="dcterms:W3CDTF">2025-03-08T15:48:00Z</dcterms:created>
  <dcterms:modified xsi:type="dcterms:W3CDTF">2026-02-17T05:45:00Z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3e5a5f9c-7df1-4097-8d81-99cc7eed9869</vt:lpwstr>
  </property>
  <property fmtid="{D5CDD505-2E9C-101B-9397-08002B2CF9AE}" pid="3" name="ICV">
    <vt:lpwstr>cd94c52f28604d80b66e87a535b48a38</vt:lpwstr>
  </property>
  <property fmtid="{D5CDD505-2E9C-101B-9397-08002B2CF9AE}" pid="4" name="KSOProductBuildVer">
    <vt:lpwstr>2057-12.2.0.23197</vt:lpwstr>
  </property>
</Properties>
</file>