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sz w:val="20"/>
        </w:rPr>
        <w:t>LEREN VAN EN MET COLLEGA’S</w:t>
      </w:r>
    </w:p>
    <w:p>
      <w:pPr>
        <w:pStyle w:val="Title"/>
      </w:pPr>
      <w:r>
        <w:t>Intervisie in drie sessies</w:t>
      </w:r>
    </w:p>
    <w:p>
      <w:pPr>
        <w:pStyle w:val="Subtitle"/>
      </w:pPr>
      <w:r>
        <w:t>Onderzoek je werkvragen en oefen met ander handelen</w:t>
      </w:r>
    </w:p>
    <w:p>
      <w:r>
        <w:t>Een lastige samenwerking, grenzen aangeven of twijfelen over je aanpak? In een vaste groep onderzoek je herkenbare situaties uit je werk. Je ontdekt nieuwe perspectieven en probeert concrete stappen uit in de praktijk.</w:t>
      </w:r>
    </w:p>
    <w:p>
      <w:pPr>
        <w:pStyle w:val="Heading2"/>
      </w:pPr>
      <w:r>
        <w:t>Een vaste opbouw met ruimte voor jouw vraag</w:t>
      </w:r>
    </w:p>
    <w:p>
      <w:r>
        <w:t>Elke bijeenkomst: kick-off → twee werkvormen → check-out.</w:t>
        <w:br/>
        <w:t>Tussen de sessies test je een klein experiment in je eigen werk.</w:t>
      </w:r>
    </w:p>
    <w:tbl>
      <w:tblPr>
        <w:tblW w:type="auto" w:w="0"/>
        <w:jc w:val="center"/>
        <w:tblLayout w:type="fixed"/>
        <w:tblLook w:firstColumn="1" w:firstRow="1" w:lastColumn="0" w:lastRow="0" w:noHBand="0" w:noVBand="1" w:val="04A0"/>
      </w:tblPr>
      <w:tblGrid>
        <w:gridCol w:w="1984"/>
        <w:gridCol w:w="4309"/>
        <w:gridCol w:w="3458"/>
      </w:tblGrid>
      <w:tr>
        <w:trPr>
          <w:cantSplit/>
          <w:cantSplit/>
          <w:cantSplit/>
          <w:tblHeader/>
        </w:trPr>
        <w:tc>
          <w:tcPr>
            <w:tcW w:type="dxa" w:w="1984"/>
            <w:vAlign w:val="center"/>
            <w:shd w:fill="173F4F"/>
            <w:tcBorders>
              <w:top w:val="single" w:sz="4" w:color="D9D9D9"/>
              <w:left w:val="single" w:sz="4" w:color="D9D9D9"/>
              <w:bottom w:val="single" w:sz="4" w:color="D9D9D9"/>
              <w:right w:val="single" w:sz="4" w:color="D9D9D9"/>
            </w:tcBorders>
            <w:tcMar>
              <w:top w:w="150" w:type="dxa"/>
              <w:bottom w:w="150" w:type="dxa"/>
              <w:left w:w="150" w:type="dxa"/>
              <w:right w:w="150" w:type="dxa"/>
            </w:tcMar>
          </w:tcPr>
          <w:p>
            <w:pPr>
              <w:spacing w:after="0" w:line="254" w:lineRule="auto"/>
            </w:pPr>
            <w:r>
              <w:rPr>
                <w:b/>
                <w:color w:val="FFFFFF"/>
                <w:sz w:val="21"/>
              </w:rPr>
              <w:t>Sessie</w:t>
            </w:r>
          </w:p>
        </w:tc>
        <w:tc>
          <w:tcPr>
            <w:tcW w:type="dxa" w:w="4309"/>
            <w:vAlign w:val="center"/>
            <w:shd w:fill="173F4F"/>
            <w:tcBorders>
              <w:top w:val="single" w:sz="4" w:color="D9D9D9"/>
              <w:left w:val="single" w:sz="4" w:color="D9D9D9"/>
              <w:bottom w:val="single" w:sz="4" w:color="D9D9D9"/>
              <w:right w:val="single" w:sz="4" w:color="D9D9D9"/>
            </w:tcBorders>
            <w:tcMar>
              <w:top w:w="150" w:type="dxa"/>
              <w:bottom w:w="150" w:type="dxa"/>
              <w:left w:w="150" w:type="dxa"/>
              <w:right w:w="150" w:type="dxa"/>
            </w:tcMar>
          </w:tcPr>
          <w:p>
            <w:pPr>
              <w:spacing w:after="0" w:line="254" w:lineRule="auto"/>
            </w:pPr>
            <w:r>
              <w:rPr>
                <w:b/>
                <w:color w:val="FFFFFF"/>
                <w:sz w:val="21"/>
              </w:rPr>
              <w:t>Dit gaan we doen</w:t>
            </w:r>
          </w:p>
        </w:tc>
        <w:tc>
          <w:tcPr>
            <w:tcW w:type="dxa" w:w="3458"/>
            <w:vAlign w:val="center"/>
            <w:shd w:fill="173F4F"/>
            <w:tcBorders>
              <w:top w:val="single" w:sz="4" w:color="D9D9D9"/>
              <w:left w:val="single" w:sz="4" w:color="D9D9D9"/>
              <w:bottom w:val="single" w:sz="4" w:color="D9D9D9"/>
              <w:right w:val="single" w:sz="4" w:color="D9D9D9"/>
            </w:tcBorders>
            <w:tcMar>
              <w:top w:w="150" w:type="dxa"/>
              <w:bottom w:w="150" w:type="dxa"/>
              <w:left w:w="150" w:type="dxa"/>
              <w:right w:w="150" w:type="dxa"/>
            </w:tcMar>
          </w:tcPr>
          <w:p>
            <w:pPr>
              <w:spacing w:after="0" w:line="254" w:lineRule="auto"/>
            </w:pPr>
            <w:r>
              <w:rPr>
                <w:b/>
                <w:color w:val="FFFFFF"/>
                <w:sz w:val="21"/>
              </w:rPr>
              <w:t>Dit neem je mee</w:t>
            </w:r>
          </w:p>
        </w:tc>
      </w:tr>
      <w:tr>
        <w:trPr>
          <w:cantSplit/>
          <w:cantSplit/>
          <w:cantSplit/>
        </w:trPr>
        <w:tc>
          <w:tcPr>
            <w:tcW w:type="dxa" w:w="1984"/>
            <w:vAlign w:val="center"/>
            <w:shd w:fill="F0F5F6"/>
            <w:tcBorders>
              <w:top w:val="single" w:sz="4" w:color="D9D9D9"/>
              <w:left w:val="single" w:sz="4" w:color="D9D9D9"/>
              <w:bottom w:val="single" w:sz="4" w:color="D9D9D9"/>
              <w:right w:val="single" w:sz="4" w:color="D9D9D9"/>
            </w:tcBorders>
            <w:tcMar>
              <w:top w:w="150" w:type="dxa"/>
              <w:bottom w:w="150" w:type="dxa"/>
              <w:left w:w="150" w:type="dxa"/>
              <w:right w:w="150" w:type="dxa"/>
            </w:tcMar>
          </w:tcPr>
          <w:p>
            <w:pPr>
              <w:spacing w:after="0" w:line="254" w:lineRule="auto"/>
            </w:pPr>
            <w:r>
              <w:rPr>
                <w:b/>
                <w:sz w:val="21"/>
              </w:rPr>
              <w:t>01</w:t>
              <w:br/>
              <w:t>Verkennen</w:t>
            </w:r>
          </w:p>
        </w:tc>
        <w:tc>
          <w:tcPr>
            <w:tcW w:type="dxa" w:w="4309"/>
            <w:vAlign w:val="center"/>
            <w:shd w:fill="F0F5F6"/>
            <w:tcBorders>
              <w:top w:val="single" w:sz="4" w:color="D9D9D9"/>
              <w:left w:val="single" w:sz="4" w:color="D9D9D9"/>
              <w:bottom w:val="single" w:sz="4" w:color="D9D9D9"/>
              <w:right w:val="single" w:sz="4" w:color="D9D9D9"/>
            </w:tcBorders>
            <w:tcMar>
              <w:top w:w="150" w:type="dxa"/>
              <w:bottom w:w="150" w:type="dxa"/>
              <w:left w:w="150" w:type="dxa"/>
              <w:right w:w="150" w:type="dxa"/>
            </w:tcMar>
          </w:tcPr>
          <w:p>
            <w:pPr>
              <w:spacing w:after="0" w:line="254" w:lineRule="auto"/>
            </w:pPr>
            <w:r>
              <w:rPr>
                <w:b w:val="0"/>
                <w:sz w:val="21"/>
              </w:rPr>
              <w:t>Je werkvraag in beeld</w:t>
              <w:br/>
              <w:t>Een creatieve start om je situatie te verkennen.</w:t>
              <w:br/>
              <w:br/>
              <w:t>Focusmethode</w:t>
              <w:br/>
              <w:t>Met open vragen tot de kern komen.</w:t>
            </w:r>
          </w:p>
        </w:tc>
        <w:tc>
          <w:tcPr>
            <w:tcW w:type="dxa" w:w="3458"/>
            <w:vAlign w:val="center"/>
            <w:shd w:fill="F0F5F6"/>
            <w:tcBorders>
              <w:top w:val="single" w:sz="4" w:color="D9D9D9"/>
              <w:left w:val="single" w:sz="4" w:color="D9D9D9"/>
              <w:bottom w:val="single" w:sz="4" w:color="D9D9D9"/>
              <w:right w:val="single" w:sz="4" w:color="D9D9D9"/>
            </w:tcBorders>
            <w:tcMar>
              <w:top w:w="150" w:type="dxa"/>
              <w:bottom w:w="150" w:type="dxa"/>
              <w:left w:w="150" w:type="dxa"/>
              <w:right w:w="150" w:type="dxa"/>
            </w:tcMar>
          </w:tcPr>
          <w:p>
            <w:pPr>
              <w:spacing w:after="0" w:line="254" w:lineRule="auto"/>
            </w:pPr>
            <w:r>
              <w:rPr>
                <w:b w:val="0"/>
                <w:sz w:val="21"/>
              </w:rPr>
              <w:t>Een scherpe leervraag en een eerste praktijkexperiment.</w:t>
            </w:r>
          </w:p>
        </w:tc>
      </w:tr>
      <w:tr>
        <w:trPr>
          <w:cantSplit/>
          <w:cantSplit/>
          <w:cantSplit/>
        </w:trPr>
        <w:tc>
          <w:tcPr>
            <w:tcW w:type="dxa" w:w="1984"/>
            <w:vAlign w:val="center"/>
            <w:shd w:fill="FFFFFF"/>
            <w:tcBorders>
              <w:top w:val="single" w:sz="4" w:color="D9D9D9"/>
              <w:left w:val="single" w:sz="4" w:color="D9D9D9"/>
              <w:bottom w:val="single" w:sz="4" w:color="D9D9D9"/>
              <w:right w:val="single" w:sz="4" w:color="D9D9D9"/>
            </w:tcBorders>
            <w:tcMar>
              <w:top w:w="150" w:type="dxa"/>
              <w:bottom w:w="150" w:type="dxa"/>
              <w:left w:w="150" w:type="dxa"/>
              <w:right w:w="150" w:type="dxa"/>
            </w:tcMar>
          </w:tcPr>
          <w:p>
            <w:pPr>
              <w:spacing w:after="0" w:line="254" w:lineRule="auto"/>
            </w:pPr>
            <w:r>
              <w:rPr>
                <w:b/>
                <w:sz w:val="21"/>
              </w:rPr>
              <w:t>02</w:t>
              <w:br/>
              <w:t>Verdiepen</w:t>
            </w:r>
          </w:p>
        </w:tc>
        <w:tc>
          <w:tcPr>
            <w:tcW w:type="dxa" w:w="4309"/>
            <w:vAlign w:val="center"/>
            <w:shd w:fill="FFFFFF"/>
            <w:tcBorders>
              <w:top w:val="single" w:sz="4" w:color="D9D9D9"/>
              <w:left w:val="single" w:sz="4" w:color="D9D9D9"/>
              <w:bottom w:val="single" w:sz="4" w:color="D9D9D9"/>
              <w:right w:val="single" w:sz="4" w:color="D9D9D9"/>
            </w:tcBorders>
            <w:tcMar>
              <w:top w:w="150" w:type="dxa"/>
              <w:bottom w:w="150" w:type="dxa"/>
              <w:left w:w="150" w:type="dxa"/>
              <w:right w:w="150" w:type="dxa"/>
            </w:tcMar>
          </w:tcPr>
          <w:p>
            <w:pPr>
              <w:spacing w:after="0" w:line="254" w:lineRule="auto"/>
            </w:pPr>
            <w:r>
              <w:rPr>
                <w:b w:val="0"/>
                <w:sz w:val="21"/>
              </w:rPr>
              <w:t>Reflecterende kring</w:t>
              <w:br/>
              <w:t>Je situatie vanuit andere perspectieven bekijken.</w:t>
              <w:br/>
              <w:br/>
              <w:t>Van inzicht naar oefening</w:t>
              <w:br/>
              <w:t>Ander gedrag uitproberen in drietallen.</w:t>
            </w:r>
          </w:p>
        </w:tc>
        <w:tc>
          <w:tcPr>
            <w:tcW w:type="dxa" w:w="3458"/>
            <w:vAlign w:val="center"/>
            <w:shd w:fill="FFFFFF"/>
            <w:tcBorders>
              <w:top w:val="single" w:sz="4" w:color="D9D9D9"/>
              <w:left w:val="single" w:sz="4" w:color="D9D9D9"/>
              <w:bottom w:val="single" w:sz="4" w:color="D9D9D9"/>
              <w:right w:val="single" w:sz="4" w:color="D9D9D9"/>
            </w:tcBorders>
            <w:tcMar>
              <w:top w:w="150" w:type="dxa"/>
              <w:bottom w:w="150" w:type="dxa"/>
              <w:left w:w="150" w:type="dxa"/>
              <w:right w:w="150" w:type="dxa"/>
            </w:tcMar>
          </w:tcPr>
          <w:p>
            <w:pPr>
              <w:spacing w:after="0" w:line="254" w:lineRule="auto"/>
            </w:pPr>
            <w:r>
              <w:rPr>
                <w:b w:val="0"/>
                <w:sz w:val="21"/>
              </w:rPr>
              <w:t>Zicht op eigen patronen en een aanpak die je hebt geoefend.</w:t>
            </w:r>
          </w:p>
        </w:tc>
      </w:tr>
      <w:tr>
        <w:trPr>
          <w:cantSplit/>
          <w:cantSplit/>
          <w:cantSplit/>
        </w:trPr>
        <w:tc>
          <w:tcPr>
            <w:tcW w:type="dxa" w:w="1984"/>
            <w:vAlign w:val="center"/>
            <w:shd w:fill="F0F5F6"/>
            <w:tcBorders>
              <w:top w:val="single" w:sz="4" w:color="D9D9D9"/>
              <w:left w:val="single" w:sz="4" w:color="D9D9D9"/>
              <w:bottom w:val="single" w:sz="4" w:color="D9D9D9"/>
              <w:right w:val="single" w:sz="4" w:color="D9D9D9"/>
            </w:tcBorders>
            <w:tcMar>
              <w:top w:w="150" w:type="dxa"/>
              <w:bottom w:w="150" w:type="dxa"/>
              <w:left w:w="150" w:type="dxa"/>
              <w:right w:w="150" w:type="dxa"/>
            </w:tcMar>
          </w:tcPr>
          <w:p>
            <w:pPr>
              <w:spacing w:after="0" w:line="254" w:lineRule="auto"/>
            </w:pPr>
            <w:r>
              <w:rPr>
                <w:b/>
                <w:sz w:val="21"/>
              </w:rPr>
              <w:t>03</w:t>
              <w:br/>
              <w:t>Voortzetten</w:t>
            </w:r>
          </w:p>
        </w:tc>
        <w:tc>
          <w:tcPr>
            <w:tcW w:type="dxa" w:w="4309"/>
            <w:vAlign w:val="center"/>
            <w:shd w:fill="F0F5F6"/>
            <w:tcBorders>
              <w:top w:val="single" w:sz="4" w:color="D9D9D9"/>
              <w:left w:val="single" w:sz="4" w:color="D9D9D9"/>
              <w:bottom w:val="single" w:sz="4" w:color="D9D9D9"/>
              <w:right w:val="single" w:sz="4" w:color="D9D9D9"/>
            </w:tcBorders>
            <w:tcMar>
              <w:top w:w="150" w:type="dxa"/>
              <w:bottom w:w="150" w:type="dxa"/>
              <w:left w:w="150" w:type="dxa"/>
              <w:right w:w="150" w:type="dxa"/>
            </w:tcMar>
          </w:tcPr>
          <w:p>
            <w:pPr>
              <w:spacing w:after="0" w:line="254" w:lineRule="auto"/>
            </w:pPr>
            <w:r>
              <w:rPr>
                <w:b w:val="0"/>
                <w:sz w:val="21"/>
              </w:rPr>
              <w:t>Complimentenmethode</w:t>
              <w:br/>
              <w:t>Voortbouwen op kwaliteiten en wat al werkt.</w:t>
              <w:br/>
              <w:br/>
              <w:t>Zelf intervisie begeleiden</w:t>
              <w:br/>
              <w:t>Samen een korte intervisieronde uitvoeren.</w:t>
            </w:r>
          </w:p>
        </w:tc>
        <w:tc>
          <w:tcPr>
            <w:tcW w:type="dxa" w:w="3458"/>
            <w:vAlign w:val="center"/>
            <w:shd w:fill="F0F5F6"/>
            <w:tcBorders>
              <w:top w:val="single" w:sz="4" w:color="D9D9D9"/>
              <w:left w:val="single" w:sz="4" w:color="D9D9D9"/>
              <w:bottom w:val="single" w:sz="4" w:color="D9D9D9"/>
              <w:right w:val="single" w:sz="4" w:color="D9D9D9"/>
            </w:tcBorders>
            <w:tcMar>
              <w:top w:w="150" w:type="dxa"/>
              <w:bottom w:w="150" w:type="dxa"/>
              <w:left w:w="150" w:type="dxa"/>
              <w:right w:w="150" w:type="dxa"/>
            </w:tcMar>
          </w:tcPr>
          <w:p>
            <w:pPr>
              <w:spacing w:after="0" w:line="254" w:lineRule="auto"/>
            </w:pPr>
            <w:r>
              <w:rPr>
                <w:b w:val="0"/>
                <w:sz w:val="21"/>
              </w:rPr>
              <w:t>Meer zicht op je kwaliteiten en afspraken om verder te leren.</w:t>
            </w:r>
          </w:p>
        </w:tc>
      </w:tr>
    </w:tbl>
    <w:p>
      <w:pPr>
        <w:pStyle w:val="Heading2"/>
      </w:pPr>
      <w:r>
        <w:t>Praktisch</w:t>
      </w:r>
    </w:p>
    <w:p>
      <w:r>
        <w:t>3 bijeenkomsten van 2 uur  •  6 vaste deelnemers  •  1 begeleider</w:t>
        <w:br/>
        <w:t>3 à 4 weken tussen de sessies  •  Inclusief pauze</w:t>
      </w:r>
    </w:p>
    <w:p>
      <w:pPr>
        <w:pStyle w:val="Heading2"/>
      </w:pPr>
      <w:r>
        <w:t>Wat vragen we van jou</w:t>
      </w:r>
    </w:p>
    <w:p>
      <w:r>
        <w:t>Neem een recente werkervaring en een persoonlijke leervraag mee. Luister nieuwsgierig, stel open vragen en probeer tussen de sessies iets nieuws uit. Ervaring met intervisie is niet nodig.</w:t>
      </w:r>
    </w:p>
    <w:p>
      <w:pPr>
        <w:pStyle w:val="Heading2"/>
      </w:pPr>
      <w:r>
        <w:t>Samen leren in vertrouwen</w:t>
      </w:r>
    </w:p>
    <w:p>
      <w:r>
        <w:t>We spreken vertrouwelijkheid af en luisteren zonder oordeel. Je bepaalt zelf wat je deelt en welke inzichten je meeneemt. Iedereen krijgt ruimte om te oefenen.</w:t>
      </w:r>
    </w:p>
    <w:sectPr w:rsidR="00FC693F" w:rsidRPr="0006063C" w:rsidSect="00034616">
      <w:pgSz w:w="11906" w:h="16838"/>
      <w:pgMar w:top="1020" w:right="1077" w:bottom="964" w:left="107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59" w:lineRule="auto"/>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140" w:line="259" w:lineRule="auto"/>
      <w:outlineLvl w:val="0"/>
    </w:pPr>
    <w:rPr>
      <w:rFonts w:asciiTheme="majorHAnsi" w:eastAsiaTheme="majorEastAsia" w:hAnsiTheme="majorHAnsi" w:cstheme="majorBidi" w:ascii="Calibri" w:hAnsi="Calibri"/>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80" w:after="140" w:line="259" w:lineRule="auto"/>
      <w:outlineLvl w:val="1"/>
    </w:pPr>
    <w:rPr>
      <w:rFonts w:asciiTheme="majorHAnsi" w:eastAsiaTheme="majorEastAsia" w:hAnsiTheme="majorHAnsi" w:cstheme="majorBidi" w:ascii="Calibri" w:hAnsi="Calibr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40" w:line="259" w:lineRule="auto"/>
      <w:contextualSpacing/>
    </w:pPr>
    <w:rPr>
      <w:rFonts w:asciiTheme="majorHAnsi" w:eastAsiaTheme="majorEastAsia" w:hAnsiTheme="majorHAnsi" w:cstheme="majorBidi" w:ascii="Calibri" w:hAnsi="Calibri"/>
      <w:color w:val="000000"/>
      <w:spacing w:val="5"/>
      <w:kern w:val="28"/>
      <w:sz w:val="6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40" w:line="259" w:lineRule="auto"/>
    </w:pPr>
    <w:rPr>
      <w:rFonts w:asciiTheme="majorHAnsi" w:eastAsiaTheme="majorEastAsia" w:hAnsiTheme="majorHAnsi" w:cstheme="majorBidi" w:ascii="Calibri" w:hAnsi="Calibri"/>
      <w:i/>
      <w:iCs/>
      <w:color w:val="000000"/>
      <w:spacing w:val="15"/>
      <w:sz w:val="30"/>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Intervisie in drie sessies</dc:title>
  <dc:subject>Brochure</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