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3F95B">
      <w:pPr>
        <w:spacing w:after="0" w:line="360" w:lineRule="auto"/>
        <w:jc w:val="both"/>
      </w:pPr>
    </w:p>
    <w:p w14:paraId="00B37187">
      <w:pPr>
        <w:spacing w:after="32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本科毕业论文（设计）</w:t>
      </w:r>
    </w:p>
    <w:p w14:paraId="66056A6E">
      <w:pPr>
        <w:spacing w:after="80" w:line="360" w:lineRule="auto"/>
        <w:jc w:val="center"/>
      </w:pPr>
      <w:r>
        <w:rPr>
          <w:rFonts w:ascii="Times New Roman" w:hAnsi="Times New Roman" w:eastAsia="黑体"/>
          <w:b/>
          <w:sz w:val="36"/>
        </w:rPr>
        <w:t>基于 Spring Boot + Vue 的冷库设备</w:t>
      </w:r>
    </w:p>
    <w:p w14:paraId="3D674577">
      <w:pPr>
        <w:spacing w:after="400" w:line="360" w:lineRule="auto"/>
        <w:jc w:val="center"/>
      </w:pPr>
      <w:r>
        <w:rPr>
          <w:rFonts w:ascii="Times New Roman" w:hAnsi="Times New Roman" w:eastAsia="黑体"/>
          <w:b/>
          <w:sz w:val="36"/>
        </w:rPr>
        <w:t>综合运维管理系统的设计与实现</w:t>
      </w:r>
    </w:p>
    <w:p w14:paraId="5FDC3E18">
      <w:pPr>
        <w:spacing w:after="56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（第1–4章：绪论 · 关键技术 · 系统分析 · 系统设计）</w:t>
      </w:r>
    </w:p>
    <w:p w14:paraId="10E69D4F">
      <w:pPr>
        <w:spacing w:after="12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专业：软件工程</w:t>
      </w:r>
    </w:p>
    <w:p w14:paraId="383DC7B7">
      <w:pPr>
        <w:spacing w:after="12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题目方向：软件应用与开发类</w:t>
      </w:r>
    </w:p>
    <w:p w14:paraId="55C5B51A">
      <w:r>
        <w:br w:type="page"/>
      </w:r>
    </w:p>
    <w:p w14:paraId="05A8B7E9">
      <w:pPr>
        <w:spacing w:before="240" w:after="200" w:line="360" w:lineRule="auto"/>
        <w:jc w:val="center"/>
      </w:pPr>
      <w:r>
        <w:rPr>
          <w:rFonts w:ascii="Times New Roman" w:hAnsi="Times New Roman" w:eastAsia="黑体"/>
          <w:b/>
          <w:sz w:val="32"/>
        </w:rPr>
        <w:t>摘　要</w:t>
      </w:r>
    </w:p>
    <w:p w14:paraId="41C21EFE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针对冷库现场设备种类多、故障处置链条长、维保与库存协同不足等问题，本文设计并实现了一套基于 Spring Boot 与 Vue 的冷库设备综合运维管理系统。系统面向管理员、运维人员与甲方用户三类角色，覆盖冷库与冷藏间管理、设备台账与生命周期、七状态运维工单闭环、故障记录与案例库、维保计划与任务、备件与供应商、设备健康分析、数据统计中心以及消息提醒等功能。后端采用 Spring Boot、MyBatis-Plus、MySQL，并结合 Redis、WebSocket 与文件/Excel 能力；前端采用 Vue2、ElementUI、ECharts。本文前四章给出研究背景、关键技术、需求分析与系统设计。</w:t>
      </w:r>
    </w:p>
    <w:p w14:paraId="781B37AF">
      <w:pPr>
        <w:spacing w:after="120" w:line="360" w:lineRule="auto"/>
        <w:jc w:val="both"/>
      </w:pPr>
      <w:r>
        <w:rPr>
          <w:rFonts w:ascii="Times New Roman" w:hAnsi="Times New Roman" w:eastAsia="宋体"/>
          <w:b/>
          <w:sz w:val="24"/>
        </w:rPr>
        <w:t>关键词：冷库运维；工单管理；Spring Boot；Vue；需求分析；系统设计</w:t>
      </w:r>
    </w:p>
    <w:p w14:paraId="606C2FFC">
      <w:r>
        <w:br w:type="page"/>
      </w:r>
    </w:p>
    <w:p w14:paraId="4437F1C3">
      <w:pPr>
        <w:spacing w:before="240" w:after="360" w:line="360" w:lineRule="auto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sdt>
      <w:sdtPr>
        <w:docPartObj>
          <w:docPartGallery w:val="Table of Contents"/>
          <w:docPartUnique/>
        </w:docPartObj>
        <w:id w:val="-2067850240"/>
      </w:sdtPr>
      <w:sdtContent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sz w:val="21"/>
            </w:rPr>
            <w:t xml:space="preserve">请右键此处，选择“更新域”，再选“更新整个目录”。</w:t>
          </w:r>
          <w:r>
            <w:fldChar w:fldCharType="end"/>
          </w:r>
        </w:p>
      </w:sdtContent>
    </w:sdt>
    <w:p>
      <w:pPr>
        <w:spacing w:before="160"/>
        <w:jc w:val="left"/>
      </w:pPr>
      <w:r>
        <w:rPr>
          <w:rFonts w:ascii="Times New Roman" w:hAnsi="Times New Roman" w:eastAsia="宋体"/>
          <w:b w:val="0"/>
          <w:sz w:val="21"/>
        </w:rPr>
        <w:t>操作：用 WPS/Word 打开后，单击上方灰色目录块 → 点「更新目录」；或右键目录 → 更新域 → 更新整个目录。</w:t>
      </w:r>
    </w:p>
    <w:p w14:paraId="35A4DF05">
      <w:pPr>
        <w:pStyle w:val="3"/>
        <w:spacing w:before="240" w:after="200" w:line="360" w:lineRule="auto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第1章　绪论</w:t>
      </w:r>
    </w:p>
    <w:p w14:paraId="078314A8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1.1　研究背景及意义</w:t>
      </w:r>
    </w:p>
    <w:p w14:paraId="323E901D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1.1.1　研究背景</w:t>
      </w:r>
    </w:p>
    <w:p w14:paraId="52C48FAC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冷链仓储是保障生鲜农产品、医药与食品质量安全的重要基础设施。冷库现场通常部署压缩机主机、蒸发器/风机、融霜与排水电热、传感器及控制器等多类设备，设备异常可能导致库温波动甚至货损。传统运维依赖电话报修与纸质台账，存在信息不完整、派工不透明、过程难追溯、维保难落地、备件与维修脱节等问题。</w:t>
      </w:r>
    </w:p>
    <w:p w14:paraId="66BD8D57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企业信息化与设备全生命周期管理理念普及后，需要一套多角色协同系统：甲方快速报修与跟踪，运维按指派闭环处置并沉淀经验，管理员完成派单、台账、维保与统计。基于 Web 的前后端分离架构适合作为软件应用与开发类毕业设计落地。</w:t>
      </w:r>
    </w:p>
    <w:p w14:paraId="506BFB38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1.1.2　研究意义</w:t>
      </w:r>
    </w:p>
    <w:p w14:paraId="16CE046F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意义主要体现在：规范报修到验收评价全流程；将预防性维保与故障维修分轨管理；打通工单领用与备件库存；通过规则化健康分析与统计看板辅助决策；并以软件工程方法完成分析、设计、实现与测试。</w:t>
      </w:r>
    </w:p>
    <w:p w14:paraId="2E9C7D31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1.2　国内外研究现状</w:t>
      </w:r>
    </w:p>
    <w:p w14:paraId="7BAC0BFE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1.2.1　国外研究现状</w:t>
      </w:r>
    </w:p>
    <w:p w14:paraId="47EC49F8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国外 CMMS/设施运维研究较成熟，强调资产台账、预防性维护、工单与备件一体化；冷链方向常结合监测采集。商业系统完备，但本地化规则与毕设可实现规模存在差距。</w:t>
      </w:r>
    </w:p>
    <w:p w14:paraId="5D5BDC80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1.2.2　国内研究现状</w:t>
      </w:r>
    </w:p>
    <w:p w14:paraId="5F84ECDF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国内研究多集中在组态监控或仓储业务，完整工单链及维保、案例、健康分析、消息协同的综合运维平台仍相对分散。本文吸收 CMMS 思想，面向冷库设备对象构建可落地的多角色运维系统。</w:t>
      </w:r>
    </w:p>
    <w:p w14:paraId="5CB269B9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1.3　研究目标及内容</w:t>
      </w:r>
    </w:p>
    <w:p w14:paraId="5E3A5CD6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1.3.1　研究目标</w:t>
      </w:r>
    </w:p>
    <w:p w14:paraId="7917ED8C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设计并实现功能完整、权限清晰、易用的冷库设备综合运维管理系统，形成可演示、可测试的软件作品。</w:t>
      </w:r>
    </w:p>
    <w:p w14:paraId="485D6905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1.3.2　研究内容</w:t>
      </w:r>
    </w:p>
    <w:p w14:paraId="6AEB54CF"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（1）需求分析：活动图、用例图与用例说明、非功能需求。</w:t>
      </w:r>
    </w:p>
    <w:p w14:paraId="66F0BF67"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（2）系统设计：架构、功能结构、时序/类设计、数据库设计。</w:t>
      </w:r>
    </w:p>
    <w:p w14:paraId="3FFE4D65"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（3）系统实现与测试（后续章节）。</w:t>
      </w:r>
    </w:p>
    <w:p w14:paraId="6492F2F6">
      <w:r>
        <w:br w:type="page"/>
      </w:r>
    </w:p>
    <w:p w14:paraId="6B1A9364">
      <w:pPr>
        <w:pStyle w:val="3"/>
        <w:spacing w:before="240" w:after="200" w:line="360" w:lineRule="auto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第2章　关键技术介绍</w:t>
      </w:r>
    </w:p>
    <w:p w14:paraId="4F8B292F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2.1　Spring Boot 框架</w:t>
      </w:r>
    </w:p>
    <w:p w14:paraId="7BE31C29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Spring Boot 简化 Spring 应用搭建与部署，具备自动配置与 Starter 机制。本系统后端据此构建 REST 接口，并结合拦截器完成 JWT 鉴权。</w:t>
      </w:r>
    </w:p>
    <w:p w14:paraId="42BB2917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2.2　Vue2 与 ElementUI</w:t>
      </w:r>
    </w:p>
    <w:p w14:paraId="4D54D7B9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Vue2 组件化开发，配合 Vue Router 与 Axios；ElementUI 提供管理端常用组件，支撑多角色业务页面。</w:t>
      </w:r>
    </w:p>
    <w:p w14:paraId="4B8C3398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2.3　MySQL 数据库</w:t>
      </w:r>
    </w:p>
    <w:p w14:paraId="07DB174F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MySQL 存储用户、冷库、设备、工单、库存等结构化数据，通过约束与索引保障一致性与检索性能。</w:t>
      </w:r>
    </w:p>
    <w:p w14:paraId="75A62AD7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2.4　MyBatis-Plus</w:t>
      </w:r>
    </w:p>
    <w:p w14:paraId="4FDA87A7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提供通用 Mapper 与条件构造器，减少单表 CRUD 样板代码，复杂规则在 Service 层封装。</w:t>
      </w:r>
    </w:p>
    <w:p w14:paraId="47BA1CEC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2.5　Redis</w:t>
      </w:r>
    </w:p>
    <w:p w14:paraId="632119A8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用于 Token 黑名单等缓存场景；不可用时降级本地缓存，避免接口长时间阻塞。</w:t>
      </w:r>
    </w:p>
    <w:p w14:paraId="10C0CF5E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2.6　WebSocket 与文件/Excel</w:t>
      </w:r>
    </w:p>
    <w:p w14:paraId="499729C1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WebSocket 推送消息提醒；本地上传保存图片；POI 实现设备台账导入导出。</w:t>
      </w:r>
    </w:p>
    <w:p w14:paraId="6100477E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2.7　ECharts</w:t>
      </w:r>
    </w:p>
    <w:p w14:paraId="72DF773A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用于统计中心工单、故障、维保、库存等可视化图表。</w:t>
      </w:r>
    </w:p>
    <w:p w14:paraId="42A0E827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2.8　本章小结</w:t>
      </w:r>
    </w:p>
    <w:p w14:paraId="7655C915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上述技术分别支撑后端服务、前端交互、数据持久化、缓存推送与可视化，为系统分析与设计提供基础。</w:t>
      </w:r>
    </w:p>
    <w:p w14:paraId="75313303">
      <w:r>
        <w:br w:type="page"/>
      </w:r>
    </w:p>
    <w:p w14:paraId="1FA29EF8">
      <w:pPr>
        <w:pStyle w:val="3"/>
        <w:spacing w:before="240" w:after="200" w:line="360" w:lineRule="auto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第3章　系统分析</w:t>
      </w:r>
    </w:p>
    <w:p w14:paraId="00EF148A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按照软件应用与开发类毕设对分析部分的要求，本章给出业务活动图、用例图及用例文字说明，并补充非功能性需求。用例图绘制参考软件工程范本风格：参与者扇形关联、系统边界内椭圆用例，以及必要的 &lt;&lt;include&gt;&gt; 关系，并保证图形元素互不遮挡。</w:t>
      </w:r>
    </w:p>
    <w:p w14:paraId="6F6B7841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3.1　系统分析概述</w:t>
      </w:r>
    </w:p>
    <w:p w14:paraId="44386A9D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使用者归纳为管理员、运维人员与甲方用户。（1）甲方：设备浏览与报修、本人工单跟踪、验收评价、消息与个人中心；（2）运维：处理指派工单、故障与案例、维保任务、备件领用、工作台与消息；（3）管理员：用户权限、台账、派单管控、维保计划、库存、健康与统计、日志审计。</w:t>
      </w:r>
    </w:p>
    <w:p w14:paraId="32195406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报修—派单—处理—验收主业务活动如图3.0所示。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139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1399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96DCBD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图3.0　运维工单报修—验收业务活动图</w:t>
      </w:r>
    </w:p>
    <w:p w14:paraId="4FF41B7D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预防性维保流程如图3.11所示。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71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7127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B0141A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图3.11　预防性维保业务活动图</w:t>
      </w:r>
    </w:p>
    <w:p w14:paraId="55EF4510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角色关系用例图如图3.1所示。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4729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7291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AE0254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图3.1　角色关系用例图</w:t>
      </w:r>
    </w:p>
    <w:p w14:paraId="26A23DBC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3.2　系统功能性需求分析</w:t>
      </w:r>
    </w:p>
    <w:p w14:paraId="3AB22C23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3.2.1　甲方用户的功能分析</w:t>
      </w:r>
    </w:p>
    <w:p w14:paraId="6593AA6D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甲方用户可进行设备浏览与报修、本人工单跟踪与验收评价、个人中心与消息查看等。甲方用户用例图如图3.2所示。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35730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573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366BBE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图3.2　甲方用户用例图</w:t>
      </w:r>
    </w:p>
    <w:p w14:paraId="45C2D836">
      <w:pPr>
        <w:spacing w:after="120" w:line="360" w:lineRule="auto"/>
        <w:jc w:val="both"/>
      </w:pPr>
      <w:r>
        <w:rPr>
          <w:rFonts w:ascii="Times New Roman" w:hAnsi="Times New Roman" w:eastAsia="宋体"/>
          <w:b/>
          <w:sz w:val="24"/>
        </w:rPr>
        <w:t>（1）登录与退出</w:t>
      </w:r>
    </w:p>
    <w:p w14:paraId="11DD7773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甲方通过账号密码登录，系统签发 JWT；退出时清除会话并将 Token 写入黑名单。</w:t>
      </w:r>
    </w:p>
    <w:p w14:paraId="095EC503">
      <w:pPr>
        <w:spacing w:after="120" w:line="360" w:lineRule="auto"/>
        <w:jc w:val="both"/>
      </w:pPr>
      <w:r>
        <w:rPr>
          <w:rFonts w:ascii="Times New Roman" w:hAnsi="Times New Roman" w:eastAsia="宋体"/>
          <w:b/>
          <w:sz w:val="24"/>
        </w:rPr>
        <w:t>（2）浏览设备台账</w:t>
      </w:r>
    </w:p>
    <w:p w14:paraId="7FE413D7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甲方可查询并查看全部设备（含公共设备），不可增删改。浏览设备台账用例图如图3.3所示。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9942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942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837011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图3.3　浏览设备台账用例图</w:t>
      </w:r>
    </w:p>
    <w:p w14:paraId="48B88184">
      <w:pPr>
        <w:spacing w:after="120" w:line="360" w:lineRule="auto"/>
        <w:jc w:val="both"/>
      </w:pPr>
      <w:r>
        <w:rPr>
          <w:rFonts w:ascii="Times New Roman" w:hAnsi="Times New Roman" w:eastAsia="宋体"/>
          <w:b/>
          <w:sz w:val="24"/>
        </w:rPr>
        <w:t>（3）提交报修工单</w:t>
      </w:r>
    </w:p>
    <w:p w14:paraId="3A4D5540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甲方选择设备填写故障描述并可上传图片，系统生成待受理工单并通知管理员。用例图如图3.4所示。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9942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942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8A50E5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图3.4　提交报修工单用例图</w:t>
      </w:r>
    </w:p>
    <w:p w14:paraId="26503B9C">
      <w:pPr>
        <w:spacing w:after="12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表3.1　“提交报修工单”用例说明</w:t>
      </w:r>
    </w:p>
    <w:p w14:paraId="57053513">
      <w:pPr>
        <w:spacing w:after="120" w:line="360" w:lineRule="auto"/>
        <w:jc w:val="center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EA19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03C60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</w:t>
            </w:r>
          </w:p>
        </w:tc>
        <w:tc>
          <w:tcPr>
            <w:tcW w:w="4323" w:type="dxa"/>
          </w:tcPr>
          <w:p w14:paraId="1BDDDE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内容</w:t>
            </w:r>
          </w:p>
        </w:tc>
      </w:tr>
      <w:tr w14:paraId="0781E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15595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用例名称</w:t>
            </w:r>
          </w:p>
        </w:tc>
        <w:tc>
          <w:tcPr>
            <w:tcW w:w="4323" w:type="dxa"/>
          </w:tcPr>
          <w:p w14:paraId="078D00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提交报修工单</w:t>
            </w:r>
          </w:p>
        </w:tc>
      </w:tr>
      <w:tr w14:paraId="56851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50B53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w="4323" w:type="dxa"/>
          </w:tcPr>
          <w:p w14:paraId="5A7F44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甲方用户</w:t>
            </w:r>
          </w:p>
        </w:tc>
      </w:tr>
      <w:tr w14:paraId="12B74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596FAE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w="4323" w:type="dxa"/>
          </w:tcPr>
          <w:p w14:paraId="3B5C38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已登录；存在可选设备</w:t>
            </w:r>
          </w:p>
        </w:tc>
      </w:tr>
      <w:tr w14:paraId="4968F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A8D48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w="4323" w:type="dxa"/>
          </w:tcPr>
          <w:p w14:paraId="17835C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生成待受理工单；设备状态联动；管理员收到消息</w:t>
            </w:r>
          </w:p>
        </w:tc>
      </w:tr>
      <w:tr w14:paraId="2C47B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113C5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基本事件流</w:t>
            </w:r>
          </w:p>
        </w:tc>
        <w:tc>
          <w:tcPr>
            <w:tcW w:w="4323" w:type="dxa"/>
          </w:tcPr>
          <w:p w14:paraId="77CB46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选择设备→填写描述/上传图片→提交→生成工单号</w:t>
            </w:r>
          </w:p>
        </w:tc>
      </w:tr>
      <w:tr w14:paraId="0FDE7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CB027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异常事件流</w:t>
            </w:r>
          </w:p>
        </w:tc>
        <w:tc>
          <w:tcPr>
            <w:tcW w:w="4323" w:type="dxa"/>
          </w:tcPr>
          <w:p w14:paraId="4DEF53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校验失败或上传超限时提示并拒绝</w:t>
            </w:r>
          </w:p>
        </w:tc>
      </w:tr>
      <w:tr w14:paraId="22B5C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E8B7F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优先级</w:t>
            </w:r>
          </w:p>
        </w:tc>
        <w:tc>
          <w:tcPr>
            <w:tcW w:w="4323" w:type="dxa"/>
          </w:tcPr>
          <w:p w14:paraId="506249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</w:tbl>
    <w:p w14:paraId="6518F90F">
      <w:pPr>
        <w:spacing w:after="80" w:line="360" w:lineRule="auto"/>
        <w:jc w:val="both"/>
      </w:pPr>
    </w:p>
    <w:p w14:paraId="2593D48A">
      <w:pPr>
        <w:spacing w:after="120" w:line="360" w:lineRule="auto"/>
        <w:jc w:val="both"/>
      </w:pPr>
      <w:r>
        <w:rPr>
          <w:rFonts w:ascii="Times New Roman" w:hAnsi="Times New Roman" w:eastAsia="宋体"/>
          <w:b/>
          <w:sz w:val="24"/>
        </w:rPr>
        <w:t>（4）查看本人工单、确认验收与评价、个人中心与消息中心</w:t>
      </w:r>
    </w:p>
    <w:p w14:paraId="3D9511F7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甲方仅查看本人单据；待验收可确认完工；完成后可评价；支持消息已读与实时提醒。</w:t>
      </w:r>
    </w:p>
    <w:p w14:paraId="76C27FD8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3.2.2　运维人员的功能分析</w:t>
      </w:r>
    </w:p>
    <w:p w14:paraId="7782C5D3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运维人员处理指派工单、维护故障与案例、执行维保、参与备件业务，并使用工作台与消息。用例图如图3.5所示。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3912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9125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1A380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图3.5　运维人员用例图</w:t>
      </w:r>
    </w:p>
    <w:p w14:paraId="00E6B677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处理运维工单是核心用例：接单、填报过程与备件、上传维修图片、提交完工。用例图如图3.6所示。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9942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942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BB19D6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图3.6　处理运维工单用例图</w:t>
      </w:r>
    </w:p>
    <w:p w14:paraId="4BF7252B">
      <w:pPr>
        <w:spacing w:after="12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表3.2　“处理运维工单”用例说明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0DF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6B9CA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</w:t>
            </w:r>
          </w:p>
        </w:tc>
        <w:tc>
          <w:tcPr>
            <w:tcW w:w="4323" w:type="dxa"/>
          </w:tcPr>
          <w:p w14:paraId="21F250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内容</w:t>
            </w:r>
          </w:p>
        </w:tc>
      </w:tr>
      <w:tr w14:paraId="6A790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47CF0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用例名称</w:t>
            </w:r>
          </w:p>
        </w:tc>
        <w:tc>
          <w:tcPr>
            <w:tcW w:w="4323" w:type="dxa"/>
          </w:tcPr>
          <w:p w14:paraId="2F2CFF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处理运维工单</w:t>
            </w:r>
          </w:p>
        </w:tc>
      </w:tr>
      <w:tr w14:paraId="64BEA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0B5EB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w="4323" w:type="dxa"/>
          </w:tcPr>
          <w:p w14:paraId="6FA527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运维人员</w:t>
            </w:r>
          </w:p>
        </w:tc>
      </w:tr>
      <w:tr w14:paraId="0545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192B32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w="4323" w:type="dxa"/>
          </w:tcPr>
          <w:p w14:paraId="7291784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存在指派给本人的已派单/处理中工单</w:t>
            </w:r>
          </w:p>
        </w:tc>
      </w:tr>
      <w:tr w14:paraId="6986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12624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w="4323" w:type="dxa"/>
          </w:tcPr>
          <w:p w14:paraId="61F3973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工单待验收；库存按领用扣减；甲方收到提醒</w:t>
            </w:r>
          </w:p>
        </w:tc>
      </w:tr>
      <w:tr w14:paraId="7F1B7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E111DE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基本事件流</w:t>
            </w:r>
          </w:p>
        </w:tc>
        <w:tc>
          <w:tcPr>
            <w:tcW w:w="4323" w:type="dxa"/>
          </w:tcPr>
          <w:p w14:paraId="6B76C0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接单→填报→登记备件→上传图片→提交完工</w:t>
            </w:r>
          </w:p>
        </w:tc>
      </w:tr>
      <w:tr w14:paraId="64CE2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0FB87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优先级</w:t>
            </w:r>
          </w:p>
        </w:tc>
        <w:tc>
          <w:tcPr>
            <w:tcW w:w="4323" w:type="dxa"/>
          </w:tcPr>
          <w:p w14:paraId="0468B8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</w:tbl>
    <w:p w14:paraId="2CD0B92E">
      <w:pPr>
        <w:spacing w:after="80" w:line="360" w:lineRule="auto"/>
        <w:jc w:val="both"/>
      </w:pPr>
    </w:p>
    <w:p w14:paraId="202E7458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3.2.3　管理员的功能分析</w:t>
      </w:r>
    </w:p>
    <w:p w14:paraId="446A9E67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管理员负责平台配置与全流程管控。用例图如图3.7所示。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3912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9125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DB015D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图3.7　管理员用例图</w:t>
      </w:r>
    </w:p>
    <w:p w14:paraId="7479B212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用户管理用例如图3.8所示；设备台账管理如图3.9所示；工单全流程管控如图3.10所示。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9942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942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31B793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图3.8　管理用户用例图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9942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942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56AC26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图3.9　设备台账管理用例图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9942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942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D3A2BE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图3.10　工单全流程管控用例图</w:t>
      </w:r>
    </w:p>
    <w:p w14:paraId="233D64AE">
      <w:pPr>
        <w:spacing w:after="12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表3.3　“工单派单”用例说明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9732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08FB7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</w:t>
            </w:r>
          </w:p>
        </w:tc>
        <w:tc>
          <w:tcPr>
            <w:tcW w:w="4323" w:type="dxa"/>
          </w:tcPr>
          <w:p w14:paraId="484D32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内容</w:t>
            </w:r>
          </w:p>
        </w:tc>
      </w:tr>
      <w:tr w14:paraId="29AC5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02F22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用例名称</w:t>
            </w:r>
          </w:p>
        </w:tc>
        <w:tc>
          <w:tcPr>
            <w:tcW w:w="4323" w:type="dxa"/>
          </w:tcPr>
          <w:p w14:paraId="187BDD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工单派单</w:t>
            </w:r>
          </w:p>
        </w:tc>
      </w:tr>
      <w:tr w14:paraId="6EC46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705FD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w="4323" w:type="dxa"/>
          </w:tcPr>
          <w:p w14:paraId="4BBCA4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</w:tr>
      <w:tr w14:paraId="076B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99CBF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w="4323" w:type="dxa"/>
          </w:tcPr>
          <w:p w14:paraId="31BF98F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存在待受理工单与可用运维账号</w:t>
            </w:r>
          </w:p>
        </w:tc>
      </w:tr>
      <w:tr w14:paraId="34065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06186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w="4323" w:type="dxa"/>
          </w:tcPr>
          <w:p w14:paraId="785AE1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工单已派单；运维收到消息</w:t>
            </w:r>
          </w:p>
        </w:tc>
      </w:tr>
      <w:tr w14:paraId="206C8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270DE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基本事件流</w:t>
            </w:r>
          </w:p>
        </w:tc>
        <w:tc>
          <w:tcPr>
            <w:tcW w:w="4323" w:type="dxa"/>
          </w:tcPr>
          <w:p w14:paraId="682473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选择运维→确认派单→更新状态并推送</w:t>
            </w:r>
          </w:p>
        </w:tc>
      </w:tr>
      <w:tr w14:paraId="7EE9C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415A3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优先级</w:t>
            </w:r>
          </w:p>
        </w:tc>
        <w:tc>
          <w:tcPr>
            <w:tcW w:w="4323" w:type="dxa"/>
          </w:tcPr>
          <w:p w14:paraId="19B4EB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</w:tr>
    </w:tbl>
    <w:p w14:paraId="3164855D">
      <w:pPr>
        <w:spacing w:after="80" w:line="360" w:lineRule="auto"/>
        <w:jc w:val="both"/>
      </w:pPr>
    </w:p>
    <w:p w14:paraId="0BD3FA9C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3.3　系统非功能性需求分析</w:t>
      </w:r>
    </w:p>
    <w:p w14:paraId="34EC3F0C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3.3.1　可用性</w:t>
      </w:r>
    </w:p>
    <w:p w14:paraId="508B1B86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统一 Web 界面与清晰流程；列表筛选分页；统计图表化；消息角标与推送降低漏看待办。</w:t>
      </w:r>
    </w:p>
    <w:p w14:paraId="3400F66C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3.3.2　安全性</w:t>
      </w:r>
    </w:p>
    <w:p w14:paraId="7FC1A39D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BCrypt 密码；JWT 鉴权；退出黑名单；三角色菜单/接口隔离；关键操作写日志。</w:t>
      </w:r>
    </w:p>
    <w:p w14:paraId="66915C3E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3.3.3　可靠性</w:t>
      </w:r>
    </w:p>
    <w:p w14:paraId="30A665A6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状态机与库存事务校验；Redis 故障自动降级。</w:t>
      </w:r>
    </w:p>
    <w:p w14:paraId="59C7EB11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3.3.4　可扩展性</w:t>
      </w:r>
    </w:p>
    <w:p w14:paraId="73B7F539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前后端分离与模块化，便于扩展字典、模板与通知通道。</w:t>
      </w:r>
    </w:p>
    <w:p w14:paraId="42184E15">
      <w:pPr>
        <w:pStyle w:val="5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3.3.5　可维护性</w:t>
      </w:r>
    </w:p>
    <w:p w14:paraId="34F6680D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按业务模块组织代码，配置集中，库表变更可迁移。</w:t>
      </w:r>
    </w:p>
    <w:p w14:paraId="078129BF">
      <w:pPr>
        <w:pStyle w:val="4"/>
        <w:spacing w:before="16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3.4　本章小结</w:t>
      </w:r>
    </w:p>
    <w:p w14:paraId="1DE446A4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本章完成需求分析：活动图描述主流程，用例图按范本风格绘制并保证不遮挡，用例说明与非功能需求为后续设计提供依据。</w:t>
      </w:r>
    </w:p>
    <w:p w14:paraId="1F1A438A">
      <w:r>
        <w:br w:type="page"/>
      </w:r>
    </w:p>
    <w:p w14:paraId="13CE6A59">
      <w:pPr>
        <w:pStyle w:val="3"/>
        <w:spacing w:before="240" w:after="12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第4章　系统设计</w:t>
      </w:r>
    </w:p>
    <w:p w14:paraId="6DD6717D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在前述需求分析基础上，本章对冷库设备综合运维管理系统进行系统设计，包括技术架构、功能结构、用户端与管理端流程设计以及数据库设计。设计内容与第3章用例保持一致。</w:t>
      </w:r>
    </w:p>
    <w:p w14:paraId="25015A89">
      <w:pPr>
        <w:pStyle w:val="4"/>
        <w:spacing w:before="240" w:after="12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4.1　系统技术架构设计</w:t>
      </w:r>
    </w:p>
    <w:p w14:paraId="0C930159">
      <w:pPr>
        <w:pStyle w:val="5"/>
        <w:spacing w:before="160" w:after="12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4.1.1　系统软件层次架构</w:t>
      </w:r>
    </w:p>
    <w:p w14:paraId="6DE723CD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本系统整体采用前后端分离架构。前端为 Vue2 单页应用，按管理员、运维人员、甲方用户三类角色组织页面；后端基于 Spring Boot，按控制层、业务逻辑层、数据访问层与数据层分层实现，并结合 JWT 鉴权、Redis 可降级缓存与 WebSocket 消息推送。系统架构如图4.1所示。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3578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78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EC9BC2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图4.1　系统架构图</w:t>
      </w:r>
    </w:p>
    <w:p w14:paraId="515720B6">
      <w:pPr>
        <w:pStyle w:val="5"/>
        <w:spacing w:before="160" w:after="12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4.1.2　系统功能结构</w:t>
      </w:r>
    </w:p>
    <w:p w14:paraId="404CFC5F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功能按“用户端—管理端”划分。用户端面向甲方用户与运维人员：甲方侧重设备浏览、报修、验收评价与消息；运维侧重接单处理、过程与备件填报、提交完工、维保任务与故障案例。管理端由管理员负责用户权限、冷库设备台账、工单派单管控、维保计划、备件供应商、数据统计与操作日志等。系统功能图如图4.2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842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421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4B0E23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图4.2　系统功能图</w:t>
      </w:r>
    </w:p>
    <w:p w14:paraId="6BBAD16C">
      <w:pPr>
        <w:pStyle w:val="4"/>
        <w:spacing w:before="240" w:after="12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4.2　系统的功能设计</w:t>
      </w:r>
    </w:p>
    <w:p w14:paraId="0FAC98A4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系统主要分为用户端与管理端两大功能模块，下面分别进行功能设计说明。</w:t>
      </w:r>
    </w:p>
    <w:p w14:paraId="02BBDD0B">
      <w:pPr>
        <w:pStyle w:val="5"/>
        <w:spacing w:before="160" w:after="12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4.2.1　用户端</w:t>
      </w:r>
    </w:p>
    <w:p w14:paraId="7205E632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户端面向甲方用户与运维人员。用户登录后，系统根据角色区分权限与菜单。甲方用户可浏览绑定冷藏间/公共设备、提交报修、对完工工单进行验收与评价，并查看消息与维护个人信息；运维人员可在工作台查看待办，对接派工单进行接单、填报处理过程与备件出库、上传维修图片并提交完工，同时执行维保任务、维护故障案例。用户端流程图如图4.3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8034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034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5370E7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图4.3　用户端流程图</w:t>
      </w:r>
    </w:p>
    <w:p w14:paraId="0C9DE3DE">
      <w:pPr>
        <w:pStyle w:val="5"/>
        <w:spacing w:before="160" w:after="12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4.2.2　管理端</w:t>
      </w:r>
    </w:p>
    <w:p w14:paraId="6104FBA5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管理端面向系统管理员。管理员登录后可查看数据概览，完成用户启停与权限维护，管理冷库/冷藏间与设备台账，对工单进行派单、转派、撤回与关闭归档，配置维保计划并跟踪任务，维护备件与供应商及库存流水，查看统计报表与操作日志，并可修改个人信息与登录密码。管理端流程图如图4.4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222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22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D23AF9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图4.4　管理端流程图</w:t>
      </w:r>
    </w:p>
    <w:p w14:paraId="31D55DF6">
      <w:pPr>
        <w:pStyle w:val="4"/>
        <w:spacing w:before="240" w:after="12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4.3　数据库设计</w:t>
      </w:r>
    </w:p>
    <w:p w14:paraId="10485C94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在技术架构与功能设计基础上进行数据库设计。业务数据以 MySQL 结构化存储为主，Redis 用于 Token 黑名单等可降级缓存，上传文件存于本地 uploads 目录。</w:t>
      </w:r>
    </w:p>
    <w:p w14:paraId="1B44880F">
      <w:pPr>
        <w:pStyle w:val="5"/>
        <w:spacing w:before="160" w:after="12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4.3.1　数据库的概念设计</w:t>
      </w:r>
    </w:p>
    <w:p w14:paraId="1668BC40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概念模型围绕用户、冷库—冷藏间—设备、运维工单、故障与维保、备件与供应商、消息等实体展开。冷库包含多个冷藏间，冷藏间挂载设备；设备产生工单与故障记录，并关联维保计划任务；备件归属供应商并产生库存流水；消息按用户投递。系统 E-R 图如图4.5所示。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33514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514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FC65DA"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图4.5　冷库设备运维管理系统E-R图</w:t>
      </w:r>
    </w:p>
    <w:p w14:paraId="1C2B7608">
      <w:pPr>
        <w:pStyle w:val="5"/>
        <w:spacing w:before="160" w:after="12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4.3.2　数据库的逻辑设计</w:t>
      </w:r>
    </w:p>
    <w:p w14:paraId="67AE3D7E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系统共 19 张业务表。以下选取核心表说明结构，其余表与之关联支撑完整业务。</w:t>
      </w:r>
    </w:p>
    <w:p w14:paraId="089174B2">
      <w:pPr>
        <w:spacing w:after="12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表4.1　用户表 sys_user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F7EA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1AB0B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</w:t>
            </w:r>
          </w:p>
        </w:tc>
        <w:tc>
          <w:tcPr>
            <w:tcW w:w="2882" w:type="dxa"/>
          </w:tcPr>
          <w:p w14:paraId="56C8F3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  <w:tc>
          <w:tcPr>
            <w:tcW w:w="2882" w:type="dxa"/>
          </w:tcPr>
          <w:p w14:paraId="536F5A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说明</w:t>
            </w:r>
          </w:p>
        </w:tc>
      </w:tr>
      <w:tr w14:paraId="65E25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C3DA9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w="2882" w:type="dxa"/>
          </w:tcPr>
          <w:p w14:paraId="106E0F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w="2882" w:type="dxa"/>
          </w:tcPr>
          <w:p w14:paraId="44A86B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 w14:paraId="5E2C2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641C8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username</w:t>
            </w:r>
          </w:p>
        </w:tc>
        <w:tc>
          <w:tcPr>
            <w:tcW w:w="2882" w:type="dxa"/>
          </w:tcPr>
          <w:p w14:paraId="4C22C5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w="2882" w:type="dxa"/>
          </w:tcPr>
          <w:p w14:paraId="27BF67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登录名</w:t>
            </w:r>
          </w:p>
        </w:tc>
      </w:tr>
      <w:tr w14:paraId="00CC5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3A7DE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password</w:t>
            </w:r>
          </w:p>
        </w:tc>
        <w:tc>
          <w:tcPr>
            <w:tcW w:w="2882" w:type="dxa"/>
          </w:tcPr>
          <w:p w14:paraId="7DFB4D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w="2882" w:type="dxa"/>
          </w:tcPr>
          <w:p w14:paraId="7959188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BCrypt</w:t>
            </w:r>
          </w:p>
        </w:tc>
      </w:tr>
      <w:tr w14:paraId="41CB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03125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role</w:t>
            </w:r>
          </w:p>
        </w:tc>
        <w:tc>
          <w:tcPr>
            <w:tcW w:w="2882" w:type="dxa"/>
          </w:tcPr>
          <w:p w14:paraId="768385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w="2882" w:type="dxa"/>
          </w:tcPr>
          <w:p w14:paraId="48DB30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ADMIN/OPS/CLIENT</w:t>
            </w:r>
          </w:p>
        </w:tc>
      </w:tr>
      <w:tr w14:paraId="26A0A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AD302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w="2882" w:type="dxa"/>
          </w:tcPr>
          <w:p w14:paraId="09D2B3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w="2882" w:type="dxa"/>
          </w:tcPr>
          <w:p w14:paraId="695E6DE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启停</w:t>
            </w:r>
          </w:p>
        </w:tc>
      </w:tr>
    </w:tbl>
    <w:p w14:paraId="1D9A7B4A">
      <w:pPr>
        <w:spacing w:after="80" w:line="360" w:lineRule="auto"/>
        <w:jc w:val="both"/>
      </w:pPr>
    </w:p>
    <w:p w14:paraId="102B6754">
      <w:pPr>
        <w:spacing w:after="12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表4.2　冷库表 cold_storage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AAD7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EC068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</w:t>
            </w:r>
          </w:p>
        </w:tc>
        <w:tc>
          <w:tcPr>
            <w:tcW w:w="2882" w:type="dxa"/>
          </w:tcPr>
          <w:p w14:paraId="0C4E57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  <w:tc>
          <w:tcPr>
            <w:tcW w:w="2882" w:type="dxa"/>
          </w:tcPr>
          <w:p w14:paraId="6F7954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说明</w:t>
            </w:r>
          </w:p>
        </w:tc>
      </w:tr>
      <w:tr w14:paraId="5838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833EB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w="2882" w:type="dxa"/>
          </w:tcPr>
          <w:p w14:paraId="2A273F7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w="2882" w:type="dxa"/>
          </w:tcPr>
          <w:p w14:paraId="5577B4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 w14:paraId="2C47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EADF6E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w="2882" w:type="dxa"/>
          </w:tcPr>
          <w:p w14:paraId="169E04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w="2882" w:type="dxa"/>
          </w:tcPr>
          <w:p w14:paraId="3439A8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名称</w:t>
            </w:r>
          </w:p>
        </w:tc>
      </w:tr>
      <w:tr w14:paraId="39402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EE126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address</w:t>
            </w:r>
          </w:p>
        </w:tc>
        <w:tc>
          <w:tcPr>
            <w:tcW w:w="2882" w:type="dxa"/>
          </w:tcPr>
          <w:p w14:paraId="7952B0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w="2882" w:type="dxa"/>
          </w:tcPr>
          <w:p w14:paraId="6968DF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地址</w:t>
            </w:r>
          </w:p>
        </w:tc>
      </w:tr>
      <w:tr w14:paraId="3A89D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50DFF1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w="2882" w:type="dxa"/>
          </w:tcPr>
          <w:p w14:paraId="0813D7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w="2882" w:type="dxa"/>
          </w:tcPr>
          <w:p w14:paraId="00A914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</w:tr>
    </w:tbl>
    <w:p w14:paraId="4D9BD6D8">
      <w:pPr>
        <w:spacing w:after="80" w:line="360" w:lineRule="auto"/>
        <w:jc w:val="both"/>
      </w:pPr>
    </w:p>
    <w:p w14:paraId="597C4FA7">
      <w:pPr>
        <w:spacing w:after="12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表4.3　冷藏间表 cold_room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BF3D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07FE1C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</w:t>
            </w:r>
          </w:p>
        </w:tc>
        <w:tc>
          <w:tcPr>
            <w:tcW w:w="2882" w:type="dxa"/>
          </w:tcPr>
          <w:p w14:paraId="0AA691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  <w:tc>
          <w:tcPr>
            <w:tcW w:w="2882" w:type="dxa"/>
          </w:tcPr>
          <w:p w14:paraId="7BC336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说明</w:t>
            </w:r>
          </w:p>
        </w:tc>
      </w:tr>
      <w:tr w14:paraId="0514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4C296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w="2882" w:type="dxa"/>
          </w:tcPr>
          <w:p w14:paraId="1ACE4A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w="2882" w:type="dxa"/>
          </w:tcPr>
          <w:p w14:paraId="00CB23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 w14:paraId="6D0D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D23AC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storage_id</w:t>
            </w:r>
          </w:p>
        </w:tc>
        <w:tc>
          <w:tcPr>
            <w:tcW w:w="2882" w:type="dxa"/>
          </w:tcPr>
          <w:p w14:paraId="26C224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w="2882" w:type="dxa"/>
          </w:tcPr>
          <w:p w14:paraId="202892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冷库FK</w:t>
            </w:r>
          </w:p>
        </w:tc>
      </w:tr>
      <w:tr w14:paraId="0649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FC8AA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name/code</w:t>
            </w:r>
          </w:p>
        </w:tc>
        <w:tc>
          <w:tcPr>
            <w:tcW w:w="2882" w:type="dxa"/>
          </w:tcPr>
          <w:p w14:paraId="0B582E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w="2882" w:type="dxa"/>
          </w:tcPr>
          <w:p w14:paraId="36BF9D8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名称/编码</w:t>
            </w:r>
          </w:p>
        </w:tc>
      </w:tr>
    </w:tbl>
    <w:p w14:paraId="39EF5031">
      <w:pPr>
        <w:spacing w:after="80" w:line="360" w:lineRule="auto"/>
        <w:jc w:val="both"/>
      </w:pPr>
    </w:p>
    <w:p w14:paraId="0E016D0F">
      <w:pPr>
        <w:spacing w:after="12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表4.4　设备表 device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F480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73B56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</w:t>
            </w:r>
          </w:p>
        </w:tc>
        <w:tc>
          <w:tcPr>
            <w:tcW w:w="2882" w:type="dxa"/>
          </w:tcPr>
          <w:p w14:paraId="68DD28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  <w:tc>
          <w:tcPr>
            <w:tcW w:w="2882" w:type="dxa"/>
          </w:tcPr>
          <w:p w14:paraId="34A4AAC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说明</w:t>
            </w:r>
          </w:p>
        </w:tc>
      </w:tr>
      <w:tr w14:paraId="65AD0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3B72B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w="2882" w:type="dxa"/>
          </w:tcPr>
          <w:p w14:paraId="5BB4754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w="2882" w:type="dxa"/>
          </w:tcPr>
          <w:p w14:paraId="07B760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 w14:paraId="540E1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37BE4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device_no</w:t>
            </w:r>
          </w:p>
        </w:tc>
        <w:tc>
          <w:tcPr>
            <w:tcW w:w="2882" w:type="dxa"/>
          </w:tcPr>
          <w:p w14:paraId="3A22C3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w="2882" w:type="dxa"/>
          </w:tcPr>
          <w:p w14:paraId="50BD6BB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编号</w:t>
            </w:r>
          </w:p>
        </w:tc>
      </w:tr>
      <w:tr w14:paraId="12AD0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C1C4A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room_id</w:t>
            </w:r>
          </w:p>
        </w:tc>
        <w:tc>
          <w:tcPr>
            <w:tcW w:w="2882" w:type="dxa"/>
          </w:tcPr>
          <w:p w14:paraId="0589E1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w="2882" w:type="dxa"/>
          </w:tcPr>
          <w:p w14:paraId="4D94F4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冷藏间FK</w:t>
            </w:r>
          </w:p>
        </w:tc>
      </w:tr>
      <w:tr w14:paraId="1BC58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A3D0E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w="2882" w:type="dxa"/>
          </w:tcPr>
          <w:p w14:paraId="2E3813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w="2882" w:type="dxa"/>
          </w:tcPr>
          <w:p w14:paraId="74B44E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生命周期状态</w:t>
            </w:r>
          </w:p>
        </w:tc>
      </w:tr>
      <w:tr w14:paraId="78827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9631D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is_public</w:t>
            </w:r>
          </w:p>
        </w:tc>
        <w:tc>
          <w:tcPr>
            <w:tcW w:w="2882" w:type="dxa"/>
          </w:tcPr>
          <w:p w14:paraId="59811E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w="2882" w:type="dxa"/>
          </w:tcPr>
          <w:p w14:paraId="29C3B9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公共设备</w:t>
            </w:r>
          </w:p>
        </w:tc>
      </w:tr>
    </w:tbl>
    <w:p w14:paraId="43D0C8AC">
      <w:pPr>
        <w:spacing w:after="80" w:line="360" w:lineRule="auto"/>
        <w:jc w:val="both"/>
      </w:pPr>
    </w:p>
    <w:p w14:paraId="5CFAA392">
      <w:pPr>
        <w:spacing w:after="12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表4.5　工单表 work_order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4D8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17150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</w:t>
            </w:r>
          </w:p>
        </w:tc>
        <w:tc>
          <w:tcPr>
            <w:tcW w:w="2882" w:type="dxa"/>
          </w:tcPr>
          <w:p w14:paraId="56F254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  <w:tc>
          <w:tcPr>
            <w:tcW w:w="2882" w:type="dxa"/>
          </w:tcPr>
          <w:p w14:paraId="7E7535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说明</w:t>
            </w:r>
          </w:p>
        </w:tc>
      </w:tr>
      <w:tr w14:paraId="5A5BB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2F1E08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w="2882" w:type="dxa"/>
          </w:tcPr>
          <w:p w14:paraId="745663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w="2882" w:type="dxa"/>
          </w:tcPr>
          <w:p w14:paraId="0F9242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 w14:paraId="4AA11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BAB2D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order_no</w:t>
            </w:r>
          </w:p>
        </w:tc>
        <w:tc>
          <w:tcPr>
            <w:tcW w:w="2882" w:type="dxa"/>
          </w:tcPr>
          <w:p w14:paraId="1C929E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w="2882" w:type="dxa"/>
          </w:tcPr>
          <w:p w14:paraId="6C6DEB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工单号</w:t>
            </w:r>
          </w:p>
        </w:tc>
      </w:tr>
      <w:tr w14:paraId="3221D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57E8B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device_id</w:t>
            </w:r>
          </w:p>
        </w:tc>
        <w:tc>
          <w:tcPr>
            <w:tcW w:w="2882" w:type="dxa"/>
          </w:tcPr>
          <w:p w14:paraId="7291CC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w="2882" w:type="dxa"/>
          </w:tcPr>
          <w:p w14:paraId="66BAE0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设备FK</w:t>
            </w:r>
          </w:p>
        </w:tc>
      </w:tr>
      <w:tr w14:paraId="56A65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03688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w="2882" w:type="dxa"/>
          </w:tcPr>
          <w:p w14:paraId="4F3C9FA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w="2882" w:type="dxa"/>
          </w:tcPr>
          <w:p w14:paraId="3BDBA3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七状态</w:t>
            </w:r>
          </w:p>
        </w:tc>
      </w:tr>
      <w:tr w14:paraId="5ACD4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A5755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submit_user_id/assignee_id</w:t>
            </w:r>
          </w:p>
        </w:tc>
        <w:tc>
          <w:tcPr>
            <w:tcW w:w="2882" w:type="dxa"/>
          </w:tcPr>
          <w:p w14:paraId="2DB7A4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w="2882" w:type="dxa"/>
          </w:tcPr>
          <w:p w14:paraId="4F40A6C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报修人/运维</w:t>
            </w:r>
          </w:p>
        </w:tc>
      </w:tr>
    </w:tbl>
    <w:p w14:paraId="56858D99">
      <w:pPr>
        <w:spacing w:after="80" w:line="360" w:lineRule="auto"/>
        <w:jc w:val="both"/>
      </w:pPr>
    </w:p>
    <w:p w14:paraId="19545B9A">
      <w:pPr>
        <w:spacing w:after="12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表4.6　备件表 spare_part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E759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C8805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</w:t>
            </w:r>
          </w:p>
        </w:tc>
        <w:tc>
          <w:tcPr>
            <w:tcW w:w="2882" w:type="dxa"/>
          </w:tcPr>
          <w:p w14:paraId="704B5F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  <w:tc>
          <w:tcPr>
            <w:tcW w:w="2882" w:type="dxa"/>
          </w:tcPr>
          <w:p w14:paraId="448047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说明</w:t>
            </w:r>
          </w:p>
        </w:tc>
      </w:tr>
      <w:tr w14:paraId="5BDF1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206F1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w="2882" w:type="dxa"/>
          </w:tcPr>
          <w:p w14:paraId="2B3E38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w="2882" w:type="dxa"/>
          </w:tcPr>
          <w:p w14:paraId="7A3EDE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 w14:paraId="415E6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A5EC7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part_no</w:t>
            </w:r>
          </w:p>
        </w:tc>
        <w:tc>
          <w:tcPr>
            <w:tcW w:w="2882" w:type="dxa"/>
          </w:tcPr>
          <w:p w14:paraId="60F186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w="2882" w:type="dxa"/>
          </w:tcPr>
          <w:p w14:paraId="5B0C1A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编号</w:t>
            </w:r>
          </w:p>
        </w:tc>
      </w:tr>
      <w:tr w14:paraId="5B14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74690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stock_qty</w:t>
            </w:r>
          </w:p>
        </w:tc>
        <w:tc>
          <w:tcPr>
            <w:tcW w:w="2882" w:type="dxa"/>
          </w:tcPr>
          <w:p w14:paraId="47AE58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882" w:type="dxa"/>
          </w:tcPr>
          <w:p w14:paraId="529F0A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库存</w:t>
            </w:r>
          </w:p>
        </w:tc>
      </w:tr>
      <w:tr w14:paraId="4C54C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6C641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safety_stock</w:t>
            </w:r>
          </w:p>
        </w:tc>
        <w:tc>
          <w:tcPr>
            <w:tcW w:w="2882" w:type="dxa"/>
          </w:tcPr>
          <w:p w14:paraId="3A8B58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882" w:type="dxa"/>
          </w:tcPr>
          <w:p w14:paraId="1A46A3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安全库存</w:t>
            </w:r>
          </w:p>
        </w:tc>
      </w:tr>
      <w:tr w14:paraId="69888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A28D3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supplier_id</w:t>
            </w:r>
          </w:p>
        </w:tc>
        <w:tc>
          <w:tcPr>
            <w:tcW w:w="2882" w:type="dxa"/>
          </w:tcPr>
          <w:p w14:paraId="57E8E4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w="2882" w:type="dxa"/>
          </w:tcPr>
          <w:p w14:paraId="602584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供应商FK</w:t>
            </w:r>
          </w:p>
        </w:tc>
      </w:tr>
    </w:tbl>
    <w:p w14:paraId="045F428F">
      <w:pPr>
        <w:spacing w:after="80" w:line="360" w:lineRule="auto"/>
        <w:jc w:val="both"/>
      </w:pPr>
    </w:p>
    <w:p w14:paraId="70697755">
      <w:pPr>
        <w:spacing w:after="12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表4.7　消息表 sys_message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30CA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2DC8E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</w:t>
            </w:r>
          </w:p>
        </w:tc>
        <w:tc>
          <w:tcPr>
            <w:tcW w:w="2882" w:type="dxa"/>
          </w:tcPr>
          <w:p w14:paraId="77A90B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  <w:tc>
          <w:tcPr>
            <w:tcW w:w="2882" w:type="dxa"/>
          </w:tcPr>
          <w:p w14:paraId="7F4343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说明</w:t>
            </w:r>
          </w:p>
        </w:tc>
      </w:tr>
      <w:tr w14:paraId="4166C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8D5C2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w="2882" w:type="dxa"/>
          </w:tcPr>
          <w:p w14:paraId="48C772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w="2882" w:type="dxa"/>
          </w:tcPr>
          <w:p w14:paraId="396691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 w14:paraId="2728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1C12C7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user_id</w:t>
            </w:r>
          </w:p>
        </w:tc>
        <w:tc>
          <w:tcPr>
            <w:tcW w:w="2882" w:type="dxa"/>
          </w:tcPr>
          <w:p w14:paraId="378040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w="2882" w:type="dxa"/>
          </w:tcPr>
          <w:p w14:paraId="2CBBDA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接收人</w:t>
            </w:r>
          </w:p>
        </w:tc>
      </w:tr>
      <w:tr w14:paraId="01010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C0047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msg_type</w:t>
            </w:r>
          </w:p>
        </w:tc>
        <w:tc>
          <w:tcPr>
            <w:tcW w:w="2882" w:type="dxa"/>
          </w:tcPr>
          <w:p w14:paraId="3E8D89F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w="2882" w:type="dxa"/>
          </w:tcPr>
          <w:p w14:paraId="332274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</w:tr>
      <w:tr w14:paraId="3F9EF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9AFC5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is_read</w:t>
            </w:r>
          </w:p>
        </w:tc>
        <w:tc>
          <w:tcPr>
            <w:tcW w:w="2882" w:type="dxa"/>
          </w:tcPr>
          <w:p w14:paraId="6E49D4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w="2882" w:type="dxa"/>
          </w:tcPr>
          <w:p w14:paraId="30B5A2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已读</w:t>
            </w:r>
          </w:p>
        </w:tc>
      </w:tr>
    </w:tbl>
    <w:p w14:paraId="6934A102">
      <w:pPr>
        <w:spacing w:after="80" w:line="360" w:lineRule="auto"/>
        <w:jc w:val="both"/>
      </w:pPr>
    </w:p>
    <w:p w14:paraId="71864B0D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其余表：user_cold_room、operation_log、device_status_log、work_order_part、fault_record、fault_case、maintain_plan、maintain_plan_item、maintain_task、maintain_task_item、supplier、stock_record，分别支撑绑定、审计、状态史、工单备件、故障案例、维保与库存流水。</w:t>
      </w:r>
    </w:p>
    <w:p w14:paraId="3E6834D1">
      <w:pPr>
        <w:pStyle w:val="4"/>
        <w:spacing w:before="240" w:after="12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4.4　本章小结</w:t>
      </w:r>
    </w:p>
    <w:p w14:paraId="3A2BE171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本章完成系统设计：给出层次架构图与系统功能图，按用户端与管理端分别给出流程图，并完成数据库概念结构与核心表逻辑设计，与第3章需求对应，为后续系统实现提供依据。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2805EE"/>
    <w:rsid w:val="457F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200" w:line="360" w:lineRule="auto"/>
      <w:ind w:firstLine="0"/>
      <w:jc w:val="center"/>
      <w:outlineLvl w:val="0"/>
    </w:pPr>
    <w:rPr>
      <w:rFonts w:asciiTheme="majorHAnsi" w:hAnsiTheme="majorHAnsi" w:eastAsiaTheme="majorEastAsia" w:cstheme="majorBidi" w:ascii="Times New Roman" w:hAnsi="Times New Roman" w:eastAsia="黑体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 w:line="360" w:lineRule="auto"/>
      <w:ind w:firstLine="0"/>
      <w:jc w:val="left"/>
      <w:outlineLvl w:val="1"/>
    </w:pPr>
    <w:rPr>
      <w:rFonts w:asciiTheme="majorHAnsi" w:hAnsiTheme="majorHAnsi" w:eastAsiaTheme="majorEastAsia" w:cstheme="majorBidi" w:ascii="Times New Roman" w:hAnsi="Times New Roman" w:eastAsia="黑体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80" w:line="360" w:lineRule="auto"/>
      <w:ind w:firstLine="0"/>
      <w:jc w:val="left"/>
      <w:outlineLvl w:val="2"/>
    </w:pPr>
    <w:rPr>
      <w:rFonts w:asciiTheme="majorHAnsi" w:hAnsiTheme="majorHAnsi" w:eastAsiaTheme="majorEastAsia" w:cstheme="majorBidi" w:ascii="Times New Roman" w:hAnsi="Times New Roman" w:eastAsia="黑体"/>
      <w:b/>
      <w:bCs/>
      <w:color w:val="4F81BD" w:themeColor="accent1"/>
      <w14:textFill>
        <w14:solidFill>
          <w14:schemeClr w14:val="accent1"/>
        </w14:solidFill>
      </w14:textFill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emf"/><Relationship Id="rId7" Type="http://schemas.openxmlformats.org/officeDocument/2006/relationships/image" Target="media/image1.emf"/><Relationship Id="rId59" Type="http://schemas.openxmlformats.org/officeDocument/2006/relationships/fontTable" Target="fontTable.xml"/><Relationship Id="rId58" Type="http://schemas.openxmlformats.org/officeDocument/2006/relationships/customXml" Target="../customXml/item1.xml"/><Relationship Id="rId57" Type="http://schemas.openxmlformats.org/officeDocument/2006/relationships/numbering" Target="numbering.xml"/><Relationship Id="rId56" Type="http://schemas.openxmlformats.org/officeDocument/2006/relationships/image" Target="media/image34.png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image" Target="media/image31.png"/><Relationship Id="rId52" Type="http://schemas.openxmlformats.org/officeDocument/2006/relationships/image" Target="media/image30.png"/><Relationship Id="rId51" Type="http://schemas.openxmlformats.org/officeDocument/2006/relationships/image" Target="media/image29.png"/><Relationship Id="rId50" Type="http://schemas.openxmlformats.org/officeDocument/2006/relationships/image" Target="media/image28.png"/><Relationship Id="rId5" Type="http://schemas.openxmlformats.org/officeDocument/2006/relationships/theme" Target="theme/theme1.xml"/><Relationship Id="rId49" Type="http://schemas.openxmlformats.org/officeDocument/2006/relationships/image" Target="media/image27.png"/><Relationship Id="rId48" Type="http://schemas.openxmlformats.org/officeDocument/2006/relationships/image" Target="media/image26.png"/><Relationship Id="rId47" Type="http://schemas.openxmlformats.org/officeDocument/2006/relationships/image" Target="media/image25.png"/><Relationship Id="rId46" Type="http://schemas.openxmlformats.org/officeDocument/2006/relationships/image" Target="media/image24.png"/><Relationship Id="rId45" Type="http://schemas.openxmlformats.org/officeDocument/2006/relationships/image" Target="media/image23.png"/><Relationship Id="rId44" Type="http://schemas.openxmlformats.org/officeDocument/2006/relationships/image" Target="media/image22.png"/><Relationship Id="rId43" Type="http://schemas.openxmlformats.org/officeDocument/2006/relationships/image" Target="media/image21.png"/><Relationship Id="rId42" Type="http://schemas.openxmlformats.org/officeDocument/2006/relationships/image" Target="media/image20.png"/><Relationship Id="rId41" Type="http://schemas.openxmlformats.org/officeDocument/2006/relationships/image" Target="media/image19.png"/><Relationship Id="rId40" Type="http://schemas.openxmlformats.org/officeDocument/2006/relationships/image" Target="media/image18.png"/><Relationship Id="rId4" Type="http://schemas.openxmlformats.org/officeDocument/2006/relationships/endnotes" Target="endnotes.xml"/><Relationship Id="rId39" Type="http://schemas.openxmlformats.org/officeDocument/2006/relationships/image" Target="media/image17.emf"/><Relationship Id="rId37" Type="http://schemas.openxmlformats.org/officeDocument/2006/relationships/image" Target="media/image16.emf"/><Relationship Id="rId35" Type="http://schemas.openxmlformats.org/officeDocument/2006/relationships/image" Target="media/image15.emf"/><Relationship Id="rId33" Type="http://schemas.openxmlformats.org/officeDocument/2006/relationships/image" Target="media/image14.emf"/><Relationship Id="rId31" Type="http://schemas.openxmlformats.org/officeDocument/2006/relationships/image" Target="media/image13.emf"/><Relationship Id="rId3" Type="http://schemas.openxmlformats.org/officeDocument/2006/relationships/footnotes" Target="footnotes.xml"/><Relationship Id="rId29" Type="http://schemas.openxmlformats.org/officeDocument/2006/relationships/image" Target="media/image12.emf"/><Relationship Id="rId27" Type="http://schemas.openxmlformats.org/officeDocument/2006/relationships/image" Target="media/image11.emf"/><Relationship Id="rId25" Type="http://schemas.openxmlformats.org/officeDocument/2006/relationships/image" Target="media/image10.emf"/><Relationship Id="rId23" Type="http://schemas.openxmlformats.org/officeDocument/2006/relationships/image" Target="media/image9.emf"/><Relationship Id="rId21" Type="http://schemas.openxmlformats.org/officeDocument/2006/relationships/image" Target="media/image8.emf"/><Relationship Id="rId2" Type="http://schemas.openxmlformats.org/officeDocument/2006/relationships/settings" Target="settings.xml"/><Relationship Id="rId19" Type="http://schemas.openxmlformats.org/officeDocument/2006/relationships/image" Target="media/image7.emf"/><Relationship Id="rId17" Type="http://schemas.openxmlformats.org/officeDocument/2006/relationships/image" Target="media/image6.emf"/><Relationship Id="rId15" Type="http://schemas.openxmlformats.org/officeDocument/2006/relationships/image" Target="media/image5.emf"/><Relationship Id="rId13" Type="http://schemas.openxmlformats.org/officeDocument/2006/relationships/image" Target="media/image4.emf"/><Relationship Id="rId11" Type="http://schemas.openxmlformats.org/officeDocument/2006/relationships/image" Target="media/image3.emf"/><Relationship Id="rId1" Type="http://schemas.openxmlformats.org/officeDocument/2006/relationships/styles" Target="styles.xml"/><Relationship Id="rId60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1765</Words>
  <Characters>2088</Characters>
  <Lines>0</Lines>
  <Paragraphs>0</Paragraphs>
  <TotalTime>0</TotalTime>
  <ScaleCrop>false</ScaleCrop>
  <LinksUpToDate>false</LinksUpToDate>
  <CharactersWithSpaces>2213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理fei</cp:lastModifiedBy>
  <dcterms:modified xsi:type="dcterms:W3CDTF">2026-09-30T08:36:28Z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eyJoZGlkIjoiNDU1ZjBiMDQ3NDhlYmQ0NzU5OTE3ZTZhZDcwMDZiMmUiLCJ1c2VySWQiOiIxMTc1MzAzNDM5In0=</vt:lpwstr>
  </property>
  <property fmtid="{D5CDD505-2E9C-101B-9397-08002B2CF9AE}" pid="3" name="KSOProductBuildVer">
    <vt:lpwstr>2052-12.1.0.29161</vt:lpwstr>
  </property>
  <property fmtid="{D5CDD505-2E9C-101B-9397-08002B2CF9AE}" pid="4" name="ICV">
    <vt:lpwstr>10CED1B43EF0477B9184311696B64221_13</vt:lpwstr>
  </property>
</Properties>
</file>