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0E1E" w14:textId="13AC8819" w:rsidR="00980C9B" w:rsidRPr="0071219E" w:rsidRDefault="001F131F" w:rsidP="00F94EB1">
      <w:pPr>
        <w:spacing w:before="240" w:after="240" w:line="360" w:lineRule="auto"/>
        <w:jc w:val="center"/>
        <w:rPr>
          <w:rFonts w:ascii="Times New Roman" w:eastAsia="Times New Roman" w:hAnsi="Times New Roman" w:cs="Times New Roman"/>
          <w:b/>
          <w:bCs/>
          <w:sz w:val="36"/>
          <w:szCs w:val="36"/>
          <w:lang w:val="en-GB"/>
        </w:rPr>
      </w:pPr>
      <w:r w:rsidRPr="0071219E">
        <w:rPr>
          <w:rFonts w:ascii="Times New Roman" w:hAnsi="Times New Roman" w:cs="Times New Roman"/>
          <w:noProof/>
        </w:rPr>
        <w:drawing>
          <wp:inline distT="0" distB="0" distL="0" distR="0" wp14:anchorId="6E91520E" wp14:editId="24C143F7">
            <wp:extent cx="2402840" cy="1701165"/>
            <wp:effectExtent l="0" t="0" r="0" b="0"/>
            <wp:docPr id="29133581" name="Picture 1" descr="Nova School of Business and Economics - Business school rankings from the  Financial Times - FT.com">
              <a:extLst xmlns:a="http://schemas.openxmlformats.org/drawingml/2006/main">
                <a:ext uri="{FF2B5EF4-FFF2-40B4-BE49-F238E27FC236}">
                  <a16:creationId xmlns:a16="http://schemas.microsoft.com/office/drawing/2014/main" id="{E5BA7281-5E54-494E-A456-265613FC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School of Business and Economics - Business school rankings from the  Financial Times - FT.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840" cy="1701165"/>
                    </a:xfrm>
                    <a:prstGeom prst="rect">
                      <a:avLst/>
                    </a:prstGeom>
                    <a:noFill/>
                    <a:ln>
                      <a:noFill/>
                    </a:ln>
                  </pic:spPr>
                </pic:pic>
              </a:graphicData>
            </a:graphic>
          </wp:inline>
        </w:drawing>
      </w:r>
    </w:p>
    <w:p w14:paraId="1DB897F9" w14:textId="45B4E97C" w:rsidR="00B963AE" w:rsidRDefault="5F4BC1B0" w:rsidP="00F94EB1">
      <w:pPr>
        <w:spacing w:before="240" w:after="240" w:line="360" w:lineRule="auto"/>
        <w:jc w:val="center"/>
        <w:rPr>
          <w:rFonts w:ascii="Times New Roman" w:eastAsia="Times New Roman" w:hAnsi="Times New Roman" w:cs="Times New Roman"/>
          <w:b/>
          <w:bCs/>
          <w:sz w:val="36"/>
          <w:szCs w:val="36"/>
          <w:lang w:val="en-GB"/>
        </w:rPr>
      </w:pPr>
      <w:r w:rsidRPr="0071219E">
        <w:rPr>
          <w:rFonts w:ascii="Times New Roman" w:eastAsia="Times New Roman" w:hAnsi="Times New Roman" w:cs="Times New Roman"/>
          <w:b/>
          <w:bCs/>
          <w:sz w:val="36"/>
          <w:szCs w:val="36"/>
          <w:lang w:val="en-GB"/>
        </w:rPr>
        <w:t>Nova School of Business &amp; Economics</w:t>
      </w:r>
    </w:p>
    <w:p w14:paraId="6212BDEE" w14:textId="77777777" w:rsidR="00BE7040" w:rsidRPr="00B96C9C" w:rsidRDefault="00BE7040" w:rsidP="00F94EB1">
      <w:pPr>
        <w:spacing w:line="360" w:lineRule="auto"/>
        <w:rPr>
          <w:lang w:eastAsia="zh-CN"/>
        </w:rPr>
      </w:pPr>
      <w:r w:rsidRPr="00B96C9C">
        <w:rPr>
          <w:lang w:eastAsia="zh-CN"/>
        </w:rPr>
        <w:fldChar w:fldCharType="begin"/>
      </w:r>
      <w:r w:rsidRPr="00B96C9C">
        <w:rPr>
          <w:lang w:eastAsia="zh-CN"/>
        </w:rPr>
        <w:instrText xml:space="preserve"> INCLUDEPICTURE "/var/folders/2n/r9_894l11jbbcnbv4tn9__4c0000gn/T/com.microsoft.Word/WebArchiveCopyPasteTempFiles/page1image21449344" \* MERGEFORMATINET </w:instrText>
      </w:r>
      <w:r w:rsidRPr="00B96C9C">
        <w:rPr>
          <w:lang w:eastAsia="zh-CN"/>
        </w:rPr>
        <w:fldChar w:fldCharType="separate"/>
      </w:r>
      <w:r w:rsidRPr="00B96C9C">
        <w:rPr>
          <w:noProof/>
          <w:lang w:eastAsia="zh-CN"/>
        </w:rPr>
        <w:drawing>
          <wp:inline distT="0" distB="0" distL="0" distR="0" wp14:anchorId="1B87520F" wp14:editId="3163C624">
            <wp:extent cx="5393690" cy="13335"/>
            <wp:effectExtent l="0" t="0" r="3810" b="0"/>
            <wp:docPr id="2" name="Grafik 2" descr="page1image21449344">
              <a:extLst xmlns:a="http://schemas.openxmlformats.org/drawingml/2006/main">
                <a:ext uri="{FF2B5EF4-FFF2-40B4-BE49-F238E27FC236}">
                  <a16:creationId xmlns:a16="http://schemas.microsoft.com/office/drawing/2014/main" id="{85D1163C-3A32-4391-9FA2-4A194CFCD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214493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sidRPr="00B96C9C">
        <w:rPr>
          <w:lang w:eastAsia="zh-CN"/>
        </w:rPr>
        <w:fldChar w:fldCharType="end"/>
      </w:r>
    </w:p>
    <w:p w14:paraId="5E84A37A" w14:textId="5B30CB5A" w:rsidR="00EF6841" w:rsidRPr="00EF6841" w:rsidRDefault="00EF6841" w:rsidP="00F94EB1">
      <w:pPr>
        <w:shd w:val="clear" w:color="auto" w:fill="FFFFFF"/>
        <w:spacing w:before="320" w:after="80" w:line="360" w:lineRule="auto"/>
        <w:jc w:val="center"/>
        <w:rPr>
          <w:rFonts w:ascii="TimesNewRomanPS" w:hAnsi="TimesNewRomanPS"/>
          <w:b/>
          <w:bCs/>
          <w:sz w:val="40"/>
          <w:szCs w:val="40"/>
          <w:lang w:val="en-US" w:eastAsia="zh-CN"/>
        </w:rPr>
      </w:pPr>
      <w:r>
        <w:rPr>
          <w:rFonts w:ascii="TimesNewRomanPS" w:hAnsi="TimesNewRomanPS"/>
          <w:b/>
          <w:bCs/>
          <w:sz w:val="40"/>
          <w:szCs w:val="40"/>
          <w:lang w:val="en-US" w:eastAsia="zh-CN"/>
        </w:rPr>
        <w:t>The Effect of Minimum Tick Size on Trading Volume: Evidence from the SEC Tick Size Pilot Program</w:t>
      </w:r>
      <w:r w:rsidRPr="00EF6841">
        <w:rPr>
          <w:rFonts w:ascii="TimesNewRomanPS" w:hAnsi="TimesNewRomanPS"/>
          <w:b/>
          <w:bCs/>
          <w:sz w:val="40"/>
          <w:szCs w:val="40"/>
          <w:lang w:val="en-US" w:eastAsia="zh-CN"/>
        </w:rPr>
      </w:r>
      <w:r>
        <w:rPr>
          <w:rFonts w:ascii="TimesNewRomanPS" w:hAnsi="TimesNewRomanPS"/>
          <w:b/>
          <w:bCs/>
          <w:sz w:val="40"/>
          <w:szCs w:val="40"/>
          <w:lang w:val="en-US" w:eastAsia="zh-CN"/>
        </w:rPr>
      </w:r>
    </w:p>
    <w:p w14:paraId="0A55E037" w14:textId="77777777" w:rsidR="00BE7040" w:rsidRPr="00B96C9C" w:rsidRDefault="00BE7040" w:rsidP="00F94EB1">
      <w:pPr>
        <w:spacing w:line="360" w:lineRule="auto"/>
        <w:rPr>
          <w:lang w:eastAsia="zh-CN"/>
        </w:rPr>
      </w:pPr>
      <w:r w:rsidRPr="00B96C9C">
        <w:rPr>
          <w:lang w:eastAsia="zh-CN"/>
        </w:rPr>
        <w:fldChar w:fldCharType="begin"/>
      </w:r>
      <w:r w:rsidRPr="00B96C9C">
        <w:rPr>
          <w:lang w:eastAsia="zh-CN"/>
        </w:rPr>
        <w:instrText xml:space="preserve"> INCLUDEPICTURE "/var/folders/2n/r9_894l11jbbcnbv4tn9__4c0000gn/T/com.microsoft.Word/WebArchiveCopyPasteTempFiles/page1image21451264" \* MERGEFORMATINET </w:instrText>
      </w:r>
      <w:r w:rsidRPr="00B96C9C">
        <w:rPr>
          <w:lang w:eastAsia="zh-CN"/>
        </w:rPr>
        <w:fldChar w:fldCharType="separate"/>
      </w:r>
      <w:r w:rsidRPr="00B96C9C">
        <w:rPr>
          <w:noProof/>
          <w:lang w:eastAsia="zh-CN"/>
        </w:rPr>
        <w:drawing>
          <wp:inline distT="0" distB="0" distL="0" distR="0" wp14:anchorId="5BB531DC" wp14:editId="5146BC82">
            <wp:extent cx="5393690" cy="13335"/>
            <wp:effectExtent l="0" t="0" r="3810" b="0"/>
            <wp:docPr id="1" name="Grafik 1" descr="page1image21451264">
              <a:extLst xmlns:a="http://schemas.openxmlformats.org/drawingml/2006/main">
                <a:ext uri="{FF2B5EF4-FFF2-40B4-BE49-F238E27FC236}">
                  <a16:creationId xmlns:a16="http://schemas.microsoft.com/office/drawing/2014/main" id="{CBD39065-59B4-4657-8CB0-3E14C9BD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214512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sidRPr="00B96C9C">
        <w:rPr>
          <w:lang w:eastAsia="zh-CN"/>
        </w:rPr>
        <w:fldChar w:fldCharType="end"/>
      </w:r>
    </w:p>
    <w:p w14:paraId="171F428D" w14:textId="77777777" w:rsidR="0022659F" w:rsidRDefault="0022659F" w:rsidP="00F94EB1">
      <w:pPr>
        <w:spacing w:before="240" w:after="240" w:line="360" w:lineRule="auto"/>
        <w:jc w:val="center"/>
        <w:rPr>
          <w:rFonts w:ascii="Times New Roman" w:hAnsi="Times New Roman" w:cs="Times New Roman"/>
          <w:lang w:val="en-US"/>
        </w:rPr>
      </w:pPr>
    </w:p>
    <w:p w14:paraId="2CD1A745" w14:textId="3AA74258" w:rsidR="00EF6841" w:rsidRDefault="00EF6841" w:rsidP="00F94EB1">
      <w:pPr>
        <w:spacing w:before="240" w:after="240" w:line="360" w:lineRule="auto"/>
        <w:jc w:val="center"/>
        <w:rPr>
          <w:rFonts w:ascii="Times New Roman" w:hAnsi="Times New Roman" w:cs="Times New Roman"/>
          <w:lang w:val="en-US"/>
        </w:rPr>
      </w:pPr>
      <w:r>
        <w:rPr>
          <w:rFonts w:ascii="Times New Roman" w:hAnsi="Times New Roman" w:cs="Times New Roman"/>
          <w:lang w:val="en-US"/>
        </w:rPr>
        <w:t>Group Assignment Research Methods for Finance</w:t>
      </w:r>
    </w:p>
    <w:p w14:paraId="3B9A7CC7" w14:textId="4ECC8E64" w:rsidR="00EF6841" w:rsidRPr="00031BBE" w:rsidRDefault="00EF6841" w:rsidP="00F94EB1">
      <w:pPr>
        <w:spacing w:before="240" w:after="240" w:line="360" w:lineRule="auto"/>
        <w:jc w:val="center"/>
        <w:rPr>
          <w:rFonts w:ascii="Times New Roman" w:hAnsi="Times New Roman" w:cs="Times New Roman"/>
          <w:lang w:val="pt-PT"/>
        </w:rPr>
      </w:pPr>
      <w:r w:rsidRPr="00031BBE">
        <w:rPr>
          <w:rFonts w:ascii="Times New Roman" w:hAnsi="Times New Roman" w:cs="Times New Roman"/>
          <w:lang w:val="pt-PT"/>
        </w:rPr>
        <w:t>Spring Semester 2026</w:t>
      </w:r>
    </w:p>
    <w:p w14:paraId="5975A9C1" w14:textId="77777777" w:rsidR="0010759F" w:rsidRPr="00031BBE" w:rsidRDefault="0010759F" w:rsidP="00F94EB1">
      <w:pPr>
        <w:spacing w:before="240" w:after="240" w:line="360" w:lineRule="auto"/>
        <w:jc w:val="center"/>
        <w:rPr>
          <w:rFonts w:ascii="Times New Roman" w:hAnsi="Times New Roman" w:cs="Times New Roman"/>
          <w:lang w:val="pt-PT"/>
        </w:rPr>
      </w:pPr>
    </w:p>
    <w:p w14:paraId="2B5CB96C" w14:textId="64637C52" w:rsidR="005A3282" w:rsidRPr="00031BBE" w:rsidRDefault="5F4BC1B0" w:rsidP="00F94EB1">
      <w:pPr>
        <w:spacing w:before="240" w:after="240" w:line="360" w:lineRule="auto"/>
        <w:ind w:left="3540" w:hanging="3540"/>
        <w:rPr>
          <w:rFonts w:ascii="Times New Roman" w:eastAsia="Times New Roman" w:hAnsi="Times New Roman" w:cs="Times New Roman"/>
          <w:lang w:val="pt-PT"/>
        </w:rPr>
      </w:pPr>
      <w:r w:rsidRPr="00031BBE">
        <w:rPr>
          <w:rFonts w:ascii="Times New Roman" w:eastAsia="Times New Roman" w:hAnsi="Times New Roman" w:cs="Times New Roman"/>
          <w:lang w:val="pt-PT"/>
        </w:rPr>
        <w:t xml:space="preserve">Authors:                                             </w:t>
      </w:r>
      <w:r w:rsidR="00414B03" w:rsidRPr="00031BBE">
        <w:rPr>
          <w:rFonts w:ascii="Times New Roman" w:eastAsia="Times New Roman" w:hAnsi="Times New Roman" w:cs="Times New Roman"/>
          <w:lang w:val="pt-PT"/>
        </w:rPr>
        <w:t>Pietro De Bernardi</w:t>
      </w:r>
      <w:r w:rsidR="00764824" w:rsidRPr="00031BBE">
        <w:rPr>
          <w:rFonts w:ascii="Times New Roman" w:eastAsia="Times New Roman" w:hAnsi="Times New Roman" w:cs="Times New Roman"/>
          <w:lang w:val="pt-PT"/>
        </w:rPr>
        <w:t>,</w:t>
      </w:r>
      <w:r w:rsidR="003576FB" w:rsidRPr="00031BBE">
        <w:rPr>
          <w:rFonts w:ascii="Times New Roman" w:eastAsia="Times New Roman" w:hAnsi="Times New Roman" w:cs="Times New Roman"/>
          <w:lang w:val="pt-PT"/>
        </w:rPr>
        <w:t xml:space="preserve"> </w:t>
      </w:r>
      <w:r w:rsidR="00414B03" w:rsidRPr="00031BBE">
        <w:rPr>
          <w:rFonts w:ascii="Times New Roman" w:eastAsia="Times New Roman" w:hAnsi="Times New Roman" w:cs="Times New Roman"/>
          <w:lang w:val="pt-PT"/>
        </w:rPr>
        <w:t>Julian Endreß</w:t>
      </w:r>
      <w:r w:rsidR="009A62E6" w:rsidRPr="00031BBE">
        <w:rPr>
          <w:rFonts w:ascii="Times New Roman" w:eastAsia="Times New Roman" w:hAnsi="Times New Roman" w:cs="Times New Roman"/>
          <w:lang w:val="pt-PT"/>
        </w:rPr>
        <w:t xml:space="preserve">, </w:t>
      </w:r>
      <w:r w:rsidR="00414B03" w:rsidRPr="00031BBE">
        <w:rPr>
          <w:rFonts w:ascii="Times New Roman" w:eastAsia="Times New Roman" w:hAnsi="Times New Roman" w:cs="Times New Roman"/>
          <w:lang w:val="pt-PT"/>
        </w:rPr>
        <w:t>Darius Richter</w:t>
      </w:r>
      <w:r w:rsidR="0017173E" w:rsidRPr="00031BBE">
        <w:rPr>
          <w:rFonts w:ascii="Times New Roman" w:eastAsia="Times New Roman" w:hAnsi="Times New Roman" w:cs="Times New Roman"/>
          <w:lang w:val="pt-PT"/>
        </w:rPr>
        <w:t xml:space="preserve">, </w:t>
      </w:r>
      <w:r w:rsidR="00414B03" w:rsidRPr="00031BBE">
        <w:rPr>
          <w:rFonts w:ascii="Times New Roman" w:eastAsia="Times New Roman" w:hAnsi="Times New Roman" w:cs="Times New Roman"/>
          <w:lang w:val="pt-PT"/>
        </w:rPr>
        <w:t>Samia Snen</w:t>
      </w:r>
      <w:r w:rsidR="00835203" w:rsidRPr="00031BBE">
        <w:rPr>
          <w:rFonts w:ascii="Times New Roman" w:eastAsia="Times New Roman" w:hAnsi="Times New Roman" w:cs="Times New Roman"/>
          <w:lang w:val="pt-PT"/>
        </w:rPr>
        <w:t xml:space="preserve">, </w:t>
      </w:r>
      <w:r w:rsidR="00414B03" w:rsidRPr="00031BBE">
        <w:rPr>
          <w:rFonts w:ascii="Times New Roman" w:eastAsia="Times New Roman" w:hAnsi="Times New Roman" w:cs="Times New Roman"/>
          <w:lang w:val="pt-PT"/>
        </w:rPr>
        <w:t>António Vicente Gonçalves da Rocha</w:t>
      </w:r>
    </w:p>
    <w:p w14:paraId="7A396EF4" w14:textId="2902C126" w:rsidR="00B963AE" w:rsidRPr="0071219E" w:rsidRDefault="5F4BC1B0" w:rsidP="00F94EB1">
      <w:pPr>
        <w:spacing w:before="240" w:after="240" w:line="360" w:lineRule="auto"/>
        <w:rPr>
          <w:rFonts w:ascii="Times New Roman" w:hAnsi="Times New Roman" w:cs="Times New Roman"/>
          <w:lang w:val="en-US"/>
        </w:rPr>
      </w:pPr>
      <w:r w:rsidRPr="0071219E">
        <w:rPr>
          <w:rFonts w:ascii="Times New Roman" w:eastAsia="Times New Roman" w:hAnsi="Times New Roman" w:cs="Times New Roman"/>
          <w:lang w:val="en-GB"/>
        </w:rPr>
        <w:t>Immatriculation Numbers:</w:t>
      </w:r>
      <w:r w:rsidR="00753D4C" w:rsidRPr="0071219E">
        <w:rPr>
          <w:rFonts w:ascii="Times New Roman" w:hAnsi="Times New Roman" w:cs="Times New Roman"/>
          <w:lang w:val="en-US"/>
        </w:rPr>
        <w:tab/>
      </w:r>
      <w:r w:rsidR="00753D4C" w:rsidRPr="0071219E">
        <w:rPr>
          <w:rFonts w:ascii="Times New Roman" w:hAnsi="Times New Roman" w:cs="Times New Roman"/>
          <w:lang w:val="en-US"/>
        </w:rPr>
        <w:tab/>
      </w:r>
      <w:r w:rsidR="002D207B" w:rsidRPr="0071219E">
        <w:rPr>
          <w:rFonts w:ascii="Times New Roman" w:eastAsia="Times New Roman" w:hAnsi="Times New Roman" w:cs="Times New Roman"/>
          <w:lang w:val="en-GB"/>
        </w:rPr>
        <w:t>6</w:t>
      </w:r>
      <w:r w:rsidR="001131BA" w:rsidRPr="0071219E">
        <w:rPr>
          <w:rFonts w:ascii="Times New Roman" w:eastAsia="Times New Roman" w:hAnsi="Times New Roman" w:cs="Times New Roman"/>
          <w:lang w:val="en-GB"/>
        </w:rPr>
        <w:t>9</w:t>
      </w:r>
      <w:r w:rsidR="00C41487" w:rsidRPr="0071219E">
        <w:rPr>
          <w:rFonts w:ascii="Times New Roman" w:eastAsia="Times New Roman" w:hAnsi="Times New Roman" w:cs="Times New Roman"/>
          <w:lang w:val="en-GB"/>
        </w:rPr>
        <w:t>791</w:t>
      </w:r>
      <w:r w:rsidR="001112BC" w:rsidRPr="0071219E">
        <w:rPr>
          <w:rFonts w:ascii="Times New Roman" w:eastAsia="Times New Roman" w:hAnsi="Times New Roman" w:cs="Times New Roman"/>
          <w:lang w:val="en-GB"/>
        </w:rPr>
        <w:t>,</w:t>
      </w:r>
      <w:r w:rsidR="00A455EF" w:rsidRPr="0071219E">
        <w:rPr>
          <w:rFonts w:ascii="Times New Roman" w:eastAsia="Times New Roman" w:hAnsi="Times New Roman" w:cs="Times New Roman"/>
          <w:lang w:val="en-GB"/>
        </w:rPr>
        <w:t xml:space="preserve"> </w:t>
      </w:r>
      <w:r w:rsidR="00722B2E" w:rsidRPr="0071219E">
        <w:rPr>
          <w:rFonts w:ascii="Times New Roman" w:eastAsia="Times New Roman" w:hAnsi="Times New Roman" w:cs="Times New Roman"/>
          <w:lang w:val="en-GB"/>
        </w:rPr>
        <w:t>70474</w:t>
      </w:r>
      <w:r w:rsidR="00A2024D" w:rsidRPr="0071219E">
        <w:rPr>
          <w:rFonts w:ascii="Times New Roman" w:eastAsia="Times New Roman" w:hAnsi="Times New Roman" w:cs="Times New Roman"/>
          <w:lang w:val="en-GB"/>
        </w:rPr>
        <w:t xml:space="preserve">, </w:t>
      </w:r>
      <w:r w:rsidR="004B258C" w:rsidRPr="0071219E">
        <w:rPr>
          <w:rFonts w:ascii="Times New Roman" w:eastAsia="Times New Roman" w:hAnsi="Times New Roman" w:cs="Times New Roman"/>
          <w:lang w:val="en-GB"/>
        </w:rPr>
        <w:t>71</w:t>
      </w:r>
      <w:r w:rsidR="00B667E7" w:rsidRPr="0071219E">
        <w:rPr>
          <w:rFonts w:ascii="Times New Roman" w:eastAsia="Times New Roman" w:hAnsi="Times New Roman" w:cs="Times New Roman"/>
          <w:lang w:val="en-GB"/>
        </w:rPr>
        <w:t>362,</w:t>
      </w:r>
      <w:r w:rsidR="00803214" w:rsidRPr="0071219E">
        <w:rPr>
          <w:rFonts w:ascii="Times New Roman" w:eastAsia="Times New Roman" w:hAnsi="Times New Roman" w:cs="Times New Roman"/>
          <w:lang w:val="en-GB"/>
        </w:rPr>
        <w:t xml:space="preserve"> </w:t>
      </w:r>
      <w:r w:rsidR="000248EC" w:rsidRPr="0071219E">
        <w:rPr>
          <w:rFonts w:ascii="Times New Roman" w:eastAsia="Times New Roman" w:hAnsi="Times New Roman" w:cs="Times New Roman"/>
          <w:lang w:val="en-GB"/>
        </w:rPr>
        <w:t>7</w:t>
      </w:r>
      <w:r w:rsidR="00CD3EBD" w:rsidRPr="0071219E">
        <w:rPr>
          <w:rFonts w:ascii="Times New Roman" w:eastAsia="Times New Roman" w:hAnsi="Times New Roman" w:cs="Times New Roman"/>
          <w:lang w:val="en-GB"/>
        </w:rPr>
        <w:t>2</w:t>
      </w:r>
      <w:r w:rsidR="00043A19" w:rsidRPr="0071219E">
        <w:rPr>
          <w:rFonts w:ascii="Times New Roman" w:eastAsia="Times New Roman" w:hAnsi="Times New Roman" w:cs="Times New Roman"/>
          <w:lang w:val="en-GB"/>
        </w:rPr>
        <w:t>931</w:t>
      </w:r>
      <w:r w:rsidR="007F5905" w:rsidRPr="0071219E">
        <w:rPr>
          <w:rFonts w:ascii="Times New Roman" w:eastAsia="Times New Roman" w:hAnsi="Times New Roman" w:cs="Times New Roman"/>
          <w:lang w:val="en-GB"/>
        </w:rPr>
        <w:t xml:space="preserve">, </w:t>
      </w:r>
      <w:r w:rsidR="00C35045" w:rsidRPr="0071219E">
        <w:rPr>
          <w:rFonts w:ascii="Times New Roman" w:eastAsia="Times New Roman" w:hAnsi="Times New Roman" w:cs="Times New Roman"/>
          <w:lang w:val="en-GB"/>
        </w:rPr>
        <w:t>701</w:t>
      </w:r>
      <w:r w:rsidR="00857386" w:rsidRPr="0071219E">
        <w:rPr>
          <w:rFonts w:ascii="Times New Roman" w:eastAsia="Times New Roman" w:hAnsi="Times New Roman" w:cs="Times New Roman"/>
          <w:lang w:val="en-GB"/>
        </w:rPr>
        <w:t>91</w:t>
      </w:r>
    </w:p>
    <w:p w14:paraId="3B9874E4" w14:textId="28D3B861" w:rsidR="00B963AE" w:rsidRDefault="5F4BC1B0" w:rsidP="00F94EB1">
      <w:pPr>
        <w:spacing w:before="240" w:after="240" w:line="360" w:lineRule="auto"/>
        <w:rPr>
          <w:rFonts w:ascii="Times New Roman" w:eastAsia="Times New Roman" w:hAnsi="Times New Roman" w:cs="Times New Roman"/>
          <w:lang w:val="en-GB"/>
        </w:rPr>
      </w:pPr>
      <w:r w:rsidRPr="0071219E">
        <w:rPr>
          <w:rFonts w:ascii="Times New Roman" w:eastAsia="Times New Roman" w:hAnsi="Times New Roman" w:cs="Times New Roman"/>
          <w:lang w:val="en-GB"/>
        </w:rPr>
        <w:t>Group:</w:t>
      </w:r>
      <w:r w:rsidR="00753D4C" w:rsidRPr="0071219E">
        <w:rPr>
          <w:rFonts w:ascii="Times New Roman" w:hAnsi="Times New Roman" w:cs="Times New Roman"/>
          <w:lang w:val="en-US"/>
        </w:rPr>
        <w:tab/>
      </w:r>
      <w:r w:rsidR="00753D4C" w:rsidRPr="0071219E">
        <w:rPr>
          <w:rFonts w:ascii="Times New Roman" w:hAnsi="Times New Roman" w:cs="Times New Roman"/>
          <w:lang w:val="en-US"/>
        </w:rPr>
        <w:tab/>
      </w:r>
      <w:r w:rsidR="00753D4C" w:rsidRPr="0071219E">
        <w:rPr>
          <w:rFonts w:ascii="Times New Roman" w:hAnsi="Times New Roman" w:cs="Times New Roman"/>
          <w:lang w:val="en-US"/>
        </w:rPr>
        <w:tab/>
      </w:r>
      <w:r w:rsidR="00753D4C" w:rsidRPr="0071219E">
        <w:rPr>
          <w:rFonts w:ascii="Times New Roman" w:hAnsi="Times New Roman" w:cs="Times New Roman"/>
          <w:lang w:val="en-US"/>
        </w:rPr>
        <w:tab/>
      </w:r>
      <w:r w:rsidR="00753D4C" w:rsidRPr="0071219E">
        <w:rPr>
          <w:rFonts w:ascii="Times New Roman" w:hAnsi="Times New Roman" w:cs="Times New Roman"/>
          <w:lang w:val="en-US"/>
        </w:rPr>
        <w:tab/>
      </w:r>
      <w:r w:rsidR="00505817" w:rsidRPr="0071219E">
        <w:rPr>
          <w:rFonts w:ascii="Times New Roman" w:eastAsia="Times New Roman" w:hAnsi="Times New Roman" w:cs="Times New Roman"/>
          <w:lang w:val="en-GB"/>
        </w:rPr>
        <w:t>1</w:t>
      </w:r>
      <w:r w:rsidR="00DE7EED" w:rsidRPr="0071219E">
        <w:rPr>
          <w:rFonts w:ascii="Times New Roman" w:eastAsia="Times New Roman" w:hAnsi="Times New Roman" w:cs="Times New Roman"/>
          <w:lang w:val="en-GB"/>
        </w:rPr>
        <w:t>8</w:t>
      </w:r>
    </w:p>
    <w:p w14:paraId="65336845" w14:textId="5D85D332" w:rsidR="008B49E3" w:rsidRPr="008B49E3" w:rsidRDefault="008B49E3"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Subject:</w:t>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t>Research Methods for Finance</w:t>
      </w:r>
    </w:p>
    <w:p w14:paraId="1E3463D9" w14:textId="4511917C" w:rsidR="00EF6841" w:rsidRPr="00EF6841" w:rsidRDefault="5F4BC1B0" w:rsidP="00F94EB1">
      <w:pPr>
        <w:spacing w:before="240" w:after="240" w:line="360" w:lineRule="auto"/>
        <w:rPr>
          <w:rFonts w:ascii="Times New Roman" w:eastAsia="Times New Roman" w:hAnsi="Times New Roman" w:cs="Times New Roman"/>
          <w:lang w:val="en-GB"/>
        </w:rPr>
      </w:pPr>
      <w:r w:rsidRPr="0071219E">
        <w:rPr>
          <w:rFonts w:ascii="Times New Roman" w:eastAsia="Times New Roman" w:hAnsi="Times New Roman" w:cs="Times New Roman"/>
          <w:lang w:val="en-GB"/>
        </w:rPr>
        <w:t>Supervisor:</w:t>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A51D59" w:rsidRPr="00EF6841">
        <w:rPr>
          <w:rFonts w:ascii="Times New Roman" w:eastAsia="Times New Roman" w:hAnsi="Times New Roman" w:cs="Times New Roman"/>
          <w:lang w:val="en-GB"/>
        </w:rPr>
        <w:t>Julio A. Crego</w:t>
      </w:r>
      <w:r w:rsidR="006705C8" w:rsidRPr="00EF6841">
        <w:rPr>
          <w:rFonts w:ascii="Times New Roman" w:eastAsia="Times New Roman" w:hAnsi="Times New Roman" w:cs="Times New Roman"/>
          <w:lang w:val="en-GB"/>
        </w:rPr>
        <w:t>, Fabian Waßmann</w:t>
      </w:r>
    </w:p>
    <w:p w14:paraId="45AF8FDD" w14:textId="3B46D29B" w:rsidR="00973108" w:rsidRDefault="5F4BC1B0" w:rsidP="00F94EB1">
      <w:pPr>
        <w:spacing w:line="360" w:lineRule="auto"/>
        <w:rPr>
          <w:rFonts w:ascii="Times New Roman" w:eastAsia="Times New Roman" w:hAnsi="Times New Roman" w:cs="Times New Roman"/>
          <w:lang w:val="en-GB"/>
        </w:rPr>
        <w:sectPr w:rsidR="00973108">
          <w:pgSz w:w="11906" w:h="16838"/>
          <w:pgMar w:top="1440" w:right="1440" w:bottom="1440" w:left="1440" w:header="720" w:footer="720" w:gutter="0"/>
          <w:cols w:space="720"/>
          <w:docGrid w:linePitch="360"/>
        </w:sectPr>
      </w:pPr>
      <w:r w:rsidRPr="0071219E">
        <w:rPr>
          <w:rFonts w:ascii="Times New Roman" w:eastAsia="Times New Roman" w:hAnsi="Times New Roman" w:cs="Times New Roman"/>
          <w:lang w:val="en-GB"/>
        </w:rPr>
        <w:t xml:space="preserve">Date of submission:                           </w:t>
      </w:r>
      <w:r w:rsidR="00D557E1">
        <w:rPr>
          <w:rFonts w:ascii="Times New Roman" w:eastAsia="Times New Roman" w:hAnsi="Times New Roman" w:cs="Times New Roman"/>
          <w:lang w:val="en-GB"/>
        </w:rPr>
        <w:t>1</w:t>
      </w:r>
      <w:r w:rsidR="006705C8" w:rsidRPr="0071219E">
        <w:rPr>
          <w:rFonts w:ascii="Times New Roman" w:eastAsia="Times New Roman" w:hAnsi="Times New Roman" w:cs="Times New Roman"/>
          <w:lang w:val="en-GB"/>
        </w:rPr>
        <w:t>st</w:t>
      </w:r>
      <w:r w:rsidRPr="0071219E">
        <w:rPr>
          <w:rFonts w:ascii="Times New Roman" w:eastAsia="Times New Roman" w:hAnsi="Times New Roman" w:cs="Times New Roman"/>
          <w:lang w:val="en-GB"/>
        </w:rPr>
        <w:t xml:space="preserve"> </w:t>
      </w:r>
      <w:r w:rsidR="006705C8" w:rsidRPr="0071219E">
        <w:rPr>
          <w:rFonts w:ascii="Times New Roman" w:eastAsia="Times New Roman" w:hAnsi="Times New Roman" w:cs="Times New Roman"/>
          <w:lang w:val="en-GB"/>
        </w:rPr>
        <w:t>March</w:t>
      </w:r>
      <w:r w:rsidRPr="0071219E">
        <w:rPr>
          <w:rFonts w:ascii="Times New Roman" w:eastAsia="Times New Roman" w:hAnsi="Times New Roman" w:cs="Times New Roman"/>
          <w:lang w:val="en-GB"/>
        </w:rPr>
        <w:t xml:space="preserve"> 202</w:t>
      </w:r>
      <w:r w:rsidR="006705C8" w:rsidRPr="0071219E">
        <w:rPr>
          <w:rFonts w:ascii="Times New Roman" w:eastAsia="Times New Roman" w:hAnsi="Times New Roman" w:cs="Times New Roman"/>
          <w:lang w:val="en-GB"/>
        </w:rPr>
        <w:t>6</w:t>
      </w:r>
    </w:p>
    <w:p w14:paraId="77B6F607" w14:textId="77777777" w:rsidR="00A86727" w:rsidRDefault="00A86727" w:rsidP="00F94EB1">
      <w:pPr>
        <w:pStyle w:val="Unsichtbareberschrift"/>
      </w:pPr>
      <w:r w:rsidRPr="00862B0B">
        <w:t>Table of Contents</w:t>
      </w:r>
    </w:p>
    <w:p w14:paraId="7996BF5C" w14:textId="2F723555" w:rsidR="00FB2854" w:rsidRDefault="00A86727" w:rsidP="00FB2854">
      <w:pPr>
        <w:pStyle w:val="TOC1"/>
        <w:spacing w:before="0"/>
        <w:rPr>
          <w:rFonts w:asciiTheme="minorHAnsi" w:eastAsiaTheme="minorEastAsia" w:hAnsiTheme="minorHAnsi" w:cstheme="minorBidi"/>
          <w:b w:val="0"/>
          <w:noProof/>
          <w:kern w:val="2"/>
          <w:lang w:eastAsia="en-US"/>
          <w14:ligatures w14:val="standardContextual"/>
        </w:rPr>
      </w:pPr>
      <w:r w:rsidRPr="008D2D1C">
        <w:rPr>
          <w:bCs/>
        </w:rPr>
        <w:fldChar w:fldCharType="begin"/>
      </w:r>
      <w:r w:rsidRPr="008D2D1C">
        <w:rPr>
          <w:bCs/>
        </w:rPr>
        <w:instrText xml:space="preserve"> TOC \o "1-3" \h \z \t "Zwischenverzeichnis;1" </w:instrText>
      </w:r>
      <w:r w:rsidRPr="008D2D1C">
        <w:rPr>
          <w:bCs/>
        </w:rPr>
        <w:fldChar w:fldCharType="separate"/>
      </w:r>
      <w:hyperlink w:anchor="_Toc223041006" w:history="1">
        <w:r w:rsidR="00FB2854" w:rsidRPr="005D1A09">
          <w:rPr>
            <w:rStyle w:val="Hyperlink"/>
            <w:noProof/>
          </w:rPr>
          <w:t>1.</w:t>
        </w:r>
        <w:r w:rsidR="00FB2854">
          <w:rPr>
            <w:rFonts w:asciiTheme="minorHAnsi" w:eastAsiaTheme="minorEastAsia" w:hAnsiTheme="minorHAnsi" w:cstheme="minorBidi"/>
            <w:b w:val="0"/>
            <w:noProof/>
            <w:kern w:val="2"/>
            <w:lang w:eastAsia="en-US"/>
            <w14:ligatures w14:val="standardContextual"/>
          </w:rPr>
          <w:tab/>
        </w:r>
        <w:r w:rsidR="00FB2854" w:rsidRPr="005D1A09">
          <w:rPr>
            <w:rStyle w:val="Hyperlink"/>
            <w:noProof/>
          </w:rPr>
          <w:t>Hypotheses Development</w:t>
        </w:r>
        <w:r w:rsidR="00FB2854">
          <w:rPr>
            <w:noProof/>
            <w:webHidden/>
          </w:rPr>
          <w:tab/>
        </w:r>
        <w:r w:rsidR="00FB2854">
          <w:rPr>
            <w:noProof/>
            <w:webHidden/>
          </w:rPr>
          <w:fldChar w:fldCharType="begin"/>
        </w:r>
        <w:r w:rsidR="00FB2854">
          <w:rPr>
            <w:noProof/>
            <w:webHidden/>
          </w:rPr>
          <w:instrText xml:space="preserve"> PAGEREF _Toc223041006 \h </w:instrText>
        </w:r>
        <w:r w:rsidR="00FB2854">
          <w:rPr>
            <w:noProof/>
            <w:webHidden/>
          </w:rPr>
        </w:r>
        <w:r w:rsidR="00FB2854">
          <w:rPr>
            <w:noProof/>
            <w:webHidden/>
          </w:rPr>
          <w:fldChar w:fldCharType="separate"/>
        </w:r>
        <w:r w:rsidR="00FB2854">
          <w:rPr>
            <w:noProof/>
            <w:webHidden/>
          </w:rPr>
          <w:t>4</w:t>
        </w:r>
        <w:r w:rsidR="00FB2854">
          <w:rPr>
            <w:noProof/>
            <w:webHidden/>
          </w:rPr>
          <w:fldChar w:fldCharType="end"/>
        </w:r>
      </w:hyperlink>
    </w:p>
    <w:p w14:paraId="27381C4B" w14:textId="5CACBDB4"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7" w:history="1">
        <w:r w:rsidRPr="005D1A09">
          <w:rPr>
            <w:rStyle w:val="Hyperlink"/>
            <w:noProof/>
          </w:rPr>
          <w:t>1.1.</w:t>
        </w:r>
        <w:r>
          <w:rPr>
            <w:rFonts w:asciiTheme="minorHAnsi" w:eastAsiaTheme="minorEastAsia" w:hAnsiTheme="minorHAnsi" w:cstheme="minorBidi"/>
            <w:b w:val="0"/>
            <w:noProof/>
            <w:kern w:val="2"/>
            <w:lang w:eastAsia="en-US"/>
            <w14:ligatures w14:val="standardContextual"/>
          </w:rPr>
          <w:tab/>
        </w:r>
        <w:r w:rsidRPr="005D1A09">
          <w:rPr>
            <w:rStyle w:val="Hyperlink"/>
            <w:noProof/>
          </w:rPr>
          <w:t>Research Question</w:t>
        </w:r>
        <w:r>
          <w:rPr>
            <w:noProof/>
            <w:webHidden/>
          </w:rPr>
          <w:tab/>
        </w:r>
        <w:r>
          <w:rPr>
            <w:noProof/>
            <w:webHidden/>
          </w:rPr>
          <w:fldChar w:fldCharType="begin"/>
        </w:r>
        <w:r>
          <w:rPr>
            <w:noProof/>
            <w:webHidden/>
          </w:rPr>
          <w:instrText xml:space="preserve"> PAGEREF _Toc223041007 \h </w:instrText>
        </w:r>
        <w:r>
          <w:rPr>
            <w:noProof/>
            <w:webHidden/>
          </w:rPr>
        </w:r>
        <w:r>
          <w:rPr>
            <w:noProof/>
            <w:webHidden/>
          </w:rPr>
          <w:fldChar w:fldCharType="separate"/>
        </w:r>
        <w:r>
          <w:rPr>
            <w:noProof/>
            <w:webHidden/>
          </w:rPr>
          <w:t>4</w:t>
        </w:r>
        <w:r>
          <w:rPr>
            <w:noProof/>
            <w:webHidden/>
          </w:rPr>
          <w:fldChar w:fldCharType="end"/>
        </w:r>
      </w:hyperlink>
    </w:p>
    <w:p w14:paraId="2EA22411" w14:textId="32D19509"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8" w:history="1">
        <w:r w:rsidRPr="005D1A09">
          <w:rPr>
            <w:rStyle w:val="Hyperlink"/>
            <w:noProof/>
          </w:rPr>
          <w:t>1.2.</w:t>
        </w:r>
        <w:r>
          <w:rPr>
            <w:rFonts w:asciiTheme="minorHAnsi" w:eastAsiaTheme="minorEastAsia" w:hAnsiTheme="minorHAnsi" w:cstheme="minorBidi"/>
            <w:b w:val="0"/>
            <w:noProof/>
            <w:kern w:val="2"/>
            <w:lang w:eastAsia="en-US"/>
            <w14:ligatures w14:val="standardContextual"/>
          </w:rPr>
          <w:tab/>
        </w:r>
        <w:r w:rsidRPr="005D1A09">
          <w:rPr>
            <w:rStyle w:val="Hyperlink"/>
            <w:noProof/>
          </w:rPr>
          <w:t>Economic Framework</w:t>
        </w:r>
        <w:r>
          <w:rPr>
            <w:noProof/>
            <w:webHidden/>
          </w:rPr>
          <w:tab/>
        </w:r>
        <w:r>
          <w:rPr>
            <w:noProof/>
            <w:webHidden/>
          </w:rPr>
          <w:fldChar w:fldCharType="begin"/>
        </w:r>
        <w:r>
          <w:rPr>
            <w:noProof/>
            <w:webHidden/>
          </w:rPr>
          <w:instrText xml:space="preserve"> PAGEREF _Toc223041008 \h </w:instrText>
        </w:r>
        <w:r>
          <w:rPr>
            <w:noProof/>
            <w:webHidden/>
          </w:rPr>
        </w:r>
        <w:r>
          <w:rPr>
            <w:noProof/>
            <w:webHidden/>
          </w:rPr>
          <w:fldChar w:fldCharType="separate"/>
        </w:r>
        <w:r>
          <w:rPr>
            <w:noProof/>
            <w:webHidden/>
          </w:rPr>
          <w:t>4</w:t>
        </w:r>
        <w:r>
          <w:rPr>
            <w:noProof/>
            <w:webHidden/>
          </w:rPr>
          <w:fldChar w:fldCharType="end"/>
        </w:r>
      </w:hyperlink>
    </w:p>
    <w:p w14:paraId="1D4E6A35" w14:textId="539A730A"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9" w:history="1">
        <w:r w:rsidRPr="005D1A09">
          <w:rPr>
            <w:rStyle w:val="Hyperlink"/>
            <w:noProof/>
          </w:rPr>
          <w:t>1.3.</w:t>
        </w:r>
        <w:r>
          <w:rPr>
            <w:rFonts w:asciiTheme="minorHAnsi" w:eastAsiaTheme="minorEastAsia" w:hAnsiTheme="minorHAnsi" w:cstheme="minorBidi"/>
            <w:b w:val="0"/>
            <w:noProof/>
            <w:kern w:val="2"/>
            <w:lang w:eastAsia="en-US"/>
            <w14:ligatures w14:val="standardContextual"/>
          </w:rPr>
          <w:tab/>
        </w:r>
        <w:r w:rsidRPr="005D1A09">
          <w:rPr>
            <w:rStyle w:val="Hyperlink"/>
            <w:noProof/>
          </w:rPr>
          <w:t>Hypothesis 1: Average Treatment Effect</w:t>
        </w:r>
        <w:r>
          <w:rPr>
            <w:noProof/>
            <w:webHidden/>
          </w:rPr>
          <w:tab/>
        </w:r>
        <w:r>
          <w:rPr>
            <w:noProof/>
            <w:webHidden/>
          </w:rPr>
          <w:fldChar w:fldCharType="begin"/>
        </w:r>
        <w:r>
          <w:rPr>
            <w:noProof/>
            <w:webHidden/>
          </w:rPr>
          <w:instrText xml:space="preserve"> PAGEREF _Toc223041009 \h </w:instrText>
        </w:r>
        <w:r>
          <w:rPr>
            <w:noProof/>
            <w:webHidden/>
          </w:rPr>
        </w:r>
        <w:r>
          <w:rPr>
            <w:noProof/>
            <w:webHidden/>
          </w:rPr>
          <w:fldChar w:fldCharType="separate"/>
        </w:r>
        <w:r>
          <w:rPr>
            <w:noProof/>
            <w:webHidden/>
          </w:rPr>
          <w:t>5</w:t>
        </w:r>
        <w:r>
          <w:rPr>
            <w:noProof/>
            <w:webHidden/>
          </w:rPr>
          <w:fldChar w:fldCharType="end"/>
        </w:r>
      </w:hyperlink>
    </w:p>
    <w:p w14:paraId="644D3869" w14:textId="07F31C6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0" w:history="1">
        <w:r w:rsidRPr="005D1A09">
          <w:rPr>
            <w:rStyle w:val="Hyperlink"/>
            <w:noProof/>
          </w:rPr>
          <w:t>1.4.</w:t>
        </w:r>
        <w:r>
          <w:rPr>
            <w:rFonts w:asciiTheme="minorHAnsi" w:eastAsiaTheme="minorEastAsia" w:hAnsiTheme="minorHAnsi" w:cstheme="minorBidi"/>
            <w:b w:val="0"/>
            <w:noProof/>
            <w:kern w:val="2"/>
            <w:lang w:eastAsia="en-US"/>
            <w14:ligatures w14:val="standardContextual"/>
          </w:rPr>
          <w:tab/>
        </w:r>
        <w:r w:rsidRPr="005D1A09">
          <w:rPr>
            <w:rStyle w:val="Hyperlink"/>
            <w:noProof/>
          </w:rPr>
          <w:t>Hypothesis 2: Heterogeneous Effects by Pre-Pilot Spread Narrowness</w:t>
        </w:r>
        <w:r>
          <w:rPr>
            <w:noProof/>
            <w:webHidden/>
          </w:rPr>
          <w:tab/>
        </w:r>
        <w:r>
          <w:rPr>
            <w:noProof/>
            <w:webHidden/>
          </w:rPr>
          <w:fldChar w:fldCharType="begin"/>
        </w:r>
        <w:r>
          <w:rPr>
            <w:noProof/>
            <w:webHidden/>
          </w:rPr>
          <w:instrText xml:space="preserve"> PAGEREF _Toc223041010 \h </w:instrText>
        </w:r>
        <w:r>
          <w:rPr>
            <w:noProof/>
            <w:webHidden/>
          </w:rPr>
        </w:r>
        <w:r>
          <w:rPr>
            <w:noProof/>
            <w:webHidden/>
          </w:rPr>
          <w:fldChar w:fldCharType="separate"/>
        </w:r>
        <w:r>
          <w:rPr>
            <w:noProof/>
            <w:webHidden/>
          </w:rPr>
          <w:t>5</w:t>
        </w:r>
        <w:r>
          <w:rPr>
            <w:noProof/>
            <w:webHidden/>
          </w:rPr>
          <w:fldChar w:fldCharType="end"/>
        </w:r>
      </w:hyperlink>
    </w:p>
    <w:p w14:paraId="017A0717" w14:textId="632E182C"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1" w:history="1">
        <w:r w:rsidRPr="005D1A09">
          <w:rPr>
            <w:rStyle w:val="Hyperlink"/>
            <w:noProof/>
          </w:rPr>
          <w:t>2.</w:t>
        </w:r>
        <w:r>
          <w:rPr>
            <w:rFonts w:asciiTheme="minorHAnsi" w:eastAsiaTheme="minorEastAsia" w:hAnsiTheme="minorHAnsi" w:cstheme="minorBidi"/>
            <w:b w:val="0"/>
            <w:noProof/>
            <w:kern w:val="2"/>
            <w:lang w:eastAsia="en-US"/>
            <w14:ligatures w14:val="standardContextual"/>
          </w:rPr>
          <w:tab/>
        </w:r>
        <w:r w:rsidRPr="005D1A09">
          <w:rPr>
            <w:rStyle w:val="Hyperlink"/>
            <w:noProof/>
          </w:rPr>
          <w:t>Empirical Methodology</w:t>
        </w:r>
        <w:r>
          <w:rPr>
            <w:noProof/>
            <w:webHidden/>
          </w:rPr>
          <w:tab/>
        </w:r>
        <w:r>
          <w:rPr>
            <w:noProof/>
            <w:webHidden/>
          </w:rPr>
          <w:fldChar w:fldCharType="begin"/>
        </w:r>
        <w:r>
          <w:rPr>
            <w:noProof/>
            <w:webHidden/>
          </w:rPr>
          <w:instrText xml:space="preserve"> PAGEREF _Toc223041011 \h </w:instrText>
        </w:r>
        <w:r>
          <w:rPr>
            <w:noProof/>
            <w:webHidden/>
          </w:rPr>
        </w:r>
        <w:r>
          <w:rPr>
            <w:noProof/>
            <w:webHidden/>
          </w:rPr>
          <w:fldChar w:fldCharType="separate"/>
        </w:r>
        <w:r>
          <w:rPr>
            <w:noProof/>
            <w:webHidden/>
          </w:rPr>
          <w:t>6</w:t>
        </w:r>
        <w:r>
          <w:rPr>
            <w:noProof/>
            <w:webHidden/>
          </w:rPr>
          <w:fldChar w:fldCharType="end"/>
        </w:r>
      </w:hyperlink>
    </w:p>
    <w:p w14:paraId="416EA2E5" w14:textId="27F31B63"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2" w:history="1">
        <w:r w:rsidRPr="005D1A09">
          <w:rPr>
            <w:rStyle w:val="Hyperlink"/>
            <w:noProof/>
          </w:rPr>
          <w:t>2.1.</w:t>
        </w:r>
        <w:r>
          <w:rPr>
            <w:rFonts w:asciiTheme="minorHAnsi" w:eastAsiaTheme="minorEastAsia" w:hAnsiTheme="minorHAnsi" w:cstheme="minorBidi"/>
            <w:b w:val="0"/>
            <w:noProof/>
            <w:kern w:val="2"/>
            <w:lang w:eastAsia="en-US"/>
            <w14:ligatures w14:val="standardContextual"/>
          </w:rPr>
          <w:tab/>
        </w:r>
        <w:r w:rsidRPr="005D1A09">
          <w:rPr>
            <w:rStyle w:val="Hyperlink"/>
            <w:noProof/>
          </w:rPr>
          <w:t>Identification Strategy</w:t>
        </w:r>
        <w:r>
          <w:rPr>
            <w:noProof/>
            <w:webHidden/>
          </w:rPr>
          <w:tab/>
        </w:r>
        <w:r>
          <w:rPr>
            <w:noProof/>
            <w:webHidden/>
          </w:rPr>
          <w:fldChar w:fldCharType="begin"/>
        </w:r>
        <w:r>
          <w:rPr>
            <w:noProof/>
            <w:webHidden/>
          </w:rPr>
          <w:instrText xml:space="preserve"> PAGEREF _Toc223041012 \h </w:instrText>
        </w:r>
        <w:r>
          <w:rPr>
            <w:noProof/>
            <w:webHidden/>
          </w:rPr>
        </w:r>
        <w:r>
          <w:rPr>
            <w:noProof/>
            <w:webHidden/>
          </w:rPr>
          <w:fldChar w:fldCharType="separate"/>
        </w:r>
        <w:r>
          <w:rPr>
            <w:noProof/>
            <w:webHidden/>
          </w:rPr>
          <w:t>6</w:t>
        </w:r>
        <w:r>
          <w:rPr>
            <w:noProof/>
            <w:webHidden/>
          </w:rPr>
          <w:fldChar w:fldCharType="end"/>
        </w:r>
      </w:hyperlink>
    </w:p>
    <w:p w14:paraId="4C6C051B" w14:textId="0D3FFF4E"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3" w:history="1">
        <w:r w:rsidRPr="005D1A09">
          <w:rPr>
            <w:rStyle w:val="Hyperlink"/>
            <w:noProof/>
          </w:rPr>
          <w:t>2.2.</w:t>
        </w:r>
        <w:r>
          <w:rPr>
            <w:rFonts w:asciiTheme="minorHAnsi" w:eastAsiaTheme="minorEastAsia" w:hAnsiTheme="minorHAnsi" w:cstheme="minorBidi"/>
            <w:b w:val="0"/>
            <w:noProof/>
            <w:kern w:val="2"/>
            <w:lang w:eastAsia="en-US"/>
            <w14:ligatures w14:val="standardContextual"/>
          </w:rPr>
          <w:tab/>
        </w:r>
        <w:r w:rsidRPr="005D1A09">
          <w:rPr>
            <w:rStyle w:val="Hyperlink"/>
            <w:noProof/>
          </w:rPr>
          <w:t>Baseline Specification</w:t>
        </w:r>
        <w:r>
          <w:rPr>
            <w:noProof/>
            <w:webHidden/>
          </w:rPr>
          <w:tab/>
        </w:r>
        <w:r>
          <w:rPr>
            <w:noProof/>
            <w:webHidden/>
          </w:rPr>
          <w:fldChar w:fldCharType="begin"/>
        </w:r>
        <w:r>
          <w:rPr>
            <w:noProof/>
            <w:webHidden/>
          </w:rPr>
          <w:instrText xml:space="preserve"> PAGEREF _Toc223041013 \h </w:instrText>
        </w:r>
        <w:r>
          <w:rPr>
            <w:noProof/>
            <w:webHidden/>
          </w:rPr>
        </w:r>
        <w:r>
          <w:rPr>
            <w:noProof/>
            <w:webHidden/>
          </w:rPr>
          <w:fldChar w:fldCharType="separate"/>
        </w:r>
        <w:r>
          <w:rPr>
            <w:noProof/>
            <w:webHidden/>
          </w:rPr>
          <w:t>6</w:t>
        </w:r>
        <w:r>
          <w:rPr>
            <w:noProof/>
            <w:webHidden/>
          </w:rPr>
          <w:fldChar w:fldCharType="end"/>
        </w:r>
      </w:hyperlink>
    </w:p>
    <w:p w14:paraId="670CC0E9" w14:textId="7AEB57D5"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4" w:history="1">
        <w:r w:rsidRPr="005D1A09">
          <w:rPr>
            <w:rStyle w:val="Hyperlink"/>
            <w:noProof/>
          </w:rPr>
          <w:t>2.3.</w:t>
        </w:r>
        <w:r>
          <w:rPr>
            <w:rFonts w:asciiTheme="minorHAnsi" w:eastAsiaTheme="minorEastAsia" w:hAnsiTheme="minorHAnsi" w:cstheme="minorBidi"/>
            <w:b w:val="0"/>
            <w:noProof/>
            <w:kern w:val="2"/>
            <w:lang w:eastAsia="en-US"/>
            <w14:ligatures w14:val="standardContextual"/>
          </w:rPr>
          <w:tab/>
        </w:r>
        <w:r w:rsidRPr="005D1A09">
          <w:rPr>
            <w:rStyle w:val="Hyperlink"/>
            <w:noProof/>
          </w:rPr>
          <w:t>Control Variables</w:t>
        </w:r>
        <w:r>
          <w:rPr>
            <w:noProof/>
            <w:webHidden/>
          </w:rPr>
          <w:tab/>
        </w:r>
        <w:r>
          <w:rPr>
            <w:noProof/>
            <w:webHidden/>
          </w:rPr>
          <w:fldChar w:fldCharType="begin"/>
        </w:r>
        <w:r>
          <w:rPr>
            <w:noProof/>
            <w:webHidden/>
          </w:rPr>
          <w:instrText xml:space="preserve"> PAGEREF _Toc223041014 \h </w:instrText>
        </w:r>
        <w:r>
          <w:rPr>
            <w:noProof/>
            <w:webHidden/>
          </w:rPr>
        </w:r>
        <w:r>
          <w:rPr>
            <w:noProof/>
            <w:webHidden/>
          </w:rPr>
          <w:fldChar w:fldCharType="separate"/>
        </w:r>
        <w:r>
          <w:rPr>
            <w:noProof/>
            <w:webHidden/>
          </w:rPr>
          <w:t>7</w:t>
        </w:r>
        <w:r>
          <w:rPr>
            <w:noProof/>
            <w:webHidden/>
          </w:rPr>
          <w:fldChar w:fldCharType="end"/>
        </w:r>
      </w:hyperlink>
    </w:p>
    <w:p w14:paraId="6F519E42" w14:textId="4FA0DC27"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5" w:history="1">
        <w:r w:rsidRPr="005D1A09">
          <w:rPr>
            <w:rStyle w:val="Hyperlink"/>
            <w:noProof/>
          </w:rPr>
          <w:t>3.</w:t>
        </w:r>
        <w:r>
          <w:rPr>
            <w:rFonts w:asciiTheme="minorHAnsi" w:eastAsiaTheme="minorEastAsia" w:hAnsiTheme="minorHAnsi" w:cstheme="minorBidi"/>
            <w:b w:val="0"/>
            <w:noProof/>
            <w:kern w:val="2"/>
            <w:lang w:eastAsia="en-US"/>
            <w14:ligatures w14:val="standardContextual"/>
          </w:rPr>
          <w:tab/>
        </w:r>
        <w:r w:rsidRPr="005D1A09">
          <w:rPr>
            <w:rStyle w:val="Hyperlink"/>
            <w:noProof/>
          </w:rPr>
          <w:t>Data (Max 4 pages)</w:t>
        </w:r>
        <w:r>
          <w:rPr>
            <w:noProof/>
            <w:webHidden/>
          </w:rPr>
          <w:tab/>
        </w:r>
        <w:r>
          <w:rPr>
            <w:noProof/>
            <w:webHidden/>
          </w:rPr>
          <w:fldChar w:fldCharType="begin"/>
        </w:r>
        <w:r>
          <w:rPr>
            <w:noProof/>
            <w:webHidden/>
          </w:rPr>
          <w:instrText xml:space="preserve"> PAGEREF _Toc223041015 \h </w:instrText>
        </w:r>
        <w:r>
          <w:rPr>
            <w:noProof/>
            <w:webHidden/>
          </w:rPr>
        </w:r>
        <w:r>
          <w:rPr>
            <w:noProof/>
            <w:webHidden/>
          </w:rPr>
          <w:fldChar w:fldCharType="separate"/>
        </w:r>
        <w:r>
          <w:rPr>
            <w:noProof/>
            <w:webHidden/>
          </w:rPr>
          <w:t>8</w:t>
        </w:r>
        <w:r>
          <w:rPr>
            <w:noProof/>
            <w:webHidden/>
          </w:rPr>
          <w:fldChar w:fldCharType="end"/>
        </w:r>
      </w:hyperlink>
    </w:p>
    <w:p w14:paraId="29312E3B" w14:textId="233EA16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6" w:history="1">
        <w:r w:rsidRPr="005D1A09">
          <w:rPr>
            <w:rStyle w:val="Hyperlink"/>
            <w:noProof/>
          </w:rPr>
          <w:t>3.1.</w:t>
        </w:r>
        <w:r>
          <w:rPr>
            <w:rFonts w:asciiTheme="minorHAnsi" w:eastAsiaTheme="minorEastAsia" w:hAnsiTheme="minorHAnsi" w:cstheme="minorBidi"/>
            <w:b w:val="0"/>
            <w:noProof/>
            <w:kern w:val="2"/>
            <w:lang w:eastAsia="en-US"/>
            <w14:ligatures w14:val="standardContextual"/>
          </w:rPr>
          <w:tab/>
        </w:r>
        <w:r w:rsidRPr="005D1A09">
          <w:rPr>
            <w:rStyle w:val="Hyperlink"/>
            <w:noProof/>
          </w:rPr>
          <w:t>Data Construction and Sample Selection</w:t>
        </w:r>
        <w:r>
          <w:rPr>
            <w:noProof/>
            <w:webHidden/>
          </w:rPr>
          <w:tab/>
        </w:r>
        <w:r>
          <w:rPr>
            <w:noProof/>
            <w:webHidden/>
          </w:rPr>
          <w:fldChar w:fldCharType="begin"/>
        </w:r>
        <w:r>
          <w:rPr>
            <w:noProof/>
            <w:webHidden/>
          </w:rPr>
          <w:instrText xml:space="preserve"> PAGEREF _Toc223041016 \h </w:instrText>
        </w:r>
        <w:r>
          <w:rPr>
            <w:noProof/>
            <w:webHidden/>
          </w:rPr>
        </w:r>
        <w:r>
          <w:rPr>
            <w:noProof/>
            <w:webHidden/>
          </w:rPr>
          <w:fldChar w:fldCharType="separate"/>
        </w:r>
        <w:r>
          <w:rPr>
            <w:noProof/>
            <w:webHidden/>
          </w:rPr>
          <w:t>8</w:t>
        </w:r>
        <w:r>
          <w:rPr>
            <w:noProof/>
            <w:webHidden/>
          </w:rPr>
          <w:fldChar w:fldCharType="end"/>
        </w:r>
      </w:hyperlink>
    </w:p>
    <w:p w14:paraId="5EC768C5" w14:textId="4EF5164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7" w:history="1">
        <w:r w:rsidRPr="005D1A09">
          <w:rPr>
            <w:rStyle w:val="Hyperlink"/>
            <w:noProof/>
          </w:rPr>
          <w:t>3.2.</w:t>
        </w:r>
        <w:r>
          <w:rPr>
            <w:rFonts w:asciiTheme="minorHAnsi" w:eastAsiaTheme="minorEastAsia" w:hAnsiTheme="minorHAnsi" w:cstheme="minorBidi"/>
            <w:b w:val="0"/>
            <w:noProof/>
            <w:kern w:val="2"/>
            <w:lang w:eastAsia="en-US"/>
            <w14:ligatures w14:val="standardContextual"/>
          </w:rPr>
          <w:tab/>
        </w:r>
        <w:r w:rsidRPr="005D1A09">
          <w:rPr>
            <w:rStyle w:val="Hyperlink"/>
            <w:noProof/>
          </w:rPr>
          <w:t>Variable Construction</w:t>
        </w:r>
        <w:r>
          <w:rPr>
            <w:noProof/>
            <w:webHidden/>
          </w:rPr>
          <w:tab/>
        </w:r>
        <w:r>
          <w:rPr>
            <w:noProof/>
            <w:webHidden/>
          </w:rPr>
          <w:fldChar w:fldCharType="begin"/>
        </w:r>
        <w:r>
          <w:rPr>
            <w:noProof/>
            <w:webHidden/>
          </w:rPr>
          <w:instrText xml:space="preserve"> PAGEREF _Toc223041017 \h </w:instrText>
        </w:r>
        <w:r>
          <w:rPr>
            <w:noProof/>
            <w:webHidden/>
          </w:rPr>
        </w:r>
        <w:r>
          <w:rPr>
            <w:noProof/>
            <w:webHidden/>
          </w:rPr>
          <w:fldChar w:fldCharType="separate"/>
        </w:r>
        <w:r>
          <w:rPr>
            <w:noProof/>
            <w:webHidden/>
          </w:rPr>
          <w:t>8</w:t>
        </w:r>
        <w:r>
          <w:rPr>
            <w:noProof/>
            <w:webHidden/>
          </w:rPr>
          <w:fldChar w:fldCharType="end"/>
        </w:r>
      </w:hyperlink>
    </w:p>
    <w:p w14:paraId="230B3784" w14:textId="6E65B7B4"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8" w:history="1">
        <w:r w:rsidRPr="005D1A09">
          <w:rPr>
            <w:rStyle w:val="Hyperlink"/>
            <w:noProof/>
          </w:rPr>
          <w:t>3.3.</w:t>
        </w:r>
        <w:r>
          <w:rPr>
            <w:rFonts w:asciiTheme="minorHAnsi" w:eastAsiaTheme="minorEastAsia" w:hAnsiTheme="minorHAnsi" w:cstheme="minorBidi"/>
            <w:b w:val="0"/>
            <w:noProof/>
            <w:kern w:val="2"/>
            <w:lang w:eastAsia="en-US"/>
            <w14:ligatures w14:val="standardContextual"/>
          </w:rPr>
          <w:tab/>
        </w:r>
        <w:r w:rsidRPr="005D1A09">
          <w:rPr>
            <w:rStyle w:val="Hyperlink"/>
            <w:noProof/>
          </w:rPr>
          <w:t>Summary Statistics</w:t>
        </w:r>
        <w:r>
          <w:rPr>
            <w:noProof/>
            <w:webHidden/>
          </w:rPr>
          <w:tab/>
        </w:r>
        <w:r>
          <w:rPr>
            <w:noProof/>
            <w:webHidden/>
          </w:rPr>
          <w:fldChar w:fldCharType="begin"/>
        </w:r>
        <w:r>
          <w:rPr>
            <w:noProof/>
            <w:webHidden/>
          </w:rPr>
          <w:instrText xml:space="preserve"> PAGEREF _Toc223041018 \h </w:instrText>
        </w:r>
        <w:r>
          <w:rPr>
            <w:noProof/>
            <w:webHidden/>
          </w:rPr>
        </w:r>
        <w:r>
          <w:rPr>
            <w:noProof/>
            <w:webHidden/>
          </w:rPr>
          <w:fldChar w:fldCharType="separate"/>
        </w:r>
        <w:r>
          <w:rPr>
            <w:noProof/>
            <w:webHidden/>
          </w:rPr>
          <w:t>9</w:t>
        </w:r>
        <w:r>
          <w:rPr>
            <w:noProof/>
            <w:webHidden/>
          </w:rPr>
          <w:fldChar w:fldCharType="end"/>
        </w:r>
      </w:hyperlink>
    </w:p>
    <w:p w14:paraId="005D96A7" w14:textId="329A4ACD"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9" w:history="1">
        <w:r w:rsidRPr="005D1A09">
          <w:rPr>
            <w:rStyle w:val="Hyperlink"/>
            <w:noProof/>
          </w:rPr>
          <w:t>4.</w:t>
        </w:r>
        <w:r>
          <w:rPr>
            <w:rFonts w:asciiTheme="minorHAnsi" w:eastAsiaTheme="minorEastAsia" w:hAnsiTheme="minorHAnsi" w:cstheme="minorBidi"/>
            <w:b w:val="0"/>
            <w:noProof/>
            <w:kern w:val="2"/>
            <w:lang w:eastAsia="en-US"/>
            <w14:ligatures w14:val="standardContextual"/>
          </w:rPr>
          <w:tab/>
        </w:r>
        <w:r w:rsidRPr="005D1A09">
          <w:rPr>
            <w:rStyle w:val="Hyperlink"/>
            <w:noProof/>
          </w:rPr>
          <w:t>Results</w:t>
        </w:r>
        <w:r>
          <w:rPr>
            <w:noProof/>
            <w:webHidden/>
          </w:rPr>
          <w:tab/>
        </w:r>
        <w:r>
          <w:rPr>
            <w:noProof/>
            <w:webHidden/>
          </w:rPr>
          <w:fldChar w:fldCharType="begin"/>
        </w:r>
        <w:r>
          <w:rPr>
            <w:noProof/>
            <w:webHidden/>
          </w:rPr>
          <w:instrText xml:space="preserve"> PAGEREF _Toc223041019 \h </w:instrText>
        </w:r>
        <w:r>
          <w:rPr>
            <w:noProof/>
            <w:webHidden/>
          </w:rPr>
        </w:r>
        <w:r>
          <w:rPr>
            <w:noProof/>
            <w:webHidden/>
          </w:rPr>
          <w:fldChar w:fldCharType="separate"/>
        </w:r>
        <w:r>
          <w:rPr>
            <w:noProof/>
            <w:webHidden/>
          </w:rPr>
          <w:t>12</w:t>
        </w:r>
        <w:r>
          <w:rPr>
            <w:noProof/>
            <w:webHidden/>
          </w:rPr>
          <w:fldChar w:fldCharType="end"/>
        </w:r>
      </w:hyperlink>
    </w:p>
    <w:p w14:paraId="21693406" w14:textId="4C140A96"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0" w:history="1">
        <w:r w:rsidRPr="005D1A09">
          <w:rPr>
            <w:rStyle w:val="Hyperlink"/>
            <w:noProof/>
          </w:rPr>
          <w:t>4.1.</w:t>
        </w:r>
        <w:r>
          <w:rPr>
            <w:rFonts w:asciiTheme="minorHAnsi" w:eastAsiaTheme="minorEastAsia" w:hAnsiTheme="minorHAnsi" w:cstheme="minorBidi"/>
            <w:b w:val="0"/>
            <w:noProof/>
            <w:kern w:val="2"/>
            <w:lang w:eastAsia="en-US"/>
            <w14:ligatures w14:val="standardContextual"/>
          </w:rPr>
          <w:tab/>
        </w:r>
        <w:r w:rsidRPr="005D1A09">
          <w:rPr>
            <w:rStyle w:val="Hyperlink"/>
            <w:noProof/>
            <w:lang w:val="de-DE"/>
          </w:rPr>
          <w:t>Average Treatment Effects</w:t>
        </w:r>
        <w:r>
          <w:rPr>
            <w:noProof/>
            <w:webHidden/>
          </w:rPr>
          <w:tab/>
        </w:r>
        <w:r>
          <w:rPr>
            <w:noProof/>
            <w:webHidden/>
          </w:rPr>
          <w:fldChar w:fldCharType="begin"/>
        </w:r>
        <w:r>
          <w:rPr>
            <w:noProof/>
            <w:webHidden/>
          </w:rPr>
          <w:instrText xml:space="preserve"> PAGEREF _Toc223041020 \h </w:instrText>
        </w:r>
        <w:r>
          <w:rPr>
            <w:noProof/>
            <w:webHidden/>
          </w:rPr>
        </w:r>
        <w:r>
          <w:rPr>
            <w:noProof/>
            <w:webHidden/>
          </w:rPr>
          <w:fldChar w:fldCharType="separate"/>
        </w:r>
        <w:r>
          <w:rPr>
            <w:noProof/>
            <w:webHidden/>
          </w:rPr>
          <w:t>12</w:t>
        </w:r>
        <w:r>
          <w:rPr>
            <w:noProof/>
            <w:webHidden/>
          </w:rPr>
          <w:fldChar w:fldCharType="end"/>
        </w:r>
      </w:hyperlink>
    </w:p>
    <w:p w14:paraId="5BFD9C3A" w14:textId="33C9BDF0"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1" w:history="1">
        <w:r w:rsidRPr="005D1A09">
          <w:rPr>
            <w:rStyle w:val="Hyperlink"/>
            <w:noProof/>
            <w:lang w:val="de-DE"/>
          </w:rPr>
          <w:t>4.2.</w:t>
        </w:r>
        <w:r>
          <w:rPr>
            <w:rFonts w:asciiTheme="minorHAnsi" w:eastAsiaTheme="minorEastAsia" w:hAnsiTheme="minorHAnsi" w:cstheme="minorBidi"/>
            <w:b w:val="0"/>
            <w:noProof/>
            <w:kern w:val="2"/>
            <w:lang w:eastAsia="en-US"/>
            <w14:ligatures w14:val="standardContextual"/>
          </w:rPr>
          <w:tab/>
        </w:r>
        <w:r w:rsidRPr="005D1A09">
          <w:rPr>
            <w:rStyle w:val="Hyperlink"/>
            <w:noProof/>
            <w:lang w:val="de-DE"/>
          </w:rPr>
          <w:t>Heterogeneous Effects by Pre-Treatment Spread</w:t>
        </w:r>
        <w:r>
          <w:rPr>
            <w:noProof/>
            <w:webHidden/>
          </w:rPr>
          <w:tab/>
        </w:r>
        <w:r>
          <w:rPr>
            <w:noProof/>
            <w:webHidden/>
          </w:rPr>
          <w:fldChar w:fldCharType="begin"/>
        </w:r>
        <w:r>
          <w:rPr>
            <w:noProof/>
            <w:webHidden/>
          </w:rPr>
          <w:instrText xml:space="preserve"> PAGEREF _Toc223041021 \h </w:instrText>
        </w:r>
        <w:r>
          <w:rPr>
            <w:noProof/>
            <w:webHidden/>
          </w:rPr>
        </w:r>
        <w:r>
          <w:rPr>
            <w:noProof/>
            <w:webHidden/>
          </w:rPr>
          <w:fldChar w:fldCharType="separate"/>
        </w:r>
        <w:r>
          <w:rPr>
            <w:noProof/>
            <w:webHidden/>
          </w:rPr>
          <w:t>13</w:t>
        </w:r>
        <w:r>
          <w:rPr>
            <w:noProof/>
            <w:webHidden/>
          </w:rPr>
          <w:fldChar w:fldCharType="end"/>
        </w:r>
      </w:hyperlink>
    </w:p>
    <w:p w14:paraId="2B5F4153" w14:textId="56E0DA2C"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2" w:history="1">
        <w:r w:rsidRPr="005D1A09">
          <w:rPr>
            <w:rStyle w:val="Hyperlink"/>
            <w:noProof/>
            <w:lang w:val="de-DE"/>
          </w:rPr>
          <w:t>4.3.</w:t>
        </w:r>
        <w:r>
          <w:rPr>
            <w:rFonts w:asciiTheme="minorHAnsi" w:eastAsiaTheme="minorEastAsia" w:hAnsiTheme="minorHAnsi" w:cstheme="minorBidi"/>
            <w:b w:val="0"/>
            <w:noProof/>
            <w:kern w:val="2"/>
            <w:lang w:eastAsia="en-US"/>
            <w14:ligatures w14:val="standardContextual"/>
          </w:rPr>
          <w:tab/>
        </w:r>
        <w:r w:rsidRPr="005D1A09">
          <w:rPr>
            <w:rStyle w:val="Hyperlink"/>
            <w:noProof/>
            <w:lang w:val="de-DE"/>
          </w:rPr>
          <w:t>Economic Interpretation and Implications</w:t>
        </w:r>
        <w:r>
          <w:rPr>
            <w:noProof/>
            <w:webHidden/>
          </w:rPr>
          <w:tab/>
        </w:r>
        <w:r>
          <w:rPr>
            <w:noProof/>
            <w:webHidden/>
          </w:rPr>
          <w:fldChar w:fldCharType="begin"/>
        </w:r>
        <w:r>
          <w:rPr>
            <w:noProof/>
            <w:webHidden/>
          </w:rPr>
          <w:instrText xml:space="preserve"> PAGEREF _Toc223041022 \h </w:instrText>
        </w:r>
        <w:r>
          <w:rPr>
            <w:noProof/>
            <w:webHidden/>
          </w:rPr>
        </w:r>
        <w:r>
          <w:rPr>
            <w:noProof/>
            <w:webHidden/>
          </w:rPr>
          <w:fldChar w:fldCharType="separate"/>
        </w:r>
        <w:r>
          <w:rPr>
            <w:noProof/>
            <w:webHidden/>
          </w:rPr>
          <w:t>14</w:t>
        </w:r>
        <w:r>
          <w:rPr>
            <w:noProof/>
            <w:webHidden/>
          </w:rPr>
          <w:fldChar w:fldCharType="end"/>
        </w:r>
      </w:hyperlink>
    </w:p>
    <w:p w14:paraId="204498F7" w14:textId="0059E858" w:rsidR="0014407E" w:rsidRPr="0071219E" w:rsidRDefault="00A86727" w:rsidP="00F94EB1">
      <w:pPr>
        <w:spacing w:line="360" w:lineRule="auto"/>
        <w:rPr>
          <w:rFonts w:ascii="Times New Roman" w:hAnsi="Times New Roman" w:cs="Times New Roman"/>
          <w:b/>
          <w:sz w:val="32"/>
          <w:szCs w:val="32"/>
          <w:lang w:val="en-GB"/>
        </w:rPr>
      </w:pPr>
      <w:r w:rsidRPr="008D2D1C">
        <w:fldChar w:fldCharType="end"/>
      </w:r>
      <w:r w:rsidR="0014407E" w:rsidRPr="0071219E">
        <w:rPr>
          <w:rFonts w:ascii="Times New Roman" w:hAnsi="Times New Roman" w:cs="Times New Roman"/>
          <w:b/>
          <w:sz w:val="32"/>
          <w:szCs w:val="32"/>
          <w:lang w:val="en-GB"/>
        </w:rPr>
        <w:br w:type="page"/>
      </w:r>
    </w:p>
    <w:p w14:paraId="32DC8D7D" w14:textId="77777777" w:rsidR="00C45BB6" w:rsidRPr="0071219E" w:rsidRDefault="00C45BB6" w:rsidP="00F94EB1">
      <w:pPr>
        <w:spacing w:after="60" w:line="360" w:lineRule="auto"/>
        <w:rPr>
          <w:rFonts w:ascii="Times New Roman" w:hAnsi="Times New Roman" w:cs="Times New Roman"/>
          <w:b/>
          <w:bCs/>
          <w:sz w:val="32"/>
          <w:szCs w:val="32"/>
          <w:lang w:val="en-US"/>
        </w:rPr>
      </w:pPr>
      <w:r w:rsidRPr="0071219E">
        <w:rPr>
          <w:rFonts w:ascii="Times New Roman" w:hAnsi="Times New Roman" w:cs="Times New Roman"/>
          <w:b/>
          <w:bCs/>
          <w:sz w:val="32"/>
          <w:szCs w:val="32"/>
          <w:lang w:val="en-US"/>
        </w:rPr>
        <w:t>List of Figures</w:t>
      </w:r>
    </w:p>
    <w:p w14:paraId="028D137A" w14:textId="00FB5540" w:rsidR="0071219E" w:rsidRPr="009665B7" w:rsidRDefault="0071219E" w:rsidP="00F94EB1">
      <w:pPr>
        <w:spacing w:after="60" w:line="360" w:lineRule="auto"/>
        <w:rPr>
          <w:rFonts w:ascii="Times New Roman" w:hAnsi="Times New Roman" w:cs="Times New Roman"/>
          <w:lang w:val="en-US"/>
        </w:rPr>
      </w:pPr>
      <w:r w:rsidRPr="009665B7">
        <w:rPr>
          <w:rFonts w:ascii="Times New Roman" w:hAnsi="Times New Roman" w:cs="Times New Roman"/>
          <w:lang w:val="en-US"/>
        </w:rPr>
        <w:t>Figure 1: Monthly Average Log Turnover by Group (January 2016–April 2019)</w:t>
      </w:r>
      <w:r w:rsidR="009665B7" w:rsidRPr="009665B7">
        <w:rPr>
          <w:rFonts w:ascii="Times New Roman" w:hAnsi="Times New Roman" w:cs="Times New Roman"/>
          <w:lang w:val="en-US"/>
        </w:rPr>
      </w:r>
    </w:p>
    <w:p w14:paraId="62F543BB" w14:textId="77777777" w:rsidR="0071219E" w:rsidRPr="009665B7" w:rsidRDefault="0071219E" w:rsidP="00F94EB1">
      <w:pPr>
        <w:spacing w:after="60" w:line="360" w:lineRule="auto"/>
        <w:rPr>
          <w:rFonts w:ascii="Times New Roman" w:hAnsi="Times New Roman" w:cs="Times New Roman"/>
          <w:b/>
          <w:bCs/>
          <w:sz w:val="32"/>
          <w:szCs w:val="32"/>
          <w:lang w:val="en-US"/>
        </w:rPr>
      </w:pPr>
    </w:p>
    <w:p w14:paraId="1CED89F0" w14:textId="41B8B0B7" w:rsidR="009665B7" w:rsidRDefault="00C45BB6" w:rsidP="00F94EB1">
      <w:pPr>
        <w:spacing w:after="60" w:line="360" w:lineRule="auto"/>
        <w:rPr>
          <w:rFonts w:ascii="Times New Roman" w:eastAsia="Times New Roman" w:hAnsi="Times New Roman" w:cs="Times New Roman"/>
          <w:spacing w:val="-2"/>
          <w:lang w:val="en-US" w:eastAsia="de-DE"/>
        </w:rPr>
      </w:pPr>
      <w:r w:rsidRPr="009665B7">
        <w:rPr>
          <w:rFonts w:ascii="Times New Roman" w:hAnsi="Times New Roman" w:cs="Times New Roman"/>
          <w:b/>
          <w:bCs/>
          <w:sz w:val="32"/>
          <w:szCs w:val="32"/>
          <w:lang w:val="en-US"/>
        </w:rPr>
        <w:t>List of Tables</w:t>
      </w:r>
    </w:p>
    <w:p w14:paraId="4ACE7E6A" w14:textId="7593FA73" w:rsidR="009665B7" w:rsidRPr="0071219E" w:rsidRDefault="009665B7" w:rsidP="00F94EB1">
      <w:pPr>
        <w:spacing w:after="60" w:line="360" w:lineRule="auto"/>
        <w:rPr>
          <w:rFonts w:ascii="Times New Roman" w:hAnsi="Times New Roman" w:cs="Times New Roman"/>
          <w:bCs/>
          <w:sz w:val="32"/>
          <w:szCs w:val="32"/>
          <w:lang w:val="en-GB"/>
        </w:rPr>
      </w:pPr>
      <w:r>
        <w:rPr>
          <w:rFonts w:ascii="Times New Roman" w:hAnsi="Times New Roman" w:cs="Times New Roman"/>
          <w:lang w:val="en-US"/>
        </w:rPr>
        <w:t>Table 1: Pre-Treatment Summary Statistics (March–August 2016)</w:t>
      </w:r>
      <w:r w:rsidRPr="009665B7">
        <w:rPr>
          <w:rFonts w:ascii="Times New Roman" w:hAnsi="Times New Roman" w:cs="Times New Roman"/>
          <w:lang w:val="en-US"/>
        </w:rPr>
      </w:r>
      <w:r>
        <w:rPr>
          <w:rFonts w:ascii="Times New Roman" w:hAnsi="Times New Roman" w:cs="Times New Roman"/>
          <w:lang w:val="en-US"/>
        </w:rPr>
      </w:r>
      <w:r w:rsidRPr="009665B7">
        <w:rPr>
          <w:rFonts w:ascii="Times New Roman" w:hAnsi="Times New Roman" w:cs="Times New Roman"/>
          <w:lang w:val="en-US"/>
        </w:rPr>
      </w:r>
    </w:p>
    <w:p>
      <w:pPr/>
      <w:r>
        <w:t>Table 2: Difference-in-Differences Estimates of the Effect of Tick Size Increase on Log Turnover</w:t>
      </w:r>
    </w:p>
    <w:p w14:paraId="1B6C1B39" w14:textId="77777777" w:rsidR="001D670D" w:rsidRPr="0071219E" w:rsidRDefault="001D670D" w:rsidP="00F94EB1">
      <w:pPr>
        <w:spacing w:after="60" w:line="360" w:lineRule="auto"/>
        <w:rPr>
          <w:rFonts w:ascii="Times New Roman" w:hAnsi="Times New Roman" w:cs="Times New Roman"/>
          <w:b/>
          <w:sz w:val="32"/>
          <w:szCs w:val="32"/>
          <w:lang w:val="en-GB"/>
        </w:rPr>
      </w:pPr>
    </w:p>
    <w:p w14:paraId="0674E7A7" w14:textId="3EDC105A" w:rsidR="00781992" w:rsidRPr="0071219E" w:rsidRDefault="00781992" w:rsidP="00F94EB1">
      <w:pPr>
        <w:spacing w:after="60" w:line="360" w:lineRule="auto"/>
        <w:rPr>
          <w:rFonts w:ascii="Times New Roman" w:hAnsi="Times New Roman" w:cs="Times New Roman"/>
          <w:b/>
          <w:sz w:val="32"/>
          <w:szCs w:val="32"/>
          <w:lang w:val="en-GB"/>
        </w:rPr>
      </w:pPr>
      <w:r w:rsidRPr="0071219E">
        <w:rPr>
          <w:rFonts w:ascii="Times New Roman" w:hAnsi="Times New Roman" w:cs="Times New Roman"/>
          <w:b/>
          <w:sz w:val="32"/>
          <w:szCs w:val="32"/>
          <w:lang w:val="en-GB"/>
        </w:rPr>
        <w:t>List of Abbreviations</w:t>
      </w:r>
    </w:p>
    <w:p>
      <w:r>
        <w:t xml:space="preserve">CRSP: Center for Research in Security Prices</w:t>
      </w:r>
    </w:p>
    <w:p>
      <w:r>
        <w:t xml:space="preserve">DiD: Difference-in-Differences</w:t>
      </w:r>
    </w:p>
    <w:p>
      <w:r>
        <w:t xml:space="preserve">FE: Fixed Effects</w:t>
      </w:r>
    </w:p>
    <w:p>
      <w:r>
        <w:t xml:space="preserve">SEC: Securities and Exchange Commission</w:t>
      </w:r>
    </w:p>
    <w:p>
      <w:r>
        <w:t xml:space="preserve">SE: Standard Error</w:t>
      </w:r>
    </w:p>
    <w:p>
      <w:r>
        <w:t xml:space="preserve">WRDS: Wharton Research Data Services</w:t>
      </w:r>
    </w:p>
    <w:p>
      <w:r>
        <w:t xml:space="preserve">CRSP: Center for Research in Security Prices</w:t>
      </w:r>
    </w:p>
    <w:p>
      <w:r>
        <w:t xml:space="preserve">DiD: Difference-in-Differences</w:t>
      </w:r>
    </w:p>
    <w:p>
      <w:r>
        <w:t xml:space="preserve">FE: Fixed Effects</w:t>
      </w:r>
    </w:p>
    <w:p>
      <w:r>
        <w:t xml:space="preserve">SEC: Securities and Exchange Commission</w:t>
      </w:r>
    </w:p>
    <w:p>
      <w:r>
        <w:t xml:space="preserve">SE: Standard Error</w:t>
      </w:r>
    </w:p>
    <w:p>
      <w:r>
        <w:t xml:space="preserve">WRDS: Wharton Research Data Services</w:t>
      </w:r>
    </w:p>
    <w:p w14:paraId="4DE797CE" w14:textId="77777777" w:rsidR="00781992" w:rsidRPr="0071219E" w:rsidRDefault="00781992" w:rsidP="00F94EB1">
      <w:pPr>
        <w:spacing w:after="60" w:line="360" w:lineRule="auto"/>
        <w:rPr>
          <w:rFonts w:ascii="Times New Roman" w:hAnsi="Times New Roman" w:cs="Times New Roman"/>
          <w:b/>
          <w:sz w:val="32"/>
          <w:szCs w:val="32"/>
          <w:lang w:val="en-GB"/>
        </w:rPr>
      </w:pPr>
    </w:p>
    <w:p w14:paraId="4A169C7B" w14:textId="77777777" w:rsidR="00135E7B" w:rsidRDefault="00781992" w:rsidP="00F94EB1">
      <w:pPr>
        <w:pStyle w:val="ListParagraph"/>
        <w:numPr>
          <w:ilvl w:val="0"/>
          <w:numId w:val="6"/>
        </w:numPr>
        <w:tabs>
          <w:tab w:val="left" w:pos="1640"/>
        </w:tabs>
        <w:spacing w:before="120" w:after="120" w:line="360" w:lineRule="auto"/>
        <w:jc w:val="both"/>
      </w:pPr>
      <w:r w:rsidRPr="00135E7B">
        <w:t>Appendix</w:t>
      </w:r>
    </w:p>
    <w:p w14:paraId="702409DE" w14:textId="77777777" w:rsidR="00135E7B" w:rsidRDefault="00135E7B" w:rsidP="00F94EB1">
      <w:pPr>
        <w:tabs>
          <w:tab w:val="left" w:pos="1640"/>
        </w:tabs>
        <w:spacing w:before="120" w:after="120" w:line="360" w:lineRule="auto"/>
        <w:jc w:val="both"/>
        <w:sectPr w:rsidR="00135E7B">
          <w:pgSz w:w="11906" w:h="16838"/>
          <w:pgMar w:top="1440" w:right="1440" w:bottom="1440" w:left="1440" w:header="720" w:footer="720" w:gutter="0"/>
          <w:cols w:space="720"/>
          <w:docGrid w:linePitch="360"/>
        </w:sectPr>
      </w:pPr>
    </w:p>
    <w:p w14:paraId="4531F081" w14:textId="3C60C7FB" w:rsidR="00E56AE9" w:rsidRDefault="00EF6841" w:rsidP="00914E36">
      <w:pPr>
        <w:pStyle w:val="Heading1"/>
        <w:numPr>
          <w:ilvl w:val="0"/>
          <w:numId w:val="1"/>
        </w:numPr>
        <w:tabs>
          <w:tab w:val="num" w:pos="360"/>
        </w:tabs>
        <w:spacing w:before="0" w:after="200"/>
        <w:ind w:left="357" w:hanging="357"/>
      </w:pPr>
      <w:bookmarkStart w:id="0" w:name="_Toc223041006"/>
      <w:r w:rsidRPr="00031D9F">
        <w:t>Hyp</w:t>
      </w:r>
      <w:r w:rsidR="006C0A4B" w:rsidRPr="00031D9F">
        <w:t>otheses Development</w:t>
      </w:r>
      <w:bookmarkEnd w:id="0"/>
      <w:r w:rsidR="004F0109">
        <w:t xml:space="preserve"> </w:t>
      </w:r>
    </w:p>
    <w:p w14:paraId="2AD8C3F6" w14:textId="4EABFD8F" w:rsidR="00B229DE" w:rsidRPr="00B229DE" w:rsidRDefault="00717CB8" w:rsidP="00B229DE">
      <w:pPr>
        <w:spacing w:line="360" w:lineRule="auto"/>
        <w:jc w:val="both"/>
        <w:rPr>
          <w:rFonts w:ascii="Times New Roman" w:eastAsia="Aptos" w:hAnsi="Times New Roman" w:cs="Times New Roman"/>
          <w:sz w:val="22"/>
          <w:szCs w:val="22"/>
          <w:lang w:val="en-US"/>
        </w:rPr>
      </w:pPr>
      <w:r w:rsidRPr="00717CB8">
        <w:rPr>
          <w:rFonts w:ascii="Times New Roman" w:eastAsia="Aptos" w:hAnsi="Times New Roman" w:cs="Times New Roman"/>
          <w:sz w:val="22"/>
          <w:szCs w:val="22"/>
          <w:lang w:val="en-US"/>
        </w:rPr>
        <w:t>This section develops the theoretical framework guiding the empirical analysis of the SEC Tick Size Pilot Program. Building on market microstructure theory, testable predictions are formulated regarding the effect of an exogenous tick size increase on trading volume. The analysis considers both the average treatment effect and potential heterogeneity arising from pre-treatment spread differences.</w:t>
      </w:r>
    </w:p>
    <w:p w14:paraId="29176FCF" w14:textId="02CA8C54" w:rsidR="006652C3" w:rsidRPr="00767AF4" w:rsidRDefault="006652C3" w:rsidP="00914E36">
      <w:pPr>
        <w:pStyle w:val="Heading1"/>
        <w:numPr>
          <w:ilvl w:val="1"/>
          <w:numId w:val="4"/>
        </w:numPr>
        <w:spacing w:before="0" w:after="200"/>
        <w:rPr>
          <w:sz w:val="24"/>
          <w:szCs w:val="28"/>
        </w:rPr>
      </w:pPr>
      <w:bookmarkStart w:id="1" w:name="_Toc223041007"/>
      <w:r w:rsidRPr="00767AF4">
        <w:rPr>
          <w:sz w:val="24"/>
          <w:szCs w:val="28"/>
        </w:rPr>
        <w:t>Research Question</w:t>
      </w:r>
      <w:bookmarkEnd w:id="1"/>
    </w:p>
    <w:p w14:paraId="0239528C" w14:textId="35A7BB6D" w:rsidR="006652C3" w:rsidRPr="007D7C44" w:rsidRDefault="00ED2B38" w:rsidP="000A6384">
      <w:pPr>
        <w:spacing w:after="120" w:line="360" w:lineRule="auto"/>
        <w:jc w:val="both"/>
        <w:rPr>
          <w:rFonts w:ascii="Times New Roman" w:eastAsia="Aptos" w:hAnsi="Times New Roman" w:cs="Times New Roman"/>
          <w:sz w:val="22"/>
          <w:szCs w:val="22"/>
          <w:lang w:val="en-US"/>
        </w:rPr>
      </w:pPr>
      <w:r w:rsidRPr="00ED2B38">
        <w:rPr>
          <w:rFonts w:ascii="Times New Roman" w:eastAsia="Aptos" w:hAnsi="Times New Roman" w:cs="Times New Roman"/>
          <w:sz w:val="22"/>
          <w:szCs w:val="22"/>
          <w:lang w:val="en-US"/>
        </w:rPr>
        <w:t xml:space="preserve">This paper examines the causal effect of a minimum tick size increase on equity trading volume. The SEC Tick Size Pilot Program, implemented </w:t>
      </w:r>
      <w:r w:rsidR="000507B8">
        <w:rPr>
          <w:rFonts w:ascii="Times New Roman" w:eastAsia="Aptos" w:hAnsi="Times New Roman" w:cs="Times New Roman"/>
          <w:sz w:val="22"/>
          <w:szCs w:val="22"/>
          <w:lang w:val="en-US"/>
        </w:rPr>
        <w:t>over the course of</w:t>
      </w:r>
      <w:r w:rsidRPr="00ED2B38">
        <w:rPr>
          <w:rFonts w:ascii="Times New Roman" w:eastAsia="Aptos" w:hAnsi="Times New Roman" w:cs="Times New Roman"/>
          <w:sz w:val="22"/>
          <w:szCs w:val="22"/>
          <w:lang w:val="en-US"/>
        </w:rPr>
        <w:t xml:space="preserve"> October 2016, raised the minimum quoting increment from $0.01 to $0.05 for </w:t>
      </w:r>
      <w:r w:rsidRPr="00ED2B38">
        <w:rPr>
          <w:rFonts w:ascii="Times New Roman" w:eastAsia="Aptos" w:hAnsi="Times New Roman" w:cs="Times New Roman"/>
          <w:sz w:val="22"/>
          <w:szCs w:val="22"/>
          <w:lang w:val="en-US"/>
        </w:rPr>
        <w:t>approximately 1,200 randomly selected small-capitalization stocks</w:t>
      </w:r>
      <w:r w:rsidRPr="00ED2B38">
        <w:rPr>
          <w:rFonts w:ascii="Times New Roman" w:eastAsia="Aptos" w:hAnsi="Times New Roman" w:cs="Times New Roman"/>
          <w:sz w:val="22"/>
          <w:szCs w:val="22"/>
          <w:lang w:val="en-US"/>
        </w:rPr>
        <w:t xml:space="preserve">, while a control group continued trading under the existing $0.01 regime (Albuquerque et al., 2020). Treated stocks were assigned to three pilot groups. Group 1 stocks were required to quote in $0.05 increments but could continue to execute trades at finer increments. Group 2 stocks faced both the $0.05 quoting and trading requirement, eliminating sub-increment execution. Group 3 stocks were subject to all requirements imposed on Group 2 and additionally to a trade-at prohibition, which prevents dark venues from executing orders at the protected displayed quote unless they offer a price improvement of at least $0.05, raising the cost of off-exchange trading. The stratified random assignment provides a natural experiment supporting causal identification within a difference-in-differences framework. Two central research questions are examined. First, does the tick size increase reduce trading volume across treatment groups relative to the control group, and do the effects differ across groups with escalating regulatory requirements? </w:t>
      </w:r>
      <w:r w:rsidRPr="00ED2B38">
        <w:rPr>
          <w:rFonts w:ascii="Times New Roman" w:eastAsia="Aptos" w:hAnsi="Times New Roman" w:cs="Times New Roman"/>
          <w:sz w:val="22"/>
          <w:szCs w:val="22"/>
          <w:lang w:val="en-US"/>
        </w:rPr>
        <w:t>Second, is the volume reduction concentrated in stocks for which the $0.05 floor represents a binding constraint, specifically those with pre-treatment quoted spreads below $0.05?</w:t>
      </w:r>
    </w:p>
    <w:p w14:paraId="4019DF3D" w14:textId="74803D56" w:rsidR="007D7C44" w:rsidRPr="007D7C44" w:rsidRDefault="007D7C44" w:rsidP="00914E36">
      <w:pPr>
        <w:pStyle w:val="Heading1"/>
        <w:numPr>
          <w:ilvl w:val="1"/>
          <w:numId w:val="4"/>
        </w:numPr>
        <w:spacing w:before="0" w:after="200"/>
        <w:rPr>
          <w:sz w:val="24"/>
          <w:szCs w:val="28"/>
        </w:rPr>
      </w:pPr>
      <w:bookmarkStart w:id="4" w:name="_Toc223041008"/>
      <w:r w:rsidRPr="007D7C44">
        <w:rPr>
          <w:sz w:val="24"/>
          <w:szCs w:val="28"/>
        </w:rPr>
        <w:t>Economic Framework</w:t>
      </w:r>
      <w:bookmarkEnd w:id="4"/>
    </w:p>
    <w:p w14:paraId="571AA749" w14:textId="77777777"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The following premises underpin our hypotheses.</w:t>
      </w:r>
    </w:p>
    <w:p w14:paraId="2701246E" w14:textId="126C7D45"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 xml:space="preserve">P1. </w:t>
      </w:r>
      <w:r w:rsidR="00997E90" w:rsidRPr="00997E90">
        <w:rPr>
          <w:rFonts w:ascii="Times New Roman" w:eastAsia="Aptos" w:hAnsi="Times New Roman" w:cs="Times New Roman"/>
          <w:sz w:val="22"/>
          <w:szCs w:val="22"/>
          <w:lang w:val="en-US"/>
        </w:rPr>
        <w:t>Trading volume reflects investors’ willingness to transact and is negatively related to transaction costs. Higher bid–ask spreads reduce expected net gains from trade and eliminate marginal transactions, lowering turnover (Amihud and Mendelson, 1986; Chordia, Roll, and Subrahmanyam, 2001).</w:t>
      </w:r>
    </w:p>
    <w:p w14:paraId="1F10BB81" w14:textId="6324E97E"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 xml:space="preserve">P2. </w:t>
      </w:r>
      <w:r w:rsidR="00EC5DD3" w:rsidRPr="00EC5DD3">
        <w:rPr>
          <w:rFonts w:ascii="Times New Roman" w:eastAsia="Aptos" w:hAnsi="Times New Roman" w:cs="Times New Roman"/>
          <w:sz w:val="22"/>
          <w:szCs w:val="22"/>
          <w:lang w:val="en-US"/>
        </w:rPr>
        <w:t>The minimum tick size imposes a regulatory lower bound on quoted spreads. Because prices cannot be improved by less than one tick, a wider tick restricts price competition in the limit order book and prevents spreads from falling below the floor (Harris, 1994). Evidence from decimalization shows that reducing the tick compresses spreads, confirming that it can bind in equilibrium (Bessembinder, 2003).</w:t>
      </w:r>
    </w:p>
    <w:p w14:paraId="7EECDEEC" w14:textId="11C5EE14"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 xml:space="preserve">P3. </w:t>
      </w:r>
      <w:r w:rsidR="004F081A" w:rsidRPr="004F081A">
        <w:rPr>
          <w:rFonts w:ascii="Times New Roman" w:eastAsia="Aptos" w:hAnsi="Times New Roman" w:cs="Times New Roman"/>
          <w:sz w:val="22"/>
          <w:szCs w:val="22"/>
          <w:lang w:val="en-US"/>
        </w:rPr>
        <w:t>Investors trade only when expected gains exceed round-trip transaction costs. An increase in the spread floor therefore renders previously profitable trades unviable, reducing observed trading volume.</w:t>
      </w:r>
    </w:p>
    <w:p w14:paraId="53821F28" w14:textId="7E658771"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 xml:space="preserve">P4. </w:t>
      </w:r>
      <w:r w:rsidR="00261C10" w:rsidRPr="00261C10">
        <w:rPr>
          <w:rFonts w:ascii="Times New Roman" w:eastAsia="Aptos" w:hAnsi="Times New Roman" w:cs="Times New Roman"/>
          <w:sz w:val="22"/>
          <w:szCs w:val="22"/>
          <w:lang w:val="en-US"/>
        </w:rPr>
        <w:t>The $0.05 minimum tick binds only for stocks whose pre-treatment spreads were below $0.05. For these stocks, the regulation forces spreads above prior equilibrium levels; for stocks already quoting above $0.05, the constraint is non-binding and spreads remain unchanged (Albuquerque et al., 2020).</w:t>
      </w:r>
    </w:p>
    <w:p w14:paraId="3FC74301" w14:textId="77777777"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The following assumptions are required for causal interpretation.</w:t>
      </w:r>
    </w:p>
    <w:p w14:paraId="0711A815" w14:textId="77777777"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A1 (Exogeneity). Treatment assignment was determined by the SEC’s stratified random sampling procedure and is therefore exogenous to contemporaneous firm fundamentals. Balance tests in Albuquerque et al. (2020) confirm comparability between treated and control stocks prior to implementation. Firm fixed effects absorb any remaining time-invariant heterogeneity.</w:t>
      </w:r>
    </w:p>
    <w:p w14:paraId="36D9A6E6" w14:textId="77777777" w:rsidR="007D7C44" w:rsidRP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A2 (Parallel Trends). In the absence of the pilot, treated and control stocks would have followed parallel trends in trading volume. The difference-in-differences estimator attributes post-pilot divergence to the treatment; we assess this assumption through pre-trend tests.</w:t>
      </w:r>
    </w:p>
    <w:p w14:paraId="0C5DBA67" w14:textId="17BEA5AA" w:rsidR="007D7C44" w:rsidRDefault="007D7C44" w:rsidP="000A6384">
      <w:pPr>
        <w:spacing w:after="120" w:line="360" w:lineRule="auto"/>
        <w:jc w:val="both"/>
        <w:rPr>
          <w:rFonts w:ascii="Times New Roman" w:eastAsia="Aptos" w:hAnsi="Times New Roman" w:cs="Times New Roman"/>
          <w:sz w:val="22"/>
          <w:szCs w:val="22"/>
          <w:lang w:val="en-US"/>
        </w:rPr>
      </w:pPr>
      <w:r w:rsidRPr="007D7C44">
        <w:rPr>
          <w:rFonts w:ascii="Times New Roman" w:eastAsia="Aptos" w:hAnsi="Times New Roman" w:cs="Times New Roman"/>
          <w:sz w:val="22"/>
          <w:szCs w:val="22"/>
          <w:lang w:val="en-US"/>
        </w:rPr>
        <w:t>A3 (Predetermined Bindingness). Pre-treatment average quoted spreads provide a valid proxy for whether the $0.05 floor is binding and are not materially distorted by anticipation effects. Any measurement error in this proxy would attenuate our heterogeneous treatment estimates toward zero, implying that statistically significant effects are conservative.</w:t>
      </w:r>
    </w:p>
    <w:p w14:paraId="1EA363F8" w14:textId="1E6E34BE" w:rsidR="00A50A9D" w:rsidRPr="00A50A9D" w:rsidRDefault="00A50A9D" w:rsidP="00914E36">
      <w:pPr>
        <w:pStyle w:val="Heading1"/>
        <w:numPr>
          <w:ilvl w:val="1"/>
          <w:numId w:val="4"/>
        </w:numPr>
        <w:spacing w:before="0" w:after="200"/>
        <w:rPr>
          <w:sz w:val="24"/>
          <w:szCs w:val="28"/>
        </w:rPr>
      </w:pPr>
      <w:bookmarkStart w:id="5" w:name="_Toc223041009"/>
      <w:r w:rsidRPr="00A50A9D">
        <w:rPr>
          <w:sz w:val="24"/>
          <w:szCs w:val="28"/>
        </w:rPr>
        <w:t>Hypothesis 1: Average Treatment Effect</w:t>
      </w:r>
      <w:bookmarkEnd w:id="5"/>
      <w:r w:rsidRPr="00A50A9D">
        <w:rPr>
          <w:sz w:val="24"/>
          <w:szCs w:val="28"/>
        </w:rPr>
        <w:t> </w:t>
      </w:r>
    </w:p>
    <w:p w14:paraId="7D3ED59D" w14:textId="77777777" w:rsidR="00A50A9D" w:rsidRPr="00A50A9D" w:rsidRDefault="00A50A9D" w:rsidP="000A6384">
      <w:pPr>
        <w:spacing w:after="120" w:line="360" w:lineRule="auto"/>
        <w:jc w:val="both"/>
        <w:rPr>
          <w:rFonts w:ascii="Times New Roman" w:eastAsia="Aptos" w:hAnsi="Times New Roman" w:cs="Times New Roman"/>
          <w:sz w:val="22"/>
          <w:szCs w:val="22"/>
          <w:lang w:val="en-US"/>
        </w:rPr>
      </w:pPr>
      <w:r w:rsidRPr="00A50A9D">
        <w:rPr>
          <w:rFonts w:ascii="Times New Roman" w:eastAsia="Aptos" w:hAnsi="Times New Roman" w:cs="Times New Roman"/>
          <w:sz w:val="22"/>
          <w:szCs w:val="22"/>
          <w:lang w:val="en-US"/>
        </w:rPr>
        <w:t>If the friction channel dominates the liquidity-supply channel, treated stocks should experience lower trading volume relative to control stocks in the post-pilot period, despite the intended benefits of greater market maker participation. </w:t>
      </w:r>
    </w:p>
    <w:p w14:paraId="6E95F4E6" w14:textId="77777777" w:rsidR="00A50A9D" w:rsidRPr="00A50A9D" w:rsidRDefault="00A50A9D" w:rsidP="000A6384">
      <w:pPr>
        <w:spacing w:after="120" w:line="360" w:lineRule="auto"/>
        <w:jc w:val="both"/>
        <w:rPr>
          <w:rFonts w:ascii="Times New Roman" w:eastAsia="Aptos" w:hAnsi="Times New Roman" w:cs="Times New Roman"/>
          <w:sz w:val="22"/>
          <w:szCs w:val="22"/>
          <w:lang w:val="en-US"/>
        </w:rPr>
      </w:pPr>
      <w:r w:rsidRPr="00A50A9D">
        <w:rPr>
          <w:rFonts w:ascii="Times New Roman" w:eastAsia="Aptos" w:hAnsi="Times New Roman" w:cs="Times New Roman"/>
          <w:sz w:val="22"/>
          <w:szCs w:val="22"/>
          <w:lang w:val="en-US"/>
        </w:rPr>
        <w:t>H1: The regulatory increase in the minimum tick size from $0.01 to $0.05 reduces trading volume for treated firms relative to control firms. </w:t>
      </w:r>
    </w:p>
    <w:p w14:paraId="09E107FB" w14:textId="77777777" w:rsidR="00A50A9D" w:rsidRPr="00A50A9D" w:rsidRDefault="00A50A9D" w:rsidP="000A6384">
      <w:pPr>
        <w:spacing w:after="120" w:line="360" w:lineRule="auto"/>
        <w:jc w:val="both"/>
        <w:rPr>
          <w:rFonts w:ascii="Times New Roman" w:eastAsia="Aptos" w:hAnsi="Times New Roman" w:cs="Times New Roman"/>
          <w:sz w:val="22"/>
          <w:szCs w:val="22"/>
          <w:lang w:val="en-US"/>
        </w:rPr>
      </w:pPr>
      <w:r w:rsidRPr="00A50A9D">
        <w:rPr>
          <w:rFonts w:ascii="Times New Roman" w:eastAsia="Aptos" w:hAnsi="Times New Roman" w:cs="Times New Roman"/>
          <w:sz w:val="22"/>
          <w:szCs w:val="22"/>
          <w:lang w:val="en-US"/>
        </w:rPr>
        <w:t>The corresponding null hypothesis is that the tick size increase has no effect on trading volume. </w:t>
      </w:r>
    </w:p>
    <w:p w14:paraId="18FBD55E" w14:textId="36CF7746" w:rsidR="00A50A9D" w:rsidRPr="00A50A9D" w:rsidRDefault="00A50A9D" w:rsidP="00914E36">
      <w:pPr>
        <w:pStyle w:val="Heading1"/>
        <w:numPr>
          <w:ilvl w:val="1"/>
          <w:numId w:val="4"/>
        </w:numPr>
        <w:spacing w:before="0" w:after="200"/>
        <w:rPr>
          <w:sz w:val="24"/>
          <w:szCs w:val="28"/>
        </w:rPr>
      </w:pPr>
      <w:bookmarkStart w:id="6" w:name="_Toc223041010"/>
      <w:r w:rsidRPr="00A50A9D">
        <w:rPr>
          <w:sz w:val="24"/>
          <w:szCs w:val="28"/>
        </w:rPr>
        <w:t>Hypothesis 2: Heterogeneous Effects by Pre-Pilot Spread Narrowness</w:t>
      </w:r>
      <w:bookmarkEnd w:id="6"/>
      <w:r w:rsidRPr="00A50A9D">
        <w:rPr>
          <w:sz w:val="24"/>
          <w:szCs w:val="28"/>
        </w:rPr>
        <w:t> </w:t>
      </w:r>
    </w:p>
    <w:p w14:paraId="10353EEF" w14:textId="298F9FE3" w:rsidR="00A50A9D" w:rsidRPr="00A50A9D" w:rsidRDefault="521DC06F"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The reduction in volume should not be uniform across treated stocks. Stocks that traded with narrow spreads before the pilot, that is, well below $0.05, are most exposed to the regulatory change because the new minimum tick forces a larger increase in transaction costs. Stocks already trading with spreads at or above $0.05 are largely unaffected, since the new tick does not require spreads to widen.</w:t>
      </w:r>
      <w:r w:rsidR="7DE66B96" w:rsidRPr="5E041609">
        <w:rPr>
          <w:rFonts w:ascii="Times New Roman" w:eastAsia="Aptos" w:hAnsi="Times New Roman" w:cs="Times New Roman"/>
          <w:sz w:val="22"/>
          <w:szCs w:val="22"/>
        </w:rPr>
        <w:t> </w:t>
      </w:r>
    </w:p>
    <w:p w14:paraId="65BC0ABF" w14:textId="77777777" w:rsidR="00A50A9D" w:rsidRPr="00A50A9D" w:rsidRDefault="00A50A9D" w:rsidP="000A6384">
      <w:pPr>
        <w:spacing w:after="120" w:line="360" w:lineRule="auto"/>
        <w:jc w:val="both"/>
        <w:rPr>
          <w:rFonts w:ascii="Times New Roman" w:eastAsia="Aptos" w:hAnsi="Times New Roman" w:cs="Times New Roman"/>
          <w:sz w:val="22"/>
          <w:szCs w:val="22"/>
          <w:lang w:val="en-US"/>
        </w:rPr>
      </w:pPr>
      <w:r w:rsidRPr="00A50A9D">
        <w:rPr>
          <w:rFonts w:ascii="Times New Roman" w:eastAsia="Aptos" w:hAnsi="Times New Roman" w:cs="Times New Roman"/>
          <w:sz w:val="22"/>
          <w:szCs w:val="22"/>
          <w:lang w:val="en-US"/>
        </w:rPr>
        <w:t>H2: The negative effect of the tick size increase on trading volume is larger for stocks whose pre-pilot quoted spreads were narrow relative to the new $0.05 minimum tick. </w:t>
      </w:r>
    </w:p>
    <w:p w14:paraId="79F53CDE" w14:textId="77777777" w:rsidR="00A50A9D" w:rsidRPr="00A50A9D" w:rsidRDefault="00A50A9D" w:rsidP="000A6384">
      <w:pPr>
        <w:spacing w:after="120" w:line="360" w:lineRule="auto"/>
        <w:jc w:val="both"/>
        <w:rPr>
          <w:rFonts w:ascii="Times New Roman" w:eastAsia="Aptos" w:hAnsi="Times New Roman" w:cs="Times New Roman"/>
          <w:sz w:val="22"/>
          <w:szCs w:val="22"/>
          <w:lang w:val="en-US"/>
        </w:rPr>
      </w:pPr>
      <w:r w:rsidRPr="00A50A9D">
        <w:rPr>
          <w:rFonts w:ascii="Times New Roman" w:eastAsia="Aptos" w:hAnsi="Times New Roman" w:cs="Times New Roman"/>
          <w:sz w:val="22"/>
          <w:szCs w:val="22"/>
          <w:lang w:val="en-US"/>
        </w:rPr>
        <w:t>The corresponding null hypothesis is that the effect of the tick size increase on volume does not vary with pre-pilot spread narrowness. </w:t>
      </w:r>
    </w:p>
    <w:p w14:paraId="287EA5CD" w14:textId="578E7CDC" w:rsidR="007D7C44" w:rsidRDefault="007D7C44">
      <w:pPr>
        <w:rPr>
          <w:rFonts w:ascii="Times New Roman" w:eastAsia="Aptos" w:hAnsi="Times New Roman" w:cs="Times New Roman"/>
          <w:lang w:val="en-US"/>
        </w:rPr>
      </w:pPr>
      <w:r>
        <w:rPr>
          <w:rFonts w:ascii="Times New Roman" w:eastAsia="Aptos" w:hAnsi="Times New Roman" w:cs="Times New Roman"/>
          <w:lang w:val="en-US"/>
        </w:rPr>
        <w:br w:type="page"/>
      </w:r>
    </w:p>
    <w:p w14:paraId="1FB4BC76" w14:textId="22609852" w:rsidR="00031D9F" w:rsidRDefault="006C0A4B" w:rsidP="007165B2">
      <w:pPr>
        <w:pStyle w:val="Heading1"/>
        <w:numPr>
          <w:ilvl w:val="0"/>
          <w:numId w:val="1"/>
        </w:numPr>
        <w:tabs>
          <w:tab w:val="num" w:pos="360"/>
        </w:tabs>
        <w:spacing w:before="0" w:after="200"/>
        <w:ind w:left="357" w:hanging="357"/>
      </w:pPr>
      <w:bookmarkStart w:id="7" w:name="_Toc223041011"/>
      <w:r w:rsidRPr="00031D9F">
        <w:t>Empirical Methodology</w:t>
      </w:r>
      <w:bookmarkEnd w:id="7"/>
      <w:r w:rsidR="00D754FA">
        <w:t xml:space="preserve"> </w:t>
      </w:r>
    </w:p>
    <w:p w14:paraId="7228C083" w14:textId="2C418A23" w:rsidR="00104332" w:rsidRPr="00033794" w:rsidRDefault="00033794" w:rsidP="00033794">
      <w:pPr>
        <w:spacing w:after="120" w:line="360" w:lineRule="auto"/>
        <w:jc w:val="both"/>
        <w:rPr>
          <w:rFonts w:ascii="Times New Roman" w:eastAsia="Aptos" w:hAnsi="Times New Roman" w:cs="Times New Roman"/>
          <w:sz w:val="22"/>
          <w:szCs w:val="22"/>
          <w:lang w:val="en-US"/>
        </w:rPr>
      </w:pPr>
      <w:r w:rsidRPr="00033794">
        <w:rPr>
          <w:rFonts w:ascii="Times New Roman" w:eastAsia="Aptos" w:hAnsi="Times New Roman" w:cs="Times New Roman"/>
          <w:sz w:val="22"/>
          <w:szCs w:val="22"/>
          <w:lang w:val="en-US"/>
        </w:rPr>
        <w:t>This section presents the empirical strategy used to estimate the causal impact of the SEC Tick Size Pilot Program on trading activity. The analysis employs a difference-in-differences framework with firm and time fixed effects to identify both the average treatment effect and heterogeneous effects based on pre-treatment spread constraints.</w:t>
      </w:r>
    </w:p>
    <w:p w14:paraId="4FC3F17C" w14:textId="77777777" w:rsidR="00E246A9" w:rsidRPr="00E246A9" w:rsidRDefault="00E246A9" w:rsidP="00E246A9">
      <w:pPr>
        <w:pStyle w:val="ListParagraph"/>
        <w:keepNext/>
        <w:numPr>
          <w:ilvl w:val="0"/>
          <w:numId w:val="4"/>
        </w:numPr>
        <w:spacing w:before="360" w:after="360" w:line="360" w:lineRule="auto"/>
        <w:contextualSpacing w:val="0"/>
        <w:jc w:val="both"/>
        <w:outlineLvl w:val="0"/>
        <w:rPr>
          <w:rFonts w:cs="Arial"/>
          <w:b/>
          <w:bCs/>
          <w:vanish/>
          <w:kern w:val="32"/>
          <w:szCs w:val="28"/>
          <w:lang w:eastAsia="de-DE"/>
        </w:rPr>
      </w:pPr>
    </w:p>
    <w:p w14:paraId="65407BEB" w14:textId="17AFA3FA" w:rsidR="00C15182" w:rsidRDefault="00587471" w:rsidP="007165B2">
      <w:pPr>
        <w:pStyle w:val="Heading1"/>
        <w:numPr>
          <w:ilvl w:val="1"/>
          <w:numId w:val="4"/>
        </w:numPr>
        <w:spacing w:before="0" w:after="200"/>
        <w:rPr>
          <w:sz w:val="24"/>
          <w:szCs w:val="28"/>
        </w:rPr>
      </w:pPr>
      <w:bookmarkStart w:id="8" w:name="_Toc223041012"/>
      <w:r>
        <w:rPr>
          <w:sz w:val="24"/>
          <w:szCs w:val="28"/>
        </w:rPr>
        <w:t>Identification Strategy</w:t>
      </w:r>
      <w:bookmarkEnd w:id="8"/>
    </w:p>
    <w:p w14:paraId="1B1BAAA2" w14:textId="7B87F22E" w:rsidR="00E163E2" w:rsidRPr="00E163E2" w:rsidRDefault="00E163E2" w:rsidP="00273E53">
      <w:pPr>
        <w:spacing w:after="120" w:line="360" w:lineRule="auto"/>
        <w:jc w:val="both"/>
        <w:rPr>
          <w:rFonts w:ascii="Times New Roman" w:eastAsia="Aptos" w:hAnsi="Times New Roman" w:cs="Times New Roman"/>
          <w:sz w:val="22"/>
          <w:szCs w:val="22"/>
          <w:lang w:val="en-US"/>
        </w:rPr>
      </w:pPr>
      <w:r w:rsidRPr="00E163E2">
        <w:rPr>
          <w:rFonts w:ascii="Times New Roman" w:eastAsia="Aptos" w:hAnsi="Times New Roman" w:cs="Times New Roman"/>
          <w:sz w:val="22"/>
          <w:szCs w:val="22"/>
          <w:lang w:val="en-US"/>
        </w:rPr>
        <w:t>The causal effect of the minimum tick size increase on trading volume is identified using a difference-in-differences framework. The design exploits the exogenous variation generated by the SEC’s stratified random assignment of eligible small-capitalization stocks into three treatment groups and a control group (Albuquerque et al., 2020). Because assignment was determined by regulatory procedure rather than firm choice, treatment status is orthogonal to contemporaneous firm fundamentals. Moreover, the pilot’s implementation constitutes a discrete and externally imposed regulatory shock, ruling out endogenous selection into treatment based on anticipated future outcomes.</w:t>
      </w:r>
    </w:p>
    <w:p w14:paraId="1C39BAB8" w14:textId="77777777" w:rsidR="00804DD4" w:rsidRDefault="00804DD4" w:rsidP="00273E53">
      <w:pPr>
        <w:spacing w:after="120" w:line="360" w:lineRule="auto"/>
        <w:jc w:val="both"/>
        <w:rPr>
          <w:rFonts w:ascii="Times New Roman" w:eastAsia="Aptos" w:hAnsi="Times New Roman" w:cs="Times New Roman"/>
          <w:sz w:val="22"/>
          <w:szCs w:val="22"/>
          <w:lang w:val="en-US"/>
        </w:rPr>
      </w:pPr>
      <w:r w:rsidRPr="00804DD4">
        <w:rPr>
          <w:rFonts w:ascii="Times New Roman" w:eastAsia="Aptos" w:hAnsi="Times New Roman" w:cs="Times New Roman"/>
          <w:sz w:val="22"/>
          <w:szCs w:val="22"/>
          <w:lang w:val="en-US"/>
        </w:rPr>
        <w:t>The difference-in-differences estimator compares changes in trading volume for treated stocks relative to control stocks before and after pilot implementation. By differencing across time and groups, the specification nets out market-wide shocks affecting all stocks and time-invariant cross-sectional heterogeneity. The validity of this approach rests on the parallel trends assumption: absent the pilot, treated and control stocks would have followed similar trajectories in trading volume. This assumption is supported by random assignment and assessed empirically through pre-treatment trend analysis.</w:t>
      </w:r>
    </w:p>
    <w:p w14:paraId="672503F1" w14:textId="71992BFF" w:rsidR="007165B2" w:rsidRPr="00E163E2" w:rsidRDefault="00E163E2" w:rsidP="00273E53">
      <w:pPr>
        <w:spacing w:after="120" w:line="360" w:lineRule="auto"/>
        <w:jc w:val="both"/>
        <w:rPr>
          <w:rFonts w:ascii="Times New Roman" w:eastAsia="Aptos" w:hAnsi="Times New Roman" w:cs="Times New Roman"/>
          <w:sz w:val="22"/>
          <w:szCs w:val="22"/>
          <w:lang w:val="en-US"/>
        </w:rPr>
      </w:pPr>
      <w:r w:rsidRPr="00E163E2">
        <w:rPr>
          <w:rFonts w:ascii="Times New Roman" w:eastAsia="Aptos" w:hAnsi="Times New Roman" w:cs="Times New Roman"/>
          <w:sz w:val="22"/>
          <w:szCs w:val="22"/>
          <w:lang w:val="en-US"/>
        </w:rPr>
        <w:t>Separate treatment coefficients are estimated for each pilot group, allowing the identification strategy to exploit the experiment’s natural dose-response structure. Because Groups 2 and 3 faced progressively stricter trading constraints, the framework permits a direct test of whether more binding regulatory requirements generate correspondingly larger reductions in trading activity.</w:t>
      </w:r>
    </w:p>
    <w:p w14:paraId="62EAF848" w14:textId="77777777" w:rsidR="00FF72A7" w:rsidRDefault="00FF72A7" w:rsidP="007165B2">
      <w:pPr>
        <w:pStyle w:val="Heading1"/>
        <w:numPr>
          <w:ilvl w:val="1"/>
          <w:numId w:val="4"/>
        </w:numPr>
        <w:spacing w:before="0" w:after="200"/>
        <w:rPr>
          <w:sz w:val="24"/>
          <w:szCs w:val="28"/>
        </w:rPr>
      </w:pPr>
      <w:bookmarkStart w:id="9" w:name="_Toc223041013"/>
      <w:r w:rsidRPr="00FF72A7">
        <w:rPr>
          <w:sz w:val="24"/>
          <w:szCs w:val="28"/>
        </w:rPr>
        <w:t>Baseline Specification</w:t>
      </w:r>
      <w:bookmarkEnd w:id="9"/>
      <w:r w:rsidRPr="00FF72A7">
        <w:rPr>
          <w:sz w:val="24"/>
          <w:szCs w:val="28"/>
        </w:rPr>
        <w:t xml:space="preserve"> </w:t>
      </w:r>
    </w:p>
    <w:p w14:paraId="4442B424" w14:textId="77777777" w:rsidR="00815C6A" w:rsidRDefault="00815C6A" w:rsidP="000426E6">
      <w:pPr>
        <w:spacing w:after="120" w:line="360" w:lineRule="auto"/>
        <w:jc w:val="both"/>
        <w:rPr>
          <w:rFonts w:ascii="Times New Roman" w:eastAsia="Aptos" w:hAnsi="Times New Roman" w:cs="Times New Roman"/>
          <w:sz w:val="22"/>
          <w:szCs w:val="22"/>
          <w:lang w:val="en-US"/>
        </w:rPr>
      </w:pPr>
      <w:r w:rsidRPr="00815C6A">
        <w:rPr>
          <w:rFonts w:ascii="Times New Roman" w:eastAsia="Aptos" w:hAnsi="Times New Roman" w:cs="Times New Roman"/>
          <w:sz w:val="22"/>
          <w:szCs w:val="22"/>
          <w:lang w:val="en-US"/>
        </w:rPr>
        <w:t>The baseline specification for Hypothesis 1 allows for a separate treatment effect in each pilot group:</w:t>
      </w:r>
    </w:p>
    <w:p w14:paraId="6BB85CBC" w14:textId="0A143505" w:rsidR="0048166B" w:rsidRPr="00815C6A" w:rsidRDefault="00E2103E" w:rsidP="000426E6">
      <w:pPr>
        <w:spacing w:after="120" w:line="360" w:lineRule="auto"/>
        <w:jc w:val="both"/>
        <w:rPr>
          <w:rFonts w:ascii="Times New Roman" w:eastAsia="Aptos" w:hAnsi="Times New Roman" w:cs="Times New Roman"/>
          <w:i/>
          <w:sz w:val="22"/>
          <w:szCs w:val="22"/>
          <w:lang w:val="en-US"/>
        </w:rPr>
      </w:pPr>
      <m:oMathPara>
        <m:oMath>
          <m:sSub>
            <m:sSubPr>
              <m:ctrlPr>
                <w:rPr>
                  <w:rFonts w:ascii="Cambria Math" w:eastAsia="Aptos" w:hAnsi="Cambria Math" w:cs="Times New Roman"/>
                  <w:i/>
                  <w:sz w:val="22"/>
                  <w:szCs w:val="22"/>
                  <w:lang w:val="en-US"/>
                </w:rPr>
              </m:ctrlPr>
            </m:sSubPr>
            <m:e>
              <m:r>
                <m:rPr>
                  <m:nor/>
                </m:rPr>
                <w:rPr>
                  <w:rFonts w:ascii="Times New Roman" w:eastAsia="Aptos" w:hAnsi="Times New Roman" w:cs="Times New Roman"/>
                  <w:i/>
                  <w:sz w:val="22"/>
                  <w:szCs w:val="22"/>
                  <w:lang w:val="en-US"/>
                </w:rPr>
                <m:t>Volume</m:t>
              </m:r>
            </m:e>
            <m:sub>
              <m:r>
                <w:rPr>
                  <w:rFonts w:ascii="Cambria Math" w:eastAsia="Aptos" w:hAnsi="Cambria Math" w:cs="Times New Roman"/>
                  <w:sz w:val="22"/>
                  <w:szCs w:val="22"/>
                  <w:lang w:val="en-US"/>
                </w:rPr>
                <m:t>it</m:t>
              </m:r>
            </m:sub>
          </m:sSub>
          <m:r>
            <w:rPr>
              <w:rFonts w:ascii="Cambria Math" w:eastAsia="Aptos" w:hAnsi="Cambria Math" w:cs="Times New Roman"/>
              <w:sz w:val="22"/>
              <w:szCs w:val="22"/>
              <w:lang w:val="en-US"/>
            </w:rPr>
            <m:t>=α+</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1</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1i</m:t>
              </m:r>
            </m:sub>
          </m:sSub>
          <m:r>
            <w:rPr>
              <w:rFonts w:ascii="Cambria Math" w:eastAsia="Aptos" w:hAnsi="Cambria Math" w:cs="Times New Roman"/>
              <w:sz w:val="22"/>
              <w:szCs w:val="22"/>
              <w:lang w:val="en-US"/>
            </w:rPr>
            <m:t>×Pos</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t</m:t>
              </m:r>
            </m:e>
            <m:sub>
              <m:r>
                <w:rPr>
                  <w:rFonts w:ascii="Cambria Math" w:eastAsia="Aptos" w:hAnsi="Cambria Math" w:cs="Times New Roman"/>
                  <w:sz w:val="22"/>
                  <w:szCs w:val="22"/>
                  <w:lang w:val="en-US"/>
                </w:rPr>
                <m:t>t</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2</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2i</m:t>
              </m:r>
            </m:sub>
          </m:sSub>
          <m:r>
            <w:rPr>
              <w:rFonts w:ascii="Cambria Math" w:eastAsia="Aptos" w:hAnsi="Cambria Math" w:cs="Times New Roman"/>
              <w:sz w:val="22"/>
              <w:szCs w:val="22"/>
              <w:lang w:val="en-US"/>
            </w:rPr>
            <m:t>×Pos</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t</m:t>
              </m:r>
            </m:e>
            <m:sub>
              <m:r>
                <w:rPr>
                  <w:rFonts w:ascii="Cambria Math" w:eastAsia="Aptos" w:hAnsi="Cambria Math" w:cs="Times New Roman"/>
                  <w:sz w:val="22"/>
                  <w:szCs w:val="22"/>
                  <w:lang w:val="en-US"/>
                </w:rPr>
                <m:t>t</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3</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3i</m:t>
              </m:r>
            </m:sub>
          </m:sSub>
          <m:r>
            <w:rPr>
              <w:rFonts w:ascii="Cambria Math" w:eastAsia="Aptos" w:hAnsi="Cambria Math" w:cs="Times New Roman"/>
              <w:sz w:val="22"/>
              <w:szCs w:val="22"/>
              <w:lang w:val="en-US"/>
            </w:rPr>
            <m:t>×Pos</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t</m:t>
              </m:r>
            </m:e>
            <m:sub>
              <m:r>
                <w:rPr>
                  <w:rFonts w:ascii="Cambria Math" w:eastAsia="Aptos" w:hAnsi="Cambria Math" w:cs="Times New Roman"/>
                  <w:sz w:val="22"/>
                  <w:szCs w:val="22"/>
                  <w:lang w:val="en-US"/>
                </w:rPr>
                <m:t>t</m:t>
              </m:r>
            </m:sub>
          </m:sSub>
          <m:r>
            <w:rPr>
              <w:rFonts w:ascii="Cambria Math" w:eastAsia="Aptos" w:hAnsi="Cambria Math" w:cs="Times New Roman"/>
              <w:sz w:val="22"/>
              <w:szCs w:val="22"/>
              <w:lang w:val="en-US"/>
            </w:rPr>
            <m:t>)+</m:t>
          </m:r>
          <m:sSup>
            <m:sSupPr>
              <m:ctrlPr>
                <w:rPr>
                  <w:rFonts w:ascii="Cambria Math" w:eastAsia="Aptos" w:hAnsi="Cambria Math" w:cs="Times New Roman"/>
                  <w:i/>
                  <w:sz w:val="22"/>
                  <w:szCs w:val="22"/>
                  <w:lang w:val="en-US"/>
                </w:rPr>
              </m:ctrlPr>
            </m:sSupPr>
            <m:e>
              <m:r>
                <w:rPr>
                  <w:rFonts w:ascii="Cambria Math" w:eastAsia="Aptos" w:hAnsi="Cambria Math" w:cs="Times New Roman"/>
                  <w:sz w:val="22"/>
                  <w:szCs w:val="22"/>
                  <w:lang w:val="en-US"/>
                </w:rPr>
                <m:t>θ</m:t>
              </m:r>
            </m:e>
            <m:sup>
              <m:r>
                <w:rPr>
                  <w:rFonts w:ascii="Cambria Math" w:eastAsia="Aptos" w:hAnsi="Cambria Math" w:cs="Times New Roman"/>
                  <w:sz w:val="22"/>
                  <w:szCs w:val="22"/>
                  <w:lang w:val="en-US"/>
                </w:rPr>
                <m:t>'</m:t>
              </m:r>
            </m:sup>
          </m:sSup>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X</m:t>
              </m:r>
            </m:e>
            <m:sub>
              <m:r>
                <w:rPr>
                  <w:rFonts w:ascii="Cambria Math" w:eastAsia="Aptos" w:hAnsi="Cambria Math" w:cs="Times New Roman"/>
                  <w:sz w:val="22"/>
                  <w:szCs w:val="22"/>
                  <w:lang w:val="en-US"/>
                </w:rPr>
                <m:t>i,t</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γ</m:t>
              </m:r>
            </m:e>
            <m:sub>
              <m:r>
                <w:rPr>
                  <w:rFonts w:ascii="Cambria Math" w:eastAsia="Aptos" w:hAnsi="Cambria Math" w:cs="Times New Roman"/>
                  <w:sz w:val="22"/>
                  <w:szCs w:val="22"/>
                  <w:lang w:val="en-US"/>
                </w:rPr>
                <m:t>i</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δ</m:t>
              </m:r>
            </m:e>
            <m:sub>
              <m:r>
                <w:rPr>
                  <w:rFonts w:ascii="Cambria Math" w:eastAsia="Aptos" w:hAnsi="Cambria Math" w:cs="Times New Roman"/>
                  <w:sz w:val="22"/>
                  <w:szCs w:val="22"/>
                  <w:lang w:val="en-US"/>
                </w:rPr>
                <m:t>t</m:t>
              </m:r>
            </m:sub>
          </m:sSub>
          <m:r>
            <w:rPr>
              <w:rFonts w:ascii="Cambria Math" w:eastAsia="Aptos" w:hAnsi="Cambria Math" w:cs="Times New Roman"/>
              <w:sz w:val="22"/>
              <w:szCs w:val="22"/>
              <w:lang w:val="en-US"/>
            </w:rPr>
            <m:t>+</m:t>
          </m:r>
          <m:sSub>
            <m:sSubPr>
              <m:ctrlPr>
                <w:rPr>
                  <w:rFonts w:ascii="Cambria Math" w:eastAsia="Aptos" w:hAnsi="Cambria Math" w:cs="Times New Roman"/>
                  <w:i/>
                  <w:sz w:val="22"/>
                  <w:szCs w:val="22"/>
                  <w:lang w:val="en-US"/>
                </w:rPr>
              </m:ctrlPr>
            </m:sSubPr>
            <m:e>
              <m:r>
                <w:rPr>
                  <w:rFonts w:ascii="Cambria Math" w:eastAsia="Aptos" w:hAnsi="Cambria Math" w:cs="Times New Roman"/>
                  <w:sz w:val="22"/>
                  <w:szCs w:val="22"/>
                  <w:lang w:val="en-US"/>
                </w:rPr>
                <m:t>ε</m:t>
              </m:r>
            </m:e>
            <m:sub>
              <m:r>
                <w:rPr>
                  <w:rFonts w:ascii="Cambria Math" w:eastAsia="Aptos" w:hAnsi="Cambria Math" w:cs="Times New Roman"/>
                  <w:sz w:val="22"/>
                  <w:szCs w:val="22"/>
                  <w:lang w:val="en-US"/>
                </w:rPr>
                <m:t>it</m:t>
              </m:r>
            </m:sub>
          </m:sSub>
        </m:oMath>
      </m:oMathPara>
    </w:p>
    <w:p w14:paraId="71B4FB7C" w14:textId="36FEE588" w:rsidR="000426E6" w:rsidRPr="000426E6" w:rsidRDefault="000426E6" w:rsidP="000426E6">
      <w:pPr>
        <w:spacing w:after="120" w:line="360" w:lineRule="auto"/>
        <w:jc w:val="both"/>
        <w:rPr>
          <w:rFonts w:ascii="Times New Roman" w:eastAsia="Aptos" w:hAnsi="Times New Roman" w:cs="Times New Roman"/>
          <w:i/>
          <w:sz w:val="2"/>
          <w:szCs w:val="2"/>
          <w:lang w:val="en-US"/>
        </w:rPr>
      </w:pPr>
    </w:p>
    <w:p w14:paraId="649D6E0B" w14:textId="77777777"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where:</w:t>
      </w:r>
    </w:p>
    <w:p w14:paraId="670A4BA3" w14:textId="77DAF844"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m:rPr>
                <m:nor/>
              </m:rPr>
              <w:rPr>
                <w:rFonts w:ascii="Times New Roman" w:eastAsia="Aptos" w:hAnsi="Times New Roman" w:cs="Times New Roman"/>
                <w:sz w:val="22"/>
                <w:szCs w:val="22"/>
                <w:lang w:val="en-US"/>
              </w:rPr>
              <m:t>Volume</m:t>
            </m:r>
          </m:e>
          <m:sub>
            <m:r>
              <w:rPr>
                <w:rFonts w:ascii="Cambria Math" w:eastAsia="Aptos" w:hAnsi="Cambria Math" w:cs="Times New Roman"/>
                <w:sz w:val="22"/>
                <w:szCs w:val="22"/>
                <w:lang w:val="en-US"/>
              </w:rPr>
              <m:t>it</m:t>
            </m:r>
          </m:sub>
        </m:sSub>
      </m:oMath>
      <w:r w:rsidR="002F2328" w:rsidRPr="00815C6A">
        <w:rPr>
          <w:rFonts w:ascii="Times New Roman" w:eastAsia="Aptos" w:hAnsi="Times New Roman" w:cs="Times New Roman"/>
          <w:sz w:val="22"/>
          <w:szCs w:val="22"/>
          <w:lang w:val="en-US"/>
        </w:rPr>
        <w:t xml:space="preserve"> </w:t>
      </w:r>
      <w:r w:rsidRPr="000426E6">
        <w:rPr>
          <w:rFonts w:ascii="Times New Roman" w:eastAsia="Aptos" w:hAnsi="Times New Roman" w:cs="Times New Roman"/>
          <w:sz w:val="22"/>
          <w:szCs w:val="22"/>
          <w:lang w:val="en-US"/>
        </w:rPr>
        <w:t xml:space="preserve">is the natural logarithm of daily trading volume for stock </w:t>
      </w:r>
      <m:oMath>
        <m:r>
          <w:rPr>
            <w:rFonts w:ascii="Cambria Math" w:eastAsia="Aptos" w:hAnsi="Cambria Math" w:cs="Times New Roman"/>
            <w:sz w:val="22"/>
            <w:szCs w:val="22"/>
            <w:lang w:val="en-US"/>
          </w:rPr>
          <m:t>i</m:t>
        </m:r>
      </m:oMath>
      <w:r w:rsidR="00EF161E" w:rsidRPr="00815C6A">
        <w:rPr>
          <w:rFonts w:ascii="Times New Roman" w:eastAsia="Aptos" w:hAnsi="Times New Roman" w:cs="Times New Roman"/>
          <w:sz w:val="22"/>
          <w:szCs w:val="22"/>
          <w:lang w:val="en-US"/>
        </w:rPr>
        <w:t xml:space="preserve"> o</w:t>
      </w:r>
      <w:r w:rsidRPr="000426E6">
        <w:rPr>
          <w:rFonts w:ascii="Times New Roman" w:eastAsia="Aptos" w:hAnsi="Times New Roman" w:cs="Times New Roman"/>
          <w:sz w:val="22"/>
          <w:szCs w:val="22"/>
          <w:lang w:val="en-US"/>
        </w:rPr>
        <w:t xml:space="preserve">n day </w:t>
      </w:r>
      <m:oMath>
        <m:r>
          <w:rPr>
            <w:rFonts w:ascii="Cambria Math" w:eastAsia="Aptos" w:hAnsi="Cambria Math" w:cs="Times New Roman"/>
            <w:sz w:val="22"/>
            <w:szCs w:val="22"/>
            <w:lang w:val="en-US"/>
          </w:rPr>
          <m:t>t</m:t>
        </m:r>
      </m:oMath>
      <w:r w:rsidRPr="000426E6">
        <w:rPr>
          <w:rFonts w:ascii="Times New Roman" w:eastAsia="Aptos" w:hAnsi="Times New Roman" w:cs="Times New Roman"/>
          <w:sz w:val="22"/>
          <w:szCs w:val="22"/>
          <w:lang w:val="en-US"/>
        </w:rPr>
        <w:t>, measured alternatively as share volume, dollar volume, or share turnover.</w:t>
      </w:r>
    </w:p>
    <w:p w14:paraId="7A5D41CB" w14:textId="26734217"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1i</m:t>
            </m:r>
          </m:sub>
        </m:sSub>
      </m:oMath>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2i</m:t>
            </m:r>
          </m:sub>
        </m:sSub>
      </m:oMath>
      <w:r w:rsidRPr="000426E6">
        <w:rPr>
          <w:rFonts w:ascii="Times New Roman" w:eastAsia="Aptos" w:hAnsi="Times New Roman" w:cs="Times New Roman"/>
          <w:sz w:val="22"/>
          <w:szCs w:val="22"/>
          <w:lang w:val="en-US"/>
        </w:rPr>
        <w:t xml:space="preserve">, and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G</m:t>
            </m:r>
          </m:e>
          <m:sub>
            <m:r>
              <w:rPr>
                <w:rFonts w:ascii="Cambria Math" w:eastAsia="Aptos" w:hAnsi="Cambria Math" w:cs="Times New Roman"/>
                <w:sz w:val="22"/>
                <w:szCs w:val="22"/>
                <w:lang w:val="en-US"/>
              </w:rPr>
              <m:t>3i</m:t>
            </m:r>
          </m:sub>
        </m:sSub>
      </m:oMath>
      <w:r w:rsidR="002F2328" w:rsidRPr="00815C6A">
        <w:rPr>
          <w:rFonts w:ascii="Times New Roman" w:eastAsia="Aptos" w:hAnsi="Times New Roman" w:cs="Times New Roman"/>
          <w:sz w:val="22"/>
          <w:szCs w:val="22"/>
          <w:lang w:val="en-US"/>
        </w:rPr>
        <w:t xml:space="preserve"> </w:t>
      </w:r>
      <w:r w:rsidRPr="000426E6">
        <w:rPr>
          <w:rFonts w:ascii="Times New Roman" w:eastAsia="Aptos" w:hAnsi="Times New Roman" w:cs="Times New Roman"/>
          <w:sz w:val="22"/>
          <w:szCs w:val="22"/>
          <w:lang w:val="en-US"/>
        </w:rPr>
        <w:t xml:space="preserve">are indicator variables equal to one if stock </w:t>
      </w:r>
      <m:oMath>
        <m:r>
          <w:rPr>
            <w:rFonts w:ascii="Cambria Math" w:eastAsia="Aptos" w:hAnsi="Cambria Math" w:cs="Times New Roman"/>
            <w:sz w:val="22"/>
            <w:szCs w:val="22"/>
            <w:lang w:val="en-US"/>
          </w:rPr>
          <m:t>i</m:t>
        </m:r>
      </m:oMath>
      <w:r w:rsidRPr="000426E6">
        <w:rPr>
          <w:rFonts w:ascii="Times New Roman" w:eastAsia="Aptos" w:hAnsi="Times New Roman" w:cs="Times New Roman"/>
          <w:sz w:val="22"/>
          <w:szCs w:val="22"/>
          <w:lang w:val="en-US"/>
        </w:rPr>
        <w:t>belongs to pilot groups 1, 2, or 3, respectively, and zero otherwise.</w:t>
      </w:r>
    </w:p>
    <w:p w14:paraId="5339F033" w14:textId="77777777"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Postₜ is an indicator equal to one during the pilot implementation period, defined as October 17, 2016 to September 28, 2018 for Groups 1 and 2, and October 31, 2016 to September 28, 2018 for Group 3. A complementary post-pilot indicator, PostPilotₜ, equals one for observations after September 28, 2018 through April 30, 2019, following the termination of the SEC pilot. The empirical specification thus accommodates three distinct periods: a pre-pilot baseline, a treatment window during which the $0.05 minimum tick was in force, and a post-pilot window that permits assessment of whether volume effects persisted after the regulatory change was reversed. The regression accordingly includes six interaction terms: G1 × Treatmentₜ, G2 × Treatmentₜ, G3 × Treatmentₜ, G1 × PostPilotₜ, G2 × PostPilotₜ, and G3 × PostPilotₜ.</w:t>
      </w:r>
      <m:oMath>
        <m:r>
          <w:rPr>
            <w:rFonts w:ascii="Cambria Math" w:eastAsia="Aptos" w:hAnsi="Cambria Math" w:cs="Times New Roman"/>
            <w:sz w:val="22"/>
            <w:szCs w:val="22"/>
            <w:lang w:val="en-US"/>
          </w:rPr>
          <m:t>Pos</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t</m:t>
            </m:r>
          </m:e>
          <m:sub>
            <m:r>
              <w:rPr>
                <w:rFonts w:ascii="Cambria Math" w:eastAsia="Aptos" w:hAnsi="Cambria Math" w:cs="Times New Roman"/>
                <w:sz w:val="22"/>
                <w:szCs w:val="22"/>
                <w:lang w:val="en-US"/>
              </w:rPr>
              <m:t>t</m:t>
            </m:r>
          </m:sub>
        </m:sSub>
      </m:oMath>
      <w:r w:rsidR="001657EC" w:rsidRPr="00815C6A">
        <w:rPr>
          <w:rFonts w:ascii="Times New Roman" w:eastAsia="Aptos" w:hAnsi="Times New Roman" w:cs="Times New Roman"/>
          <w:sz w:val="22"/>
          <w:szCs w:val="22"/>
          <w:lang w:val="en-US"/>
        </w:rPr>
      </w:r>
      <w:r w:rsidRPr="000426E6">
        <w:rPr>
          <w:rFonts w:ascii="Times New Roman" w:eastAsia="Aptos" w:hAnsi="Times New Roman" w:cs="Times New Roman"/>
          <w:sz w:val="22"/>
          <w:szCs w:val="22"/>
          <w:lang w:val="en-US"/>
        </w:rPr>
      </w:r>
    </w:p>
    <w:p w14:paraId="2AD43EFC" w14:textId="77777777"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γ</m:t>
            </m:r>
          </m:e>
          <m:sub>
            <m:r>
              <w:rPr>
                <w:rFonts w:ascii="Cambria Math" w:eastAsia="Aptos" w:hAnsi="Cambria Math" w:cs="Times New Roman"/>
                <w:sz w:val="22"/>
                <w:szCs w:val="22"/>
                <w:lang w:val="en-US"/>
              </w:rPr>
              <m:t>i</m:t>
            </m:r>
          </m:sub>
        </m:sSub>
      </m:oMath>
      <w:r w:rsidR="001657EC" w:rsidRPr="00815C6A">
        <w:rPr>
          <w:rFonts w:ascii="Times New Roman" w:eastAsia="Aptos" w:hAnsi="Times New Roman" w:cs="Times New Roman"/>
          <w:sz w:val="22"/>
          <w:szCs w:val="22"/>
          <w:lang w:val="en-US"/>
        </w:rPr>
        <w:t xml:space="preserve"> </w:t>
      </w:r>
      <w:r w:rsidRPr="000426E6">
        <w:rPr>
          <w:rFonts w:ascii="Times New Roman" w:eastAsia="Aptos" w:hAnsi="Times New Roman" w:cs="Times New Roman"/>
          <w:sz w:val="22"/>
          <w:szCs w:val="22"/>
          <w:lang w:val="en-US"/>
        </w:rPr>
        <w:t>denotes firm fixed effects, absorbing all time-invariant differences across stocks.</w:t>
      </w:r>
    </w:p>
    <w:p w14:paraId="13F8217C" w14:textId="77777777" w:rsidR="0048166B" w:rsidRPr="00815C6A"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δ</m:t>
            </m:r>
          </m:e>
          <m:sub>
            <m:r>
              <w:rPr>
                <w:rFonts w:ascii="Cambria Math" w:eastAsia="Aptos" w:hAnsi="Cambria Math" w:cs="Times New Roman"/>
                <w:sz w:val="22"/>
                <w:szCs w:val="22"/>
                <w:lang w:val="en-US"/>
              </w:rPr>
              <m:t>t</m:t>
            </m:r>
          </m:sub>
        </m:sSub>
      </m:oMath>
      <w:r w:rsidR="001657EC" w:rsidRPr="00815C6A">
        <w:rPr>
          <w:rFonts w:ascii="Times New Roman" w:eastAsia="Aptos" w:hAnsi="Times New Roman" w:cs="Times New Roman"/>
          <w:sz w:val="22"/>
          <w:szCs w:val="22"/>
          <w:lang w:val="en-US"/>
        </w:rPr>
        <w:t xml:space="preserve"> </w:t>
      </w:r>
      <w:r w:rsidRPr="000426E6">
        <w:rPr>
          <w:rFonts w:ascii="Times New Roman" w:eastAsia="Aptos" w:hAnsi="Times New Roman" w:cs="Times New Roman"/>
          <w:sz w:val="22"/>
          <w:szCs w:val="22"/>
          <w:lang w:val="en-US"/>
        </w:rPr>
        <w:t>denotes time fixed effects, absorbing market-wide shocks common to all stocks on any given trading day.</w:t>
      </w:r>
    </w:p>
    <w:p w14:paraId="4720A8C0" w14:textId="2B8121BD" w:rsidR="000426E6" w:rsidRPr="000426E6" w:rsidRDefault="000426E6" w:rsidP="00EF161E">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X</m:t>
            </m:r>
          </m:e>
          <m:sub>
            <m:r>
              <w:rPr>
                <w:rFonts w:ascii="Cambria Math" w:eastAsia="Aptos" w:hAnsi="Cambria Math" w:cs="Times New Roman"/>
                <w:sz w:val="22"/>
                <w:szCs w:val="22"/>
                <w:lang w:val="en-US"/>
              </w:rPr>
              <m:t>i,t</m:t>
            </m:r>
          </m:sub>
        </m:sSub>
      </m:oMath>
      <w:r w:rsidR="001657EC" w:rsidRPr="00815C6A">
        <w:rPr>
          <w:rFonts w:ascii="Times New Roman" w:eastAsia="Aptos" w:hAnsi="Times New Roman" w:cs="Times New Roman"/>
          <w:sz w:val="22"/>
          <w:szCs w:val="22"/>
          <w:lang w:val="en-US"/>
        </w:rPr>
        <w:t xml:space="preserve"> </w:t>
      </w:r>
      <w:r w:rsidRPr="000426E6">
        <w:rPr>
          <w:rFonts w:ascii="Times New Roman" w:eastAsia="Aptos" w:hAnsi="Times New Roman" w:cs="Times New Roman"/>
          <w:sz w:val="22"/>
          <w:szCs w:val="22"/>
          <w:lang w:val="en-US"/>
        </w:rPr>
        <w:t>is a vector of time-varying control variables: the inverse of the midpoint price (Inv_Price), as defined in Section 2.5.</w:t>
      </w:r>
    </w:p>
    <w:p w14:paraId="4AF6AC62" w14:textId="77EC7EB9" w:rsidR="000426E6" w:rsidRPr="000426E6" w:rsidRDefault="000426E6" w:rsidP="000426E6">
      <w:pPr>
        <w:spacing w:after="120" w:line="360" w:lineRule="auto"/>
        <w:jc w:val="both"/>
        <w:rPr>
          <w:rFonts w:ascii="Times New Roman" w:eastAsia="Aptos" w:hAnsi="Times New Roman" w:cs="Times New Roman"/>
          <w:sz w:val="22"/>
          <w:szCs w:val="22"/>
          <w:lang w:val="en-US"/>
        </w:rPr>
      </w:pPr>
      <w:r w:rsidRPr="000426E6">
        <w:rPr>
          <w:rFonts w:ascii="Times New Roman" w:eastAsia="Aptos" w:hAnsi="Times New Roman" w:cs="Times New Roman"/>
          <w:sz w:val="22"/>
          <w:szCs w:val="22"/>
          <w:lang w:val="en-US"/>
        </w:rPr>
        <w:t xml:space="preserve">Standard errors are clustered at the firm level to account for serial correlation in residuals within stocks over time. The coefficients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1</m:t>
            </m:r>
          </m:sub>
        </m:sSub>
      </m:oMath>
      <w:r w:rsidRPr="000426E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2</m:t>
            </m:r>
          </m:sub>
        </m:sSub>
      </m:oMath>
      <w:r w:rsidRPr="000426E6">
        <w:rPr>
          <w:rFonts w:ascii="Times New Roman" w:eastAsia="Aptos" w:hAnsi="Times New Roman" w:cs="Times New Roman"/>
          <w:sz w:val="22"/>
          <w:szCs w:val="22"/>
          <w:lang w:val="en-US"/>
        </w:rPr>
        <w:t xml:space="preserve">, and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3</m:t>
            </m:r>
          </m:sub>
        </m:sSub>
      </m:oMath>
      <w:r w:rsidRPr="000426E6">
        <w:rPr>
          <w:rFonts w:ascii="Times New Roman" w:eastAsia="Aptos" w:hAnsi="Times New Roman" w:cs="Times New Roman"/>
          <w:sz w:val="22"/>
          <w:szCs w:val="22"/>
          <w:lang w:val="en-US"/>
        </w:rPr>
        <w:t xml:space="preserve">capture the average volume change for each pilot group relative to the control group. Under H1, we predict </w:t>
      </w:r>
      <m:oMath>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1</m:t>
            </m:r>
          </m:sub>
        </m:sSub>
        <m:r>
          <w:rPr>
            <w:rFonts w:ascii="Cambria Math" w:eastAsia="Aptos" w:hAnsi="Cambria Math" w:cs="Times New Roman"/>
            <w:sz w:val="22"/>
            <w:szCs w:val="22"/>
            <w:lang w:val="en-US"/>
          </w:rPr>
          <m:t>,</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2</m:t>
            </m:r>
          </m:sub>
        </m:sSub>
        <m:r>
          <w:rPr>
            <w:rFonts w:ascii="Cambria Math" w:eastAsia="Aptos" w:hAnsi="Cambria Math" w:cs="Times New Roman"/>
            <w:sz w:val="22"/>
            <w:szCs w:val="22"/>
            <w:lang w:val="en-US"/>
          </w:rPr>
          <m:t>,</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3</m:t>
            </m:r>
          </m:sub>
        </m:sSub>
        <m:r>
          <w:rPr>
            <w:rFonts w:ascii="Cambria Math" w:eastAsia="Aptos" w:hAnsi="Cambria Math" w:cs="Times New Roman"/>
            <w:sz w:val="22"/>
            <w:szCs w:val="22"/>
            <w:lang w:val="en-US"/>
          </w:rPr>
          <m:t>&lt;0</m:t>
        </m:r>
      </m:oMath>
      <w:r w:rsidRPr="000426E6">
        <w:rPr>
          <w:rFonts w:ascii="Times New Roman" w:eastAsia="Aptos" w:hAnsi="Times New Roman" w:cs="Times New Roman"/>
          <w:sz w:val="22"/>
          <w:szCs w:val="22"/>
          <w:lang w:val="en-US"/>
        </w:rPr>
        <w:t xml:space="preserve">and </w:t>
      </w:r>
      <m:oMath>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3</m:t>
            </m:r>
          </m:sub>
        </m:sSub>
        <m:r>
          <m:rPr>
            <m:sty m:val="p"/>
          </m:rPr>
          <w:rPr>
            <w:rFonts w:ascii="Cambria Math" w:eastAsia="Aptos" w:hAnsi="Cambria Math" w:cs="Times New Roman"/>
            <w:sz w:val="22"/>
            <w:szCs w:val="22"/>
            <w:lang w:val="en-US"/>
          </w:rPr>
          <m:t>∣</m:t>
        </m:r>
        <m:r>
          <w:rPr>
            <w:rFonts w:ascii="Cambria Math" w:eastAsia="Aptos" w:hAnsi="Cambria Math" w:cs="Times New Roman"/>
            <w:sz w:val="22"/>
            <w:szCs w:val="22"/>
            <w:lang w:val="en-US"/>
          </w:rPr>
          <m:t>≥</m:t>
        </m:r>
        <m:r>
          <m:rPr>
            <m:sty m:val="p"/>
          </m:rPr>
          <w:rPr>
            <w:rFonts w:ascii="Cambria Math" w:eastAsia="Aptos" w:hAnsi="Cambria Math" w:cs="Times New Roman"/>
            <w:sz w:val="22"/>
            <w:szCs w:val="22"/>
            <w:lang w:val="en-US"/>
          </w:rPr>
          <m:t>max</m:t>
        </m:r>
        <m:r>
          <w:rPr>
            <w:rFonts w:ascii="Cambria Math" w:eastAsia="Aptos" w:hAnsi="Cambria Math" w:cs="Times New Roman"/>
            <w:sz w:val="22"/>
            <w:szCs w:val="22"/>
            <w:lang w:val="en-US"/>
          </w:rPr>
          <m:t>⁡(</m:t>
        </m:r>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1</m:t>
            </m:r>
          </m:sub>
        </m:sSub>
        <m:r>
          <m:rPr>
            <m:sty m:val="p"/>
          </m:rPr>
          <w:rPr>
            <w:rFonts w:ascii="Cambria Math" w:eastAsia="Aptos" w:hAnsi="Cambria Math" w:cs="Times New Roman"/>
            <w:sz w:val="22"/>
            <w:szCs w:val="22"/>
            <w:lang w:val="en-US"/>
          </w:rPr>
          <m:t>∣</m:t>
        </m:r>
        <m:r>
          <w:rPr>
            <w:rFonts w:ascii="Cambria Math" w:eastAsia="Aptos" w:hAnsi="Cambria Math" w:cs="Times New Roman"/>
            <w:sz w:val="22"/>
            <w:szCs w:val="22"/>
            <w:lang w:val="en-US"/>
          </w:rPr>
          <m:t>,</m:t>
        </m:r>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lang w:val="en-US"/>
              </w:rPr>
            </m:ctrlPr>
          </m:sSubPr>
          <m:e>
            <m:r>
              <w:rPr>
                <w:rFonts w:ascii="Cambria Math" w:eastAsia="Aptos" w:hAnsi="Cambria Math" w:cs="Times New Roman"/>
                <w:sz w:val="22"/>
                <w:szCs w:val="22"/>
                <w:lang w:val="en-US"/>
              </w:rPr>
              <m:t>β</m:t>
            </m:r>
          </m:e>
          <m:sub>
            <m:r>
              <w:rPr>
                <w:rFonts w:ascii="Cambria Math" w:eastAsia="Aptos" w:hAnsi="Cambria Math" w:cs="Times New Roman"/>
                <w:sz w:val="22"/>
                <w:szCs w:val="22"/>
                <w:lang w:val="en-US"/>
              </w:rPr>
              <m:t>2</m:t>
            </m:r>
          </m:sub>
        </m:sSub>
        <m:r>
          <m:rPr>
            <m:sty m:val="p"/>
          </m:rPr>
          <w:rPr>
            <w:rFonts w:ascii="Cambria Math" w:eastAsia="Aptos" w:hAnsi="Cambria Math" w:cs="Times New Roman"/>
            <w:sz w:val="22"/>
            <w:szCs w:val="22"/>
            <w:lang w:val="en-US"/>
          </w:rPr>
          <m:t>∣</m:t>
        </m:r>
        <m:r>
          <w:rPr>
            <w:rFonts w:ascii="Cambria Math" w:eastAsia="Aptos" w:hAnsi="Cambria Math" w:cs="Times New Roman"/>
            <w:sz w:val="22"/>
            <w:szCs w:val="22"/>
            <w:lang w:val="en-US"/>
          </w:rPr>
          <m:t>)</m:t>
        </m:r>
      </m:oMath>
      <w:r w:rsidRPr="000426E6">
        <w:rPr>
          <w:rFonts w:ascii="Times New Roman" w:eastAsia="Aptos" w:hAnsi="Times New Roman" w:cs="Times New Roman"/>
          <w:sz w:val="22"/>
          <w:szCs w:val="22"/>
          <w:lang w:val="en-US"/>
        </w:rPr>
        <w:t>.</w:t>
      </w:r>
    </w:p>
    <w:p w14:paraId="56A3BE01" w14:textId="7440153F" w:rsidR="00AE19AB" w:rsidRPr="000507B8" w:rsidRDefault="0723B107" w:rsidP="5E041609">
      <w:pPr>
        <w:spacing w:after="120" w:line="360" w:lineRule="auto"/>
        <w:jc w:val="both"/>
      </w:pPr>
      <w:r w:rsidRPr="5E041609">
        <w:rPr>
          <w:b/>
          <w:bCs/>
        </w:rPr>
        <w:t>Extended Specification</w:t>
      </w:r>
    </w:p>
    <w:p w14:paraId="2EA75363" w14:textId="4265C5C7" w:rsidR="00295C95" w:rsidRPr="00295C95" w:rsidRDefault="00295C95" w:rsidP="00295C95">
      <w:pPr>
        <w:spacing w:after="120" w:line="360" w:lineRule="auto"/>
        <w:jc w:val="both"/>
        <w:rPr>
          <w:rFonts w:ascii="Times New Roman" w:hAnsi="Times New Roman" w:cs="Times New Roman"/>
          <w:sz w:val="22"/>
          <w:szCs w:val="22"/>
          <w:lang w:val="en-US"/>
        </w:rPr>
      </w:pPr>
      <w:r w:rsidRPr="00295C95">
        <w:rPr>
          <w:rFonts w:ascii="Times New Roman" w:hAnsi="Times New Roman" w:cs="Times New Roman"/>
          <w:sz w:val="22"/>
          <w:szCs w:val="22"/>
          <w:lang w:val="en-US"/>
        </w:rPr>
        <w:t>To test Hypothesis 2, the baseline specification is augmented with a triple interaction term:</w:t>
      </w:r>
    </w:p>
    <w:p w14:paraId="49441B87" w14:textId="77777777" w:rsidR="0048166B" w:rsidRDefault="00E2103E" w:rsidP="00295C95">
      <w:pPr>
        <w:spacing w:after="120" w:line="360" w:lineRule="auto"/>
        <w:jc w:val="both"/>
        <w:rPr>
          <w:rFonts w:ascii="Times New Roman" w:hAnsi="Times New Roman" w:cs="Times New Roman"/>
          <w:sz w:val="21"/>
          <w:szCs w:val="21"/>
          <w:lang w:val="en-US"/>
        </w:rPr>
      </w:pPr>
      <m:oMathPara>
        <m:oMath>
          <m:sSub>
            <m:sSubPr>
              <m:ctrlPr>
                <w:rPr>
                  <w:rFonts w:ascii="Cambria Math" w:hAnsi="Cambria Math" w:cs="Times New Roman"/>
                  <w:sz w:val="21"/>
                  <w:szCs w:val="21"/>
                  <w:lang w:val="en-US"/>
                </w:rPr>
              </m:ctrlPr>
            </m:sSubPr>
            <m:e>
              <m:r>
                <m:rPr>
                  <m:nor/>
                </m:rPr>
                <w:rPr>
                  <w:rFonts w:ascii="Times New Roman" w:hAnsi="Times New Roman" w:cs="Times New Roman"/>
                  <w:sz w:val="21"/>
                  <w:szCs w:val="21"/>
                  <w:lang w:val="en-US"/>
                </w:rPr>
                <m:t>Volume</m:t>
              </m:r>
            </m:e>
            <m:sub>
              <m:r>
                <w:rPr>
                  <w:rFonts w:ascii="Cambria Math" w:hAnsi="Cambria Math" w:cs="Times New Roman"/>
                  <w:sz w:val="21"/>
                  <w:szCs w:val="21"/>
                  <w:lang w:val="en-US"/>
                </w:rPr>
                <m:t>it</m:t>
              </m:r>
            </m:sub>
          </m:sSub>
          <m:r>
            <w:rPr>
              <w:rFonts w:ascii="Cambria Math" w:hAnsi="Cambria Math" w:cs="Times New Roman"/>
              <w:sz w:val="21"/>
              <w:szCs w:val="21"/>
              <w:lang w:val="en-US"/>
            </w:rPr>
            <m:t>=α+</m:t>
          </m:r>
          <m:nary>
            <m:naryPr>
              <m:chr m:val="∑"/>
              <m:limLoc m:val="undOvr"/>
              <m:grow m:val="1"/>
              <m:ctrlPr>
                <w:rPr>
                  <w:rFonts w:ascii="Cambria Math" w:hAnsi="Cambria Math" w:cs="Times New Roman"/>
                  <w:sz w:val="21"/>
                  <w:szCs w:val="21"/>
                  <w:lang w:val="en-US"/>
                </w:rPr>
              </m:ctrlPr>
            </m:naryPr>
            <m:sub>
              <m:r>
                <w:rPr>
                  <w:rFonts w:ascii="Cambria Math" w:hAnsi="Cambria Math" w:cs="Times New Roman"/>
                  <w:sz w:val="21"/>
                  <w:szCs w:val="21"/>
                  <w:lang w:val="en-US"/>
                </w:rPr>
                <m:t>k=1</m:t>
              </m:r>
            </m:sub>
            <m:sup>
              <m:r>
                <w:rPr>
                  <w:rFonts w:ascii="Cambria Math" w:hAnsi="Cambria Math" w:cs="Times New Roman"/>
                  <w:sz w:val="21"/>
                  <w:szCs w:val="21"/>
                  <w:lang w:val="en-US"/>
                </w:rPr>
                <m:t>3</m:t>
              </m:r>
            </m:sup>
            <m:e>
              <m:sSub>
                <m:sSubPr>
                  <m:ctrlPr>
                    <w:rPr>
                      <w:rFonts w:ascii="Cambria Math" w:hAnsi="Cambria Math" w:cs="Times New Roman"/>
                      <w:sz w:val="21"/>
                      <w:szCs w:val="21"/>
                      <w:lang w:val="en-US"/>
                    </w:rPr>
                  </m:ctrlPr>
                </m:sSubPr>
                <m:e>
                  <m:r>
                    <w:rPr>
                      <w:rFonts w:ascii="Cambria Math" w:hAnsi="Cambria Math" w:cs="Times New Roman"/>
                      <w:sz w:val="21"/>
                      <w:szCs w:val="21"/>
                      <w:lang w:val="en-US"/>
                    </w:rPr>
                    <m:t>β</m:t>
                  </m:r>
                </m:e>
                <m:sub>
                  <m:r>
                    <w:rPr>
                      <w:rFonts w:ascii="Cambria Math" w:hAnsi="Cambria Math" w:cs="Times New Roman"/>
                      <w:sz w:val="21"/>
                      <w:szCs w:val="21"/>
                      <w:lang w:val="en-US"/>
                    </w:rPr>
                    <m:t>k</m:t>
                  </m:r>
                </m:sub>
              </m:sSub>
            </m:e>
          </m:nary>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G</m:t>
              </m:r>
            </m:e>
            <m:sub>
              <m:r>
                <w:rPr>
                  <w:rFonts w:ascii="Cambria Math" w:hAnsi="Cambria Math" w:cs="Times New Roman"/>
                  <w:sz w:val="21"/>
                  <w:szCs w:val="21"/>
                  <w:lang w:val="en-US"/>
                </w:rPr>
                <m:t>ki</m:t>
              </m:r>
            </m:sub>
          </m:sSub>
          <m:r>
            <w:rPr>
              <w:rFonts w:ascii="Cambria Math" w:hAnsi="Cambria Math" w:cs="Times New Roman"/>
              <w:sz w:val="21"/>
              <w:szCs w:val="21"/>
              <w:lang w:val="en-US"/>
            </w:rPr>
            <m:t>×Pos</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t</m:t>
              </m:r>
            </m:e>
            <m:sub>
              <m:r>
                <w:rPr>
                  <w:rFonts w:ascii="Cambria Math" w:hAnsi="Cambria Math" w:cs="Times New Roman"/>
                  <w:sz w:val="21"/>
                  <w:szCs w:val="21"/>
                  <w:lang w:val="en-US"/>
                </w:rPr>
                <m:t>t</m:t>
              </m:r>
            </m:sub>
          </m:sSub>
          <m:r>
            <w:rPr>
              <w:rFonts w:ascii="Cambria Math" w:hAnsi="Cambria Math" w:cs="Times New Roman"/>
              <w:sz w:val="21"/>
              <w:szCs w:val="21"/>
              <w:lang w:val="en-US"/>
            </w:rPr>
            <m:t>)+</m:t>
          </m:r>
          <m:nary>
            <m:naryPr>
              <m:chr m:val="∑"/>
              <m:limLoc m:val="undOvr"/>
              <m:grow m:val="1"/>
              <m:ctrlPr>
                <w:rPr>
                  <w:rFonts w:ascii="Cambria Math" w:hAnsi="Cambria Math" w:cs="Times New Roman"/>
                  <w:sz w:val="21"/>
                  <w:szCs w:val="21"/>
                  <w:lang w:val="en-US"/>
                </w:rPr>
              </m:ctrlPr>
            </m:naryPr>
            <m:sub>
              <m:r>
                <w:rPr>
                  <w:rFonts w:ascii="Cambria Math" w:hAnsi="Cambria Math" w:cs="Times New Roman"/>
                  <w:sz w:val="21"/>
                  <w:szCs w:val="21"/>
                  <w:lang w:val="en-US"/>
                </w:rPr>
                <m:t>k=1</m:t>
              </m:r>
            </m:sub>
            <m:sup>
              <m:r>
                <w:rPr>
                  <w:rFonts w:ascii="Cambria Math" w:hAnsi="Cambria Math" w:cs="Times New Roman"/>
                  <w:sz w:val="21"/>
                  <w:szCs w:val="21"/>
                  <w:lang w:val="en-US"/>
                </w:rPr>
                <m:t>3</m:t>
              </m:r>
            </m:sup>
            <m:e>
              <m:sSub>
                <m:sSubPr>
                  <m:ctrlPr>
                    <w:rPr>
                      <w:rFonts w:ascii="Cambria Math" w:hAnsi="Cambria Math" w:cs="Times New Roman"/>
                      <w:sz w:val="21"/>
                      <w:szCs w:val="21"/>
                      <w:lang w:val="en-US"/>
                    </w:rPr>
                  </m:ctrlPr>
                </m:sSubPr>
                <m:e>
                  <m:r>
                    <w:rPr>
                      <w:rFonts w:ascii="Cambria Math" w:hAnsi="Cambria Math" w:cs="Times New Roman"/>
                      <w:sz w:val="21"/>
                      <w:szCs w:val="21"/>
                      <w:lang w:val="en-US"/>
                    </w:rPr>
                    <m:t>γ</m:t>
                  </m:r>
                </m:e>
                <m:sub>
                  <m:r>
                    <w:rPr>
                      <w:rFonts w:ascii="Cambria Math" w:hAnsi="Cambria Math" w:cs="Times New Roman"/>
                      <w:sz w:val="21"/>
                      <w:szCs w:val="21"/>
                      <w:lang w:val="en-US"/>
                    </w:rPr>
                    <m:t>k</m:t>
                  </m:r>
                </m:sub>
              </m:sSub>
            </m:e>
          </m:nary>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G</m:t>
              </m:r>
            </m:e>
            <m:sub>
              <m:r>
                <w:rPr>
                  <w:rFonts w:ascii="Cambria Math" w:hAnsi="Cambria Math" w:cs="Times New Roman"/>
                  <w:sz w:val="21"/>
                  <w:szCs w:val="21"/>
                  <w:lang w:val="en-US"/>
                </w:rPr>
                <m:t>ki</m:t>
              </m:r>
            </m:sub>
          </m:sSub>
          <m:r>
            <w:rPr>
              <w:rFonts w:ascii="Cambria Math" w:hAnsi="Cambria Math" w:cs="Times New Roman"/>
              <w:sz w:val="21"/>
              <w:szCs w:val="21"/>
              <w:lang w:val="en-US"/>
            </w:rPr>
            <m:t>×Pos</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t</m:t>
              </m:r>
            </m:e>
            <m:sub>
              <m:r>
                <w:rPr>
                  <w:rFonts w:ascii="Cambria Math" w:hAnsi="Cambria Math" w:cs="Times New Roman"/>
                  <w:sz w:val="21"/>
                  <w:szCs w:val="21"/>
                  <w:lang w:val="en-US"/>
                </w:rPr>
                <m:t>t</m:t>
              </m:r>
            </m:sub>
          </m:sSub>
          <m:r>
            <w:rPr>
              <w:rFonts w:ascii="Cambria Math" w:hAnsi="Cambria Math" w:cs="Times New Roman"/>
              <w:sz w:val="21"/>
              <w:szCs w:val="21"/>
              <w:lang w:val="en-US"/>
            </w:rPr>
            <m:t>×SmallSprea</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d</m:t>
              </m:r>
            </m:e>
            <m:sub>
              <m:r>
                <w:rPr>
                  <w:rFonts w:ascii="Cambria Math" w:hAnsi="Cambria Math" w:cs="Times New Roman"/>
                  <w:sz w:val="21"/>
                  <w:szCs w:val="21"/>
                  <w:lang w:val="en-US"/>
                </w:rPr>
                <m:t>i</m:t>
              </m:r>
            </m:sub>
          </m:sSub>
          <m:r>
            <w:rPr>
              <w:rFonts w:ascii="Cambria Math" w:hAnsi="Cambria Math" w:cs="Times New Roman"/>
              <w:sz w:val="21"/>
              <w:szCs w:val="21"/>
              <w:lang w:val="en-US"/>
            </w:rPr>
            <m:t>)+</m:t>
          </m:r>
          <m:sSup>
            <m:sSupPr>
              <m:ctrlPr>
                <w:rPr>
                  <w:rFonts w:ascii="Cambria Math" w:hAnsi="Cambria Math" w:cs="Times New Roman"/>
                  <w:sz w:val="21"/>
                  <w:szCs w:val="21"/>
                  <w:lang w:val="en-US"/>
                </w:rPr>
              </m:ctrlPr>
            </m:sSupPr>
            <m:e>
              <m:r>
                <w:rPr>
                  <w:rFonts w:ascii="Cambria Math" w:hAnsi="Cambria Math" w:cs="Times New Roman"/>
                  <w:sz w:val="21"/>
                  <w:szCs w:val="21"/>
                  <w:lang w:val="en-US"/>
                </w:rPr>
                <m:t>θ</m:t>
              </m:r>
            </m:e>
            <m:sup>
              <m:r>
                <m:rPr>
                  <m:sty m:val="p"/>
                </m:rPr>
                <w:rPr>
                  <w:rFonts w:ascii="Cambria Math" w:hAnsi="Cambria Math" w:cs="Times New Roman"/>
                  <w:sz w:val="21"/>
                  <w:szCs w:val="21"/>
                  <w:lang w:val="en-US"/>
                </w:rPr>
                <m:t>'</m:t>
              </m:r>
            </m:sup>
          </m:sSup>
          <m:sSub>
            <m:sSubPr>
              <m:ctrlPr>
                <w:rPr>
                  <w:rFonts w:ascii="Cambria Math" w:hAnsi="Cambria Math" w:cs="Times New Roman"/>
                  <w:sz w:val="21"/>
                  <w:szCs w:val="21"/>
                  <w:lang w:val="en-US"/>
                </w:rPr>
              </m:ctrlPr>
            </m:sSubPr>
            <m:e>
              <m:r>
                <w:rPr>
                  <w:rFonts w:ascii="Cambria Math" w:hAnsi="Cambria Math" w:cs="Times New Roman"/>
                  <w:sz w:val="21"/>
                  <w:szCs w:val="21"/>
                  <w:lang w:val="en-US"/>
                </w:rPr>
                <m:t>X</m:t>
              </m:r>
            </m:e>
            <m:sub>
              <m:r>
                <w:rPr>
                  <w:rFonts w:ascii="Cambria Math" w:hAnsi="Cambria Math" w:cs="Times New Roman"/>
                  <w:sz w:val="21"/>
                  <w:szCs w:val="21"/>
                  <w:lang w:val="en-US"/>
                </w:rPr>
                <m:t>it</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γ</m:t>
              </m:r>
            </m:e>
            <m:sub>
              <m:r>
                <w:rPr>
                  <w:rFonts w:ascii="Cambria Math" w:hAnsi="Cambria Math" w:cs="Times New Roman"/>
                  <w:sz w:val="21"/>
                  <w:szCs w:val="21"/>
                  <w:lang w:val="en-US"/>
                </w:rPr>
                <m:t>i</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δ</m:t>
              </m:r>
            </m:e>
            <m:sub>
              <m:r>
                <w:rPr>
                  <w:rFonts w:ascii="Cambria Math" w:hAnsi="Cambria Math" w:cs="Times New Roman"/>
                  <w:sz w:val="21"/>
                  <w:szCs w:val="21"/>
                  <w:lang w:val="en-US"/>
                </w:rPr>
                <m:t>t</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ε</m:t>
              </m:r>
            </m:e>
            <m:sub>
              <m:r>
                <w:rPr>
                  <w:rFonts w:ascii="Cambria Math" w:hAnsi="Cambria Math" w:cs="Times New Roman"/>
                  <w:sz w:val="21"/>
                  <w:szCs w:val="21"/>
                  <w:lang w:val="en-US"/>
                </w:rPr>
                <m:t>it</m:t>
              </m:r>
            </m:sub>
          </m:sSub>
        </m:oMath>
      </m:oMathPara>
    </w:p>
    <w:p w14:paraId="6436C292" w14:textId="3083BF06" w:rsidR="00295C95" w:rsidRPr="00295C95" w:rsidRDefault="00295C95" w:rsidP="00295C95">
      <w:pPr>
        <w:spacing w:after="120" w:line="360" w:lineRule="auto"/>
        <w:jc w:val="both"/>
        <w:rPr>
          <w:rFonts w:ascii="Times New Roman" w:hAnsi="Times New Roman" w:cs="Times New Roman"/>
          <w:sz w:val="2"/>
          <w:szCs w:val="2"/>
          <w:lang w:val="en-US"/>
        </w:rPr>
      </w:pPr>
    </w:p>
    <w:p w14:paraId="23D3516E" w14:textId="5D3C6EFA" w:rsidR="00295C95" w:rsidRPr="00295C95" w:rsidRDefault="00295C95" w:rsidP="00295C95">
      <w:pPr>
        <w:spacing w:after="120" w:line="360" w:lineRule="auto"/>
        <w:jc w:val="both"/>
        <w:rPr>
          <w:rFonts w:ascii="Times New Roman" w:hAnsi="Times New Roman" w:cs="Times New Roman"/>
          <w:sz w:val="22"/>
          <w:szCs w:val="22"/>
          <w:lang w:val="en-US"/>
        </w:rPr>
      </w:pPr>
      <w:r w:rsidRPr="00295C95">
        <w:rPr>
          <w:rFonts w:ascii="Times New Roman" w:hAnsi="Times New Roman" w:cs="Times New Roman"/>
          <w:sz w:val="22"/>
          <w:szCs w:val="22"/>
          <w:lang w:val="en-US"/>
        </w:rPr>
        <w:t xml:space="preserve">Here, </w:t>
      </w:r>
      <m:oMath>
        <m:r>
          <w:rPr>
            <w:rFonts w:ascii="Cambria Math" w:hAnsi="Cambria Math" w:cs="Times New Roman"/>
            <w:sz w:val="22"/>
            <w:szCs w:val="22"/>
            <w:lang w:val="en-US"/>
          </w:rPr>
          <m:t>SmallSprea</m:t>
        </m:r>
        <m:sSub>
          <m:sSubPr>
            <m:ctrlPr>
              <w:rPr>
                <w:rFonts w:ascii="Cambria Math" w:hAnsi="Cambria Math" w:cs="Times New Roman"/>
                <w:sz w:val="22"/>
                <w:szCs w:val="22"/>
                <w:lang w:val="en-US"/>
              </w:rPr>
            </m:ctrlPr>
          </m:sSubPr>
          <m:e>
            <m:r>
              <w:rPr>
                <w:rFonts w:ascii="Cambria Math" w:hAnsi="Cambria Math" w:cs="Times New Roman"/>
                <w:sz w:val="22"/>
                <w:szCs w:val="22"/>
                <w:lang w:val="en-US"/>
              </w:rPr>
              <m:t>d</m:t>
            </m:r>
          </m:e>
          <m:sub>
            <m:r>
              <w:rPr>
                <w:rFonts w:ascii="Cambria Math" w:hAnsi="Cambria Math" w:cs="Times New Roman"/>
                <w:sz w:val="22"/>
                <w:szCs w:val="22"/>
                <w:lang w:val="en-US"/>
              </w:rPr>
              <m:t>i</m:t>
            </m:r>
          </m:sub>
        </m:sSub>
      </m:oMath>
      <w:r w:rsidR="002F2328">
        <w:rPr>
          <w:rFonts w:ascii="Times New Roman" w:eastAsiaTheme="minorEastAsia" w:hAnsi="Times New Roman" w:cs="Times New Roman"/>
          <w:sz w:val="22"/>
          <w:szCs w:val="22"/>
          <w:lang w:val="en-US"/>
        </w:rPr>
        <w:t xml:space="preserve"> </w:t>
      </w:r>
      <w:r w:rsidRPr="00295C95">
        <w:rPr>
          <w:rFonts w:ascii="Times New Roman" w:hAnsi="Times New Roman" w:cs="Times New Roman"/>
          <w:sz w:val="22"/>
          <w:szCs w:val="22"/>
          <w:lang w:val="en-US"/>
        </w:rPr>
        <w:t xml:space="preserve">is a binary indicator equal to one for stocks whose pre-treatment average dollar quoted spread is strictly below $0.05. The coefficients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γ</m:t>
            </m:r>
          </m:e>
          <m:sub>
            <m:r>
              <w:rPr>
                <w:rFonts w:ascii="Cambria Math" w:hAnsi="Cambria Math" w:cs="Times New Roman"/>
                <w:sz w:val="22"/>
                <w:szCs w:val="22"/>
                <w:lang w:val="en-US"/>
              </w:rPr>
              <m:t>k</m:t>
            </m:r>
          </m:sub>
        </m:sSub>
      </m:oMath>
      <w:r w:rsidR="002F2328">
        <w:rPr>
          <w:rFonts w:ascii="Times New Roman" w:eastAsiaTheme="minorEastAsia" w:hAnsi="Times New Roman" w:cs="Times New Roman"/>
          <w:sz w:val="22"/>
          <w:szCs w:val="22"/>
          <w:lang w:val="en-US"/>
        </w:rPr>
        <w:t xml:space="preserve"> </w:t>
      </w:r>
      <w:r w:rsidRPr="00295C95">
        <w:rPr>
          <w:rFonts w:ascii="Times New Roman" w:hAnsi="Times New Roman" w:cs="Times New Roman"/>
          <w:sz w:val="22"/>
          <w:szCs w:val="22"/>
          <w:lang w:val="en-US"/>
        </w:rPr>
        <w:t xml:space="preserve">capture the differential effect of the tick size increase for constrained stocks within each pilot group. Under H2, the predicted signs are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γ</m:t>
            </m:r>
          </m:e>
          <m:sub>
            <m:r>
              <w:rPr>
                <w:rFonts w:ascii="Cambria Math" w:hAnsi="Cambria Math" w:cs="Times New Roman"/>
                <w:sz w:val="22"/>
                <w:szCs w:val="22"/>
                <w:lang w:val="en-US"/>
              </w:rPr>
              <m:t>1</m:t>
            </m:r>
          </m:sub>
        </m:sSub>
        <m:r>
          <w:rPr>
            <w:rFonts w:ascii="Cambria Math" w:hAnsi="Cambria Math" w:cs="Times New Roman"/>
            <w:sz w:val="22"/>
            <w:szCs w:val="22"/>
            <w:lang w:val="en-US"/>
          </w:rPr>
          <m:t>&lt;0</m:t>
        </m:r>
      </m:oMath>
      <w:r w:rsidRPr="00295C95">
        <w:rPr>
          <w:rFonts w:ascii="Times New Roman" w:hAnsi="Times New Roman" w:cs="Times New Roman"/>
          <w:sz w:val="22"/>
          <w:szCs w:val="22"/>
          <w:lang w:val="en-US"/>
        </w:rPr>
        <w:t xml:space="preserv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γ</m:t>
            </m:r>
          </m:e>
          <m:sub>
            <m:r>
              <w:rPr>
                <w:rFonts w:ascii="Cambria Math" w:hAnsi="Cambria Math" w:cs="Times New Roman"/>
                <w:sz w:val="22"/>
                <w:szCs w:val="22"/>
                <w:lang w:val="en-US"/>
              </w:rPr>
              <m:t>2</m:t>
            </m:r>
          </m:sub>
        </m:sSub>
        <m:r>
          <w:rPr>
            <w:rFonts w:ascii="Cambria Math" w:hAnsi="Cambria Math" w:cs="Times New Roman"/>
            <w:sz w:val="22"/>
            <w:szCs w:val="22"/>
            <w:lang w:val="en-US"/>
          </w:rPr>
          <m:t>&lt;0</m:t>
        </m:r>
      </m:oMath>
      <w:r w:rsidRPr="00295C95">
        <w:rPr>
          <w:rFonts w:ascii="Times New Roman" w:hAnsi="Times New Roman" w:cs="Times New Roman"/>
          <w:sz w:val="22"/>
          <w:szCs w:val="22"/>
          <w:lang w:val="en-US"/>
        </w:rPr>
        <w:t xml:space="preserve">, and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γ</m:t>
            </m:r>
          </m:e>
          <m:sub>
            <m:r>
              <w:rPr>
                <w:rFonts w:ascii="Cambria Math" w:hAnsi="Cambria Math" w:cs="Times New Roman"/>
                <w:sz w:val="22"/>
                <w:szCs w:val="22"/>
                <w:lang w:val="en-US"/>
              </w:rPr>
              <m:t>3</m:t>
            </m:r>
          </m:sub>
        </m:sSub>
        <m:r>
          <w:rPr>
            <w:rFonts w:ascii="Cambria Math" w:hAnsi="Cambria Math" w:cs="Times New Roman"/>
            <w:sz w:val="22"/>
            <w:szCs w:val="22"/>
            <w:lang w:val="en-US"/>
          </w:rPr>
          <m:t>&lt;0</m:t>
        </m:r>
      </m:oMath>
      <w:r w:rsidRPr="00295C95">
        <w:rPr>
          <w:rFonts w:ascii="Times New Roman" w:hAnsi="Times New Roman" w:cs="Times New Roman"/>
          <w:sz w:val="22"/>
          <w:szCs w:val="22"/>
          <w:lang w:val="en-US"/>
        </w:rPr>
        <w:t>. Stocks with pre-treatment spreads above $0.05 serve as an implicit placebo subgroup within each treated group, for which no additional differential volume effect is expected.</w:t>
      </w:r>
    </w:p>
    <w:p w14:paraId="652A54BC" w14:textId="7CE79C22" w:rsidR="00104332" w:rsidRPr="00295C95" w:rsidRDefault="00104332" w:rsidP="007165B2">
      <w:pPr>
        <w:pStyle w:val="Heading1"/>
        <w:numPr>
          <w:ilvl w:val="1"/>
          <w:numId w:val="4"/>
        </w:numPr>
        <w:spacing w:before="0" w:after="200"/>
        <w:rPr>
          <w:sz w:val="24"/>
          <w:szCs w:val="24"/>
        </w:rPr>
      </w:pPr>
      <w:bookmarkStart w:id="10" w:name="_Toc223041014"/>
      <w:r w:rsidRPr="00295C95">
        <w:rPr>
          <w:sz w:val="24"/>
          <w:szCs w:val="24"/>
        </w:rPr>
        <w:t>Control Variables</w:t>
      </w:r>
      <w:bookmarkEnd w:id="10"/>
    </w:p>
    <w:p w14:paraId="2401954D" w14:textId="519B95CD" w:rsidR="00104332" w:rsidRPr="00E246A9" w:rsidRDefault="78D26E15"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In our empirical specifications, the inverse of the midpoint price (Inv_Price) </w:t>
      </w:r>
      <w:r w:rsidR="612DE07E" w:rsidRPr="5E041609">
        <w:rPr>
          <w:rFonts w:ascii="Times New Roman" w:eastAsia="Aptos" w:hAnsi="Times New Roman" w:cs="Times New Roman"/>
          <w:sz w:val="22"/>
          <w:szCs w:val="22"/>
        </w:rPr>
        <w:t xml:space="preserve">is included as the </w:t>
      </w:r>
      <w:r w:rsidRPr="5E041609">
        <w:rPr>
          <w:rFonts w:ascii="Times New Roman" w:eastAsia="Aptos" w:hAnsi="Times New Roman" w:cs="Times New Roman"/>
          <w:sz w:val="22"/>
          <w:szCs w:val="22"/>
        </w:rPr>
        <w:t xml:space="preserve">sole time-varying control variable. </w:t>
      </w:r>
      <w:r w:rsidR="612DE07E" w:rsidRPr="5E041609">
        <w:rPr>
          <w:rFonts w:ascii="Times New Roman" w:eastAsia="Aptos" w:hAnsi="Times New Roman" w:cs="Times New Roman"/>
          <w:sz w:val="22"/>
          <w:szCs w:val="22"/>
        </w:rPr>
        <w:t>It captures</w:t>
      </w:r>
      <w:r w:rsidRPr="5E041609">
        <w:rPr>
          <w:rFonts w:ascii="Times New Roman" w:eastAsia="Aptos" w:hAnsi="Times New Roman" w:cs="Times New Roman"/>
          <w:sz w:val="22"/>
          <w:szCs w:val="22"/>
        </w:rPr>
        <w:t xml:space="preserve"> the mechanical relationship between the price level and the relative size of the tick increment, as lower-priced stocks face a proportionally larger minimum spread floor. Crucially, we retain this control in </w:t>
      </w:r>
      <w:r w:rsidR="612DE07E" w:rsidRPr="5E041609">
        <w:rPr>
          <w:rFonts w:ascii="Times New Roman" w:eastAsia="Aptos" w:hAnsi="Times New Roman" w:cs="Times New Roman"/>
          <w:sz w:val="22"/>
          <w:szCs w:val="22"/>
        </w:rPr>
        <w:t>the</w:t>
      </w:r>
      <w:r w:rsidRPr="5E041609">
        <w:rPr>
          <w:rFonts w:ascii="Times New Roman" w:eastAsia="Aptos" w:hAnsi="Times New Roman" w:cs="Times New Roman"/>
          <w:sz w:val="22"/>
          <w:szCs w:val="22"/>
        </w:rPr>
        <w:t xml:space="preserve"> extended triple-interaction model (Hypothesis 2). While the SmallSpread indicator is a static pre-treatment classification </w:t>
      </w:r>
      <w:r w:rsidR="612DE07E" w:rsidRPr="5E041609">
        <w:rPr>
          <w:rFonts w:ascii="Times New Roman" w:eastAsia="Aptos" w:hAnsi="Times New Roman" w:cs="Times New Roman"/>
          <w:sz w:val="22"/>
          <w:szCs w:val="22"/>
        </w:rPr>
        <w:t>identifying</w:t>
      </w:r>
      <w:r w:rsidRPr="5E041609">
        <w:rPr>
          <w:rFonts w:ascii="Times New Roman" w:eastAsia="Aptos" w:hAnsi="Times New Roman" w:cs="Times New Roman"/>
          <w:sz w:val="22"/>
          <w:szCs w:val="22"/>
        </w:rPr>
        <w:t xml:space="preserve"> stocks historically constrained by the tick, Inv_Price captures contemporaneous daily </w:t>
      </w:r>
      <w:r w:rsidR="612DE07E" w:rsidRPr="5E041609">
        <w:rPr>
          <w:rFonts w:ascii="Times New Roman" w:eastAsia="Aptos" w:hAnsi="Times New Roman" w:cs="Times New Roman"/>
          <w:sz w:val="22"/>
          <w:szCs w:val="22"/>
        </w:rPr>
        <w:t xml:space="preserve">price </w:t>
      </w:r>
      <w:r w:rsidRPr="5E041609">
        <w:rPr>
          <w:rFonts w:ascii="Times New Roman" w:eastAsia="Aptos" w:hAnsi="Times New Roman" w:cs="Times New Roman"/>
          <w:sz w:val="22"/>
          <w:szCs w:val="22"/>
        </w:rPr>
        <w:t>fluctuations</w:t>
      </w:r>
      <w:r w:rsidR="612DE07E" w:rsidRPr="5E041609">
        <w:rPr>
          <w:rFonts w:ascii="Times New Roman" w:eastAsia="Aptos" w:hAnsi="Times New Roman" w:cs="Times New Roman"/>
          <w:sz w:val="22"/>
          <w:szCs w:val="22"/>
        </w:rPr>
        <w:t>.</w:t>
      </w:r>
      <w:r w:rsidRPr="5E041609">
        <w:rPr>
          <w:rFonts w:ascii="Times New Roman" w:eastAsia="Aptos" w:hAnsi="Times New Roman" w:cs="Times New Roman"/>
          <w:sz w:val="22"/>
          <w:szCs w:val="22"/>
        </w:rPr>
        <w:t xml:space="preserve"> Including it ensures that the differential volume reduction </w:t>
      </w:r>
      <w:r w:rsidR="612DE07E" w:rsidRPr="5E041609">
        <w:rPr>
          <w:rFonts w:ascii="Times New Roman" w:eastAsia="Aptos" w:hAnsi="Times New Roman" w:cs="Times New Roman"/>
          <w:sz w:val="22"/>
          <w:szCs w:val="22"/>
        </w:rPr>
        <w:t>hypothesized</w:t>
      </w:r>
      <w:r w:rsidRPr="5E041609">
        <w:rPr>
          <w:rFonts w:ascii="Times New Roman" w:eastAsia="Aptos" w:hAnsi="Times New Roman" w:cs="Times New Roman"/>
          <w:sz w:val="22"/>
          <w:szCs w:val="22"/>
        </w:rPr>
        <w:t xml:space="preserve"> for constrained stocks is not confounded by time-varying price effects. Furthermore, stock return volatility </w:t>
      </w:r>
      <w:r w:rsidR="612DE07E" w:rsidRPr="5E041609">
        <w:rPr>
          <w:rFonts w:ascii="Times New Roman" w:eastAsia="Aptos" w:hAnsi="Times New Roman" w:cs="Times New Roman"/>
          <w:sz w:val="22"/>
          <w:szCs w:val="22"/>
        </w:rPr>
        <w:t>is excluded</w:t>
      </w:r>
      <w:r w:rsidRPr="5E041609">
        <w:rPr>
          <w:rFonts w:ascii="Times New Roman" w:eastAsia="Aptos" w:hAnsi="Times New Roman" w:cs="Times New Roman"/>
          <w:sz w:val="22"/>
          <w:szCs w:val="22"/>
        </w:rPr>
        <w:t xml:space="preserve"> despite its well-documented positive correlation with trading volume. </w:t>
      </w:r>
      <w:r w:rsidR="612DE07E" w:rsidRPr="5E041609">
        <w:rPr>
          <w:rFonts w:ascii="Times New Roman" w:eastAsia="Aptos" w:hAnsi="Times New Roman" w:cs="Times New Roman"/>
          <w:sz w:val="22"/>
          <w:szCs w:val="22"/>
        </w:rPr>
        <w:t>Because</w:t>
      </w:r>
      <w:r w:rsidRPr="5E041609">
        <w:rPr>
          <w:rFonts w:ascii="Times New Roman" w:eastAsia="Aptos" w:hAnsi="Times New Roman" w:cs="Times New Roman"/>
          <w:sz w:val="22"/>
          <w:szCs w:val="22"/>
        </w:rPr>
        <w:t xml:space="preserve"> the </w:t>
      </w:r>
      <w:r w:rsidR="612DE07E" w:rsidRPr="5E041609">
        <w:rPr>
          <w:rFonts w:ascii="Times New Roman" w:eastAsia="Aptos" w:hAnsi="Times New Roman" w:cs="Times New Roman"/>
          <w:sz w:val="22"/>
          <w:szCs w:val="22"/>
        </w:rPr>
        <w:t>pilot widens the bid–</w:t>
      </w:r>
      <w:r w:rsidRPr="5E041609">
        <w:rPr>
          <w:rFonts w:ascii="Times New Roman" w:eastAsia="Aptos" w:hAnsi="Times New Roman" w:cs="Times New Roman"/>
          <w:sz w:val="22"/>
          <w:szCs w:val="22"/>
        </w:rPr>
        <w:t>ask spread</w:t>
      </w:r>
      <w:r w:rsidR="612DE07E" w:rsidRPr="5E041609">
        <w:rPr>
          <w:rFonts w:ascii="Times New Roman" w:eastAsia="Aptos" w:hAnsi="Times New Roman" w:cs="Times New Roman"/>
          <w:sz w:val="22"/>
          <w:szCs w:val="22"/>
        </w:rPr>
        <w:t>, it</w:t>
      </w:r>
      <w:r w:rsidRPr="5E041609">
        <w:rPr>
          <w:rFonts w:ascii="Times New Roman" w:eastAsia="Aptos" w:hAnsi="Times New Roman" w:cs="Times New Roman"/>
          <w:sz w:val="22"/>
          <w:szCs w:val="22"/>
        </w:rPr>
        <w:t xml:space="preserve"> directly </w:t>
      </w:r>
      <w:r w:rsidR="612DE07E" w:rsidRPr="5E041609">
        <w:rPr>
          <w:rFonts w:ascii="Times New Roman" w:eastAsia="Aptos" w:hAnsi="Times New Roman" w:cs="Times New Roman"/>
          <w:sz w:val="22"/>
          <w:szCs w:val="22"/>
        </w:rPr>
        <w:t>affects</w:t>
      </w:r>
      <w:r w:rsidRPr="5E041609">
        <w:rPr>
          <w:rFonts w:ascii="Times New Roman" w:eastAsia="Aptos" w:hAnsi="Times New Roman" w:cs="Times New Roman"/>
          <w:sz w:val="22"/>
          <w:szCs w:val="22"/>
        </w:rPr>
        <w:t xml:space="preserve"> short-term measured volatility</w:t>
      </w:r>
      <w:r w:rsidR="612DE07E" w:rsidRPr="5E041609">
        <w:rPr>
          <w:rFonts w:ascii="Times New Roman" w:eastAsia="Aptos" w:hAnsi="Times New Roman" w:cs="Times New Roman"/>
          <w:sz w:val="22"/>
          <w:szCs w:val="22"/>
        </w:rPr>
        <w:t>, rendering</w:t>
      </w:r>
      <w:r w:rsidRPr="5E041609">
        <w:rPr>
          <w:rFonts w:ascii="Times New Roman" w:eastAsia="Aptos" w:hAnsi="Times New Roman" w:cs="Times New Roman"/>
          <w:sz w:val="22"/>
          <w:szCs w:val="22"/>
        </w:rPr>
        <w:t xml:space="preserve"> volatility </w:t>
      </w:r>
      <w:r w:rsidR="612DE07E" w:rsidRPr="5E041609">
        <w:rPr>
          <w:rFonts w:ascii="Times New Roman" w:eastAsia="Aptos" w:hAnsi="Times New Roman" w:cs="Times New Roman"/>
          <w:sz w:val="22"/>
          <w:szCs w:val="22"/>
        </w:rPr>
        <w:t>an endogenous</w:t>
      </w:r>
      <w:r w:rsidRPr="5E041609">
        <w:rPr>
          <w:rFonts w:ascii="Times New Roman" w:eastAsia="Aptos" w:hAnsi="Times New Roman" w:cs="Times New Roman"/>
          <w:sz w:val="22"/>
          <w:szCs w:val="22"/>
        </w:rPr>
        <w:t xml:space="preserve"> outcome of the regulatory change</w:t>
      </w:r>
      <w:r w:rsidR="612DE07E" w:rsidRPr="5E041609">
        <w:rPr>
          <w:rFonts w:ascii="Times New Roman" w:eastAsia="Aptos" w:hAnsi="Times New Roman" w:cs="Times New Roman"/>
          <w:sz w:val="22"/>
          <w:szCs w:val="22"/>
        </w:rPr>
        <w:t>.</w:t>
      </w:r>
      <w:r w:rsidRPr="5E041609">
        <w:rPr>
          <w:rFonts w:ascii="Times New Roman" w:eastAsia="Aptos" w:hAnsi="Times New Roman" w:cs="Times New Roman"/>
          <w:sz w:val="22"/>
          <w:szCs w:val="22"/>
        </w:rPr>
        <w:t xml:space="preserve"> Including </w:t>
      </w:r>
      <w:r w:rsidR="612DE07E" w:rsidRPr="5E041609">
        <w:rPr>
          <w:rFonts w:ascii="Times New Roman" w:eastAsia="Aptos" w:hAnsi="Times New Roman" w:cs="Times New Roman"/>
          <w:sz w:val="22"/>
          <w:szCs w:val="22"/>
        </w:rPr>
        <w:t>it</w:t>
      </w:r>
      <w:r w:rsidRPr="5E041609">
        <w:rPr>
          <w:rFonts w:ascii="Times New Roman" w:eastAsia="Aptos" w:hAnsi="Times New Roman" w:cs="Times New Roman"/>
          <w:sz w:val="22"/>
          <w:szCs w:val="22"/>
        </w:rPr>
        <w:t xml:space="preserve"> would introduce bad</w:t>
      </w:r>
      <w:r w:rsidR="612DE07E" w:rsidRPr="5E041609">
        <w:rPr>
          <w:rFonts w:ascii="Times New Roman" w:eastAsia="Aptos" w:hAnsi="Times New Roman" w:cs="Times New Roman"/>
          <w:sz w:val="22"/>
          <w:szCs w:val="22"/>
        </w:rPr>
        <w:t>-</w:t>
      </w:r>
      <w:r w:rsidRPr="5E041609">
        <w:rPr>
          <w:rFonts w:ascii="Times New Roman" w:eastAsia="Aptos" w:hAnsi="Times New Roman" w:cs="Times New Roman"/>
          <w:sz w:val="22"/>
          <w:szCs w:val="22"/>
        </w:rPr>
        <w:t>control bias</w:t>
      </w:r>
      <w:r w:rsidR="612DE07E" w:rsidRPr="5E041609">
        <w:rPr>
          <w:rFonts w:ascii="Times New Roman" w:eastAsia="Aptos" w:hAnsi="Times New Roman" w:cs="Times New Roman"/>
          <w:sz w:val="22"/>
          <w:szCs w:val="22"/>
        </w:rPr>
        <w:t xml:space="preserve"> by </w:t>
      </w:r>
      <w:r w:rsidRPr="5E041609">
        <w:rPr>
          <w:rFonts w:ascii="Times New Roman" w:eastAsia="Aptos" w:hAnsi="Times New Roman" w:cs="Times New Roman"/>
          <w:sz w:val="22"/>
          <w:szCs w:val="22"/>
        </w:rPr>
        <w:t xml:space="preserve">absorbing </w:t>
      </w:r>
      <w:r w:rsidR="612DE07E" w:rsidRPr="5E041609">
        <w:rPr>
          <w:rFonts w:ascii="Times New Roman" w:eastAsia="Aptos" w:hAnsi="Times New Roman" w:cs="Times New Roman"/>
          <w:sz w:val="22"/>
          <w:szCs w:val="22"/>
        </w:rPr>
        <w:t>part</w:t>
      </w:r>
      <w:r w:rsidRPr="5E041609">
        <w:rPr>
          <w:rFonts w:ascii="Times New Roman" w:eastAsia="Aptos" w:hAnsi="Times New Roman" w:cs="Times New Roman"/>
          <w:sz w:val="22"/>
          <w:szCs w:val="22"/>
        </w:rPr>
        <w:t xml:space="preserve"> of the treatment effect</w:t>
      </w:r>
      <w:r w:rsidR="612DE07E" w:rsidRPr="5E041609">
        <w:rPr>
          <w:rFonts w:ascii="Times New Roman" w:eastAsia="Aptos" w:hAnsi="Times New Roman" w:cs="Times New Roman"/>
          <w:sz w:val="22"/>
          <w:szCs w:val="22"/>
        </w:rPr>
        <w:t>.</w:t>
      </w:r>
      <w:r w:rsidRPr="5E041609">
        <w:rPr>
          <w:rFonts w:ascii="Times New Roman" w:eastAsia="Aptos" w:hAnsi="Times New Roman" w:cs="Times New Roman"/>
          <w:sz w:val="22"/>
          <w:szCs w:val="22"/>
        </w:rPr>
        <w:t xml:space="preserve"> Instead, firm fixed effects absorb time-invariant baseline volatility differences, and time fixed effects absorb aggregate market-wide shocks. </w:t>
      </w:r>
    </w:p>
    <w:p w14:paraId="6AC6DDDC" w14:textId="2204E19C" w:rsidR="006C0A4B" w:rsidRDefault="006C0A4B" w:rsidP="00AD718A">
      <w:pPr>
        <w:pStyle w:val="Heading1"/>
        <w:numPr>
          <w:ilvl w:val="0"/>
          <w:numId w:val="1"/>
        </w:numPr>
        <w:tabs>
          <w:tab w:val="num" w:pos="360"/>
        </w:tabs>
        <w:spacing w:before="0" w:after="200"/>
        <w:ind w:left="357" w:hanging="357"/>
      </w:pPr>
      <w:bookmarkStart w:id="11" w:name="_Toc223041015"/>
      <w:r w:rsidRPr="00031D9F">
        <w:t>Data</w:t>
      </w:r>
      <w:r w:rsidR="00E246A9">
        <w:t xml:space="preserve"> </w:t>
      </w:r>
      <w:r w:rsidR="00E246A9" w:rsidRPr="00AD718A">
        <w:t>(Max 4 pages)</w:t>
      </w:r>
      <w:bookmarkEnd w:id="11"/>
    </w:p>
    <w:p w14:paraId="2F8B20BC" w14:textId="1BA73542" w:rsidR="00031D9F" w:rsidRDefault="5BAA77BD" w:rsidP="5E041609">
      <w:pPr>
        <w:spacing w:after="120" w:line="360" w:lineRule="auto"/>
        <w:jc w:val="both"/>
        <w:rPr>
          <w:lang w:eastAsia="de-DE"/>
        </w:rPr>
      </w:pPr>
      <w:r w:rsidRPr="5E041609">
        <w:rPr>
          <w:rFonts w:ascii="Times New Roman" w:eastAsia="Aptos" w:hAnsi="Times New Roman" w:cs="Times New Roman"/>
          <w:sz w:val="22"/>
          <w:szCs w:val="22"/>
        </w:rPr>
        <w:t xml:space="preserve">This section describes the data sources, sample construction, and variable definitions </w:t>
      </w:r>
      <w:r w:rsidR="5D3059B0" w:rsidRPr="5E041609">
        <w:rPr>
          <w:rFonts w:ascii="Times New Roman" w:eastAsia="Aptos" w:hAnsi="Times New Roman" w:cs="Times New Roman"/>
          <w:sz w:val="22"/>
          <w:szCs w:val="22"/>
        </w:rPr>
        <w:t>underlying</w:t>
      </w:r>
      <w:r w:rsidRPr="5E041609">
        <w:rPr>
          <w:rFonts w:ascii="Times New Roman" w:eastAsia="Aptos" w:hAnsi="Times New Roman" w:cs="Times New Roman"/>
          <w:sz w:val="22"/>
          <w:szCs w:val="22"/>
        </w:rPr>
        <w:t xml:space="preserve"> the empirical analysis. </w:t>
      </w:r>
      <w:r w:rsidR="5D3059B0" w:rsidRPr="5E041609">
        <w:rPr>
          <w:rFonts w:ascii="Times New Roman" w:eastAsia="Aptos" w:hAnsi="Times New Roman" w:cs="Times New Roman"/>
          <w:sz w:val="22"/>
          <w:szCs w:val="22"/>
        </w:rPr>
        <w:t>It outlines</w:t>
      </w:r>
      <w:r w:rsidRPr="5E041609">
        <w:rPr>
          <w:rFonts w:ascii="Times New Roman" w:eastAsia="Aptos" w:hAnsi="Times New Roman" w:cs="Times New Roman"/>
          <w:sz w:val="22"/>
          <w:szCs w:val="22"/>
        </w:rPr>
        <w:t xml:space="preserve"> the filtering </w:t>
      </w:r>
      <w:r w:rsidR="5D3059B0" w:rsidRPr="5E041609">
        <w:rPr>
          <w:rFonts w:ascii="Times New Roman" w:eastAsia="Aptos" w:hAnsi="Times New Roman" w:cs="Times New Roman"/>
          <w:sz w:val="22"/>
          <w:szCs w:val="22"/>
        </w:rPr>
        <w:t>procedures implemented</w:t>
      </w:r>
      <w:r w:rsidRPr="5E041609">
        <w:rPr>
          <w:rFonts w:ascii="Times New Roman" w:eastAsia="Aptos" w:hAnsi="Times New Roman" w:cs="Times New Roman"/>
          <w:sz w:val="22"/>
          <w:szCs w:val="22"/>
        </w:rPr>
        <w:t xml:space="preserve"> to ensure a clean identification of the regulatory shock and </w:t>
      </w:r>
      <w:r w:rsidR="5D3059B0" w:rsidRPr="5E041609">
        <w:rPr>
          <w:rFonts w:ascii="Times New Roman" w:eastAsia="Aptos" w:hAnsi="Times New Roman" w:cs="Times New Roman"/>
          <w:sz w:val="22"/>
          <w:szCs w:val="22"/>
        </w:rPr>
        <w:t>explains</w:t>
      </w:r>
      <w:r w:rsidRPr="5E041609">
        <w:rPr>
          <w:rFonts w:ascii="Times New Roman" w:eastAsia="Aptos" w:hAnsi="Times New Roman" w:cs="Times New Roman"/>
          <w:sz w:val="22"/>
          <w:szCs w:val="22"/>
        </w:rPr>
        <w:t xml:space="preserve"> the construction of </w:t>
      </w:r>
      <w:r w:rsidR="5D3059B0" w:rsidRPr="5E041609">
        <w:rPr>
          <w:rFonts w:ascii="Times New Roman" w:eastAsia="Aptos" w:hAnsi="Times New Roman" w:cs="Times New Roman"/>
          <w:sz w:val="22"/>
          <w:szCs w:val="22"/>
        </w:rPr>
        <w:t xml:space="preserve">the </w:t>
      </w:r>
      <w:r w:rsidRPr="5E041609">
        <w:rPr>
          <w:rFonts w:ascii="Times New Roman" w:eastAsia="Aptos" w:hAnsi="Times New Roman" w:cs="Times New Roman"/>
          <w:sz w:val="22"/>
          <w:szCs w:val="22"/>
        </w:rPr>
        <w:t xml:space="preserve">key treatment and liquidity measures. The resulting dataset forms the </w:t>
      </w:r>
      <w:r w:rsidR="5D3059B0" w:rsidRPr="5E041609">
        <w:rPr>
          <w:rFonts w:ascii="Times New Roman" w:eastAsia="Aptos" w:hAnsi="Times New Roman" w:cs="Times New Roman"/>
          <w:sz w:val="22"/>
          <w:szCs w:val="22"/>
        </w:rPr>
        <w:t>foundation</w:t>
      </w:r>
      <w:r w:rsidRPr="5E041609">
        <w:rPr>
          <w:rFonts w:ascii="Times New Roman" w:eastAsia="Aptos" w:hAnsi="Times New Roman" w:cs="Times New Roman"/>
          <w:sz w:val="22"/>
          <w:szCs w:val="22"/>
        </w:rPr>
        <w:t xml:space="preserve"> for the difference-in-differences estimations presented </w:t>
      </w:r>
      <w:r w:rsidR="5D3059B0" w:rsidRPr="5E041609">
        <w:rPr>
          <w:rFonts w:ascii="Times New Roman" w:eastAsia="Aptos" w:hAnsi="Times New Roman" w:cs="Times New Roman"/>
          <w:sz w:val="22"/>
          <w:szCs w:val="22"/>
        </w:rPr>
        <w:t>below.</w:t>
      </w:r>
    </w:p>
    <w:p w14:paraId="27AE561D" w14:textId="77777777" w:rsidR="00AD718A" w:rsidRPr="00AD718A" w:rsidRDefault="00AD718A" w:rsidP="00AD718A">
      <w:pPr>
        <w:pStyle w:val="ListParagraph"/>
        <w:keepNext/>
        <w:numPr>
          <w:ilvl w:val="0"/>
          <w:numId w:val="4"/>
        </w:numPr>
        <w:spacing w:after="200" w:line="360" w:lineRule="auto"/>
        <w:contextualSpacing w:val="0"/>
        <w:jc w:val="both"/>
        <w:outlineLvl w:val="0"/>
        <w:rPr>
          <w:rFonts w:cs="Arial"/>
          <w:b/>
          <w:bCs/>
          <w:vanish/>
          <w:kern w:val="32"/>
          <w:szCs w:val="28"/>
          <w:lang w:eastAsia="de-DE"/>
        </w:rPr>
      </w:pPr>
    </w:p>
    <w:p w14:paraId="4DF76C9D" w14:textId="43802FE9" w:rsidR="00CF49A1" w:rsidRPr="00F82EFF" w:rsidRDefault="00CF49A1" w:rsidP="00FC10EB">
      <w:pPr>
        <w:pStyle w:val="Heading1"/>
        <w:numPr>
          <w:ilvl w:val="1"/>
          <w:numId w:val="4"/>
        </w:numPr>
        <w:spacing w:before="0" w:after="160"/>
        <w:rPr>
          <w:sz w:val="24"/>
          <w:szCs w:val="28"/>
        </w:rPr>
      </w:pPr>
      <w:bookmarkStart w:id="12" w:name="_Toc223041016"/>
      <w:r w:rsidRPr="00F82EFF">
        <w:rPr>
          <w:sz w:val="24"/>
          <w:szCs w:val="28"/>
        </w:rPr>
        <w:t>Data Construction and Sample Selection</w:t>
      </w:r>
      <w:bookmarkEnd w:id="12"/>
    </w:p>
    <w:p w14:paraId="3588BDD3" w14:textId="77777777" w:rsidR="004E3F59" w:rsidRPr="00B7257B" w:rsidRDefault="004E3F59" w:rsidP="004E3F59">
      <w:pPr>
        <w:spacing w:after="120" w:line="360" w:lineRule="auto"/>
        <w:jc w:val="both"/>
        <w:rPr>
          <w:rFonts w:ascii="Times New Roman" w:eastAsia="Aptos" w:hAnsi="Times New Roman" w:cs="Times New Roman"/>
          <w:sz w:val="22"/>
          <w:szCs w:val="22"/>
          <w:lang w:val="en-US"/>
        </w:rPr>
      </w:pPr>
      <w:r w:rsidRPr="00B7257B">
        <w:rPr>
          <w:rFonts w:ascii="Times New Roman" w:eastAsia="Aptos" w:hAnsi="Times New Roman" w:cs="Times New Roman"/>
          <w:sz w:val="22"/>
          <w:szCs w:val="22"/>
          <w:lang w:val="en-US"/>
        </w:rPr>
        <w:t>We use daily stock-level data from the Center for Research in Security Prices (CRSP) over the period January 1, 2016 to April 30, 2019, consistent with Albuquerque et al. (2020). Stocks are identified using the CRSP PERMNO and merged with the SEC Tick Size Pilot treatment-control assignment list. After applying the sample construction filters described below, the final sample comprises approximately 2,130 unique stocks across the four groups: approximately 1,065 stocks in the control group and approximately 1,065 stocks across the three pilot treatment groups (roughly 350–360 per pilot group). The final sample consists exclusively of firms included in the SEC experiment.</w:t>
      </w:r>
    </w:p>
    <w:p w14:paraId="59E7120E" w14:textId="77777777" w:rsidR="004E3F59" w:rsidRPr="00B7257B" w:rsidRDefault="004E3F59" w:rsidP="004E3F59">
      <w:pPr>
        <w:spacing w:after="120" w:line="360" w:lineRule="auto"/>
        <w:jc w:val="both"/>
        <w:rPr>
          <w:rFonts w:ascii="Times New Roman" w:eastAsia="Aptos" w:hAnsi="Times New Roman" w:cs="Times New Roman"/>
          <w:sz w:val="22"/>
          <w:szCs w:val="22"/>
          <w:lang w:val="en-US"/>
        </w:rPr>
      </w:pPr>
      <w:r w:rsidRPr="00B7257B">
        <w:rPr>
          <w:rFonts w:ascii="Times New Roman" w:eastAsia="Aptos" w:hAnsi="Times New Roman" w:cs="Times New Roman"/>
          <w:sz w:val="22"/>
          <w:szCs w:val="22"/>
          <w:lang w:val="en-US"/>
        </w:rPr>
        <w:t xml:space="preserve">To ensure that the analysis isolates the causal impact of the tick size increase rather than confounding corporate events, several filters are applied. Firms that undergo mergers or acquisitions during the sample period are fully excluded, as such events generate abnormal trading activity that could bias estimated treatment effects. Observations associated with delistings are removed to mitigate distortions arising from terminal trading behavior. </w:t>
      </w:r>
      <w:r w:rsidRPr="00B7257B">
        <w:rPr>
          <w:rFonts w:ascii="Times New Roman" w:eastAsia="Aptos" w:hAnsi="Times New Roman" w:cs="Times New Roman"/>
          <w:sz w:val="22"/>
          <w:szCs w:val="22"/>
          <w:highlight w:val="yellow"/>
          <w:lang w:val="en-US"/>
        </w:rPr>
        <w:t>Daily observations with absolute prices below $1 are also excluded,</w:t>
      </w:r>
      <w:r w:rsidRPr="00B7257B">
        <w:rPr>
          <w:rFonts w:ascii="Times New Roman" w:eastAsia="Aptos" w:hAnsi="Times New Roman" w:cs="Times New Roman"/>
          <w:sz w:val="22"/>
          <w:szCs w:val="22"/>
          <w:lang w:val="en-US"/>
        </w:rPr>
        <w:t xml:space="preserve"> since for penny stocks a $0.05 minimum tick represents a disproportionately large relative friction that fundamentally alters trading dynamics.</w:t>
      </w:r>
    </w:p>
    <w:p w14:paraId="10AC8B17" w14:textId="77777777" w:rsidR="004E3F59" w:rsidRPr="000507B8" w:rsidRDefault="2FF67AA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Continuous trading variables are cleaned by removing observations with non-positive prices, volume, or shares outstanding, as well as cases in which the quoted ask does not exceed the bid. To limit the influence of extreme outliers, turnover, volume, spreads, and price-based controls are winsorized at the 1st and 99th percentiles.</w:t>
      </w:r>
    </w:p>
    <w:p w14:paraId="4660A954" w14:textId="77777777" w:rsidR="004E3F59" w:rsidRPr="004E3F59" w:rsidRDefault="004E3F59" w:rsidP="004E3F59">
      <w:pPr>
        <w:spacing w:after="120" w:line="360" w:lineRule="auto"/>
        <w:jc w:val="both"/>
        <w:rPr>
          <w:rFonts w:ascii="Times New Roman" w:eastAsia="Aptos" w:hAnsi="Times New Roman" w:cs="Times New Roman"/>
          <w:sz w:val="22"/>
          <w:szCs w:val="22"/>
        </w:rPr>
      </w:pPr>
      <w:r w:rsidRPr="000507B8">
        <w:rPr>
          <w:rFonts w:ascii="Times New Roman" w:eastAsia="Aptos" w:hAnsi="Times New Roman" w:cs="Times New Roman"/>
          <w:sz w:val="22"/>
          <w:szCs w:val="22"/>
          <w:lang w:val="en-US"/>
        </w:rPr>
        <w:t xml:space="preserve">To construct the SmallSpread indicator used in the heterogeneous analysis, each stock’s average dollar quoted spread is computed over the six-month pre-implementation window corresponding to its activation date. Stocks with an average spread strictly below $0.05 are classified as constrained, consistent with the binding-threshold definition in Albuquerque et al. </w:t>
      </w:r>
      <w:r w:rsidRPr="004E3F59">
        <w:rPr>
          <w:rFonts w:ascii="Times New Roman" w:eastAsia="Aptos" w:hAnsi="Times New Roman" w:cs="Times New Roman"/>
          <w:sz w:val="22"/>
          <w:szCs w:val="22"/>
        </w:rPr>
        <w:t>(2020).</w:t>
      </w:r>
    </w:p>
    <w:p w14:paraId="33EDE717" w14:textId="651518D9" w:rsidR="00B27006" w:rsidRPr="00AD718A" w:rsidRDefault="00F82EFF" w:rsidP="00FC10EB">
      <w:pPr>
        <w:pStyle w:val="Heading1"/>
        <w:numPr>
          <w:ilvl w:val="1"/>
          <w:numId w:val="4"/>
        </w:numPr>
        <w:spacing w:before="0" w:after="160"/>
        <w:rPr>
          <w:sz w:val="24"/>
          <w:szCs w:val="28"/>
        </w:rPr>
      </w:pPr>
      <w:bookmarkStart w:id="13" w:name="_Toc223041017"/>
      <w:r w:rsidRPr="00AD718A">
        <w:rPr>
          <w:sz w:val="24"/>
          <w:szCs w:val="28"/>
        </w:rPr>
        <w:t>Variable Construction</w:t>
      </w:r>
      <w:bookmarkEnd w:id="13"/>
    </w:p>
    <w:p w14:paraId="096DCF2F" w14:textId="71FF0A28"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The primary dependent variable is daily trading activity measured at the stock–day level. Consistent with the microstructure literature, trading activity is captured by share turnover, defined as the ratio of daily share volume (vol) to shares outstanding (shrout). Turnover provides a scale-adjusted measure of trading intensity that facilitates comparability across firms of different sizes. The main outcome variable, </w:t>
      </w:r>
      <m:oMath>
        <m:r>
          <m:rPr>
            <m:sty m:val="p"/>
          </m:rPr>
          <w:rPr>
            <w:rFonts w:ascii="Cambria Math" w:eastAsia="Aptos" w:hAnsi="Cambria Math" w:cs="Times New Roman"/>
            <w:sz w:val="22"/>
            <w:szCs w:val="22"/>
            <w:lang w:val="en-US"/>
          </w:rPr>
          <m:t>ln⁡(</m:t>
        </m:r>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Turnover</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m:t>
        </m:r>
      </m:oMath>
      <w:r w:rsidRPr="5E041609">
        <w:rPr>
          <w:rFonts w:ascii="Times New Roman" w:eastAsia="Aptos" w:hAnsi="Times New Roman" w:cs="Times New Roman"/>
          <w:sz w:val="22"/>
          <w:szCs w:val="22"/>
        </w:rPr>
        <w:t>, is constructed as the natural logarithm of daily turnover after winsorization. Logarithmic transformation reduces skewness and allows estimated coefficients to be interpreted approximately as percentage changes. For descriptive purposes, the logarithm of share volume is also computed, though it is not used in the baseline regressions.</w:t>
      </w:r>
    </w:p>
    <w:p w14:paraId="54B1ED21" w14:textId="3402F336"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Quoted spreads are constructed as the daily difference between the best ask and best bid prices, </w:t>
      </w:r>
      <m:oMath>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Spread</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Ask</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Bid</m:t>
            </m:r>
          </m:e>
          <m:sub>
            <m:r>
              <w:rPr>
                <w:rFonts w:ascii="Cambria Math" w:eastAsia="Aptos" w:hAnsi="Cambria Math" w:cs="Times New Roman"/>
                <w:sz w:val="22"/>
                <w:szCs w:val="22"/>
              </w:rPr>
              <m:t>it</m:t>
            </m:r>
          </m:sub>
        </m:sSub>
      </m:oMath>
      <w:r w:rsidRPr="5E041609">
        <w:rPr>
          <w:rFonts w:ascii="Times New Roman" w:eastAsia="Aptos" w:hAnsi="Times New Roman" w:cs="Times New Roman"/>
          <w:sz w:val="22"/>
          <w:szCs w:val="22"/>
        </w:rPr>
        <w:t>. Observations in which the quoted ask does not exceed the bid are removed to ensure economically meaningful spread values. The spread measure serves two purposes: it underlies the construction of the binding-constraint indicator and provides descriptive evidence on pre-treatment liquidity conditions.</w:t>
      </w:r>
    </w:p>
    <w:p w14:paraId="48E2E786" w14:textId="527E273E"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The key treatment variables correspond to the SEC pilot group assignments. Indicator variables </w:t>
      </w:r>
      <m:oMath>
        <m:r>
          <w:rPr>
            <w:rFonts w:ascii="Cambria Math" w:eastAsia="Aptos" w:hAnsi="Cambria Math" w:cs="Times New Roman"/>
            <w:sz w:val="22"/>
            <w:szCs w:val="22"/>
          </w:rPr>
          <m:t>G</m:t>
        </m:r>
        <m:sSub>
          <m:sSubPr>
            <m:ctrlPr>
              <w:rPr>
                <w:rFonts w:ascii="Cambria Math" w:eastAsia="Aptos" w:hAnsi="Cambria Math" w:cs="Times New Roman"/>
                <w:sz w:val="22"/>
                <w:szCs w:val="22"/>
              </w:rPr>
            </m:ctrlPr>
          </m:sSubPr>
          <m:e>
            <m:r>
              <m:rPr>
                <m:sty m:val="p"/>
              </m:rPr>
              <w:rPr>
                <w:rFonts w:ascii="Cambria Math" w:eastAsia="Aptos" w:hAnsi="Cambria Math" w:cs="Times New Roman"/>
                <w:sz w:val="22"/>
                <w:szCs w:val="22"/>
                <w:lang w:val="en-US"/>
              </w:rPr>
              <m:t>1</m:t>
            </m:r>
          </m:e>
          <m:sub>
            <m:r>
              <w:rPr>
                <w:rFonts w:ascii="Cambria Math" w:eastAsia="Aptos" w:hAnsi="Cambria Math" w:cs="Times New Roman"/>
                <w:sz w:val="22"/>
                <w:szCs w:val="22"/>
              </w:rPr>
              <m:t>i</m:t>
            </m:r>
          </m:sub>
        </m:sSub>
      </m:oMath>
      <w:r w:rsidRPr="5E041609">
        <w:rPr>
          <w:rFonts w:ascii="Times New Roman" w:eastAsia="Aptos" w:hAnsi="Times New Roman" w:cs="Times New Roman"/>
          <w:sz w:val="22"/>
          <w:szCs w:val="22"/>
        </w:rPr>
        <w:t xml:space="preserve">, </w:t>
      </w:r>
      <m:oMath>
        <m:r>
          <w:rPr>
            <w:rFonts w:ascii="Cambria Math" w:eastAsia="Aptos" w:hAnsi="Cambria Math" w:cs="Times New Roman"/>
            <w:sz w:val="22"/>
            <w:szCs w:val="22"/>
          </w:rPr>
          <m:t>G</m:t>
        </m:r>
        <m:sSub>
          <m:sSubPr>
            <m:ctrlPr>
              <w:rPr>
                <w:rFonts w:ascii="Cambria Math" w:eastAsia="Aptos" w:hAnsi="Cambria Math" w:cs="Times New Roman"/>
                <w:sz w:val="22"/>
                <w:szCs w:val="22"/>
              </w:rPr>
            </m:ctrlPr>
          </m:sSubPr>
          <m:e>
            <m:r>
              <m:rPr>
                <m:sty m:val="p"/>
              </m:rPr>
              <w:rPr>
                <w:rFonts w:ascii="Cambria Math" w:eastAsia="Aptos" w:hAnsi="Cambria Math" w:cs="Times New Roman"/>
                <w:sz w:val="22"/>
                <w:szCs w:val="22"/>
                <w:lang w:val="en-US"/>
              </w:rPr>
              <m:t>2</m:t>
            </m:r>
          </m:e>
          <m:sub>
            <m:r>
              <w:rPr>
                <w:rFonts w:ascii="Cambria Math" w:eastAsia="Aptos" w:hAnsi="Cambria Math" w:cs="Times New Roman"/>
                <w:sz w:val="22"/>
                <w:szCs w:val="22"/>
              </w:rPr>
              <m:t>i</m:t>
            </m:r>
          </m:sub>
        </m:sSub>
      </m:oMath>
      <w:r w:rsidRPr="5E041609">
        <w:rPr>
          <w:rFonts w:ascii="Times New Roman" w:eastAsia="Aptos" w:hAnsi="Times New Roman" w:cs="Times New Roman"/>
          <w:sz w:val="22"/>
          <w:szCs w:val="22"/>
        </w:rPr>
        <w:t xml:space="preserve">, and </w:t>
      </w:r>
      <m:oMath>
        <m:r>
          <w:rPr>
            <w:rFonts w:ascii="Cambria Math" w:eastAsia="Aptos" w:hAnsi="Cambria Math" w:cs="Times New Roman"/>
            <w:sz w:val="22"/>
            <w:szCs w:val="22"/>
          </w:rPr>
          <m:t>G</m:t>
        </m:r>
        <m:sSub>
          <m:sSubPr>
            <m:ctrlPr>
              <w:rPr>
                <w:rFonts w:ascii="Cambria Math" w:eastAsia="Aptos" w:hAnsi="Cambria Math" w:cs="Times New Roman"/>
                <w:sz w:val="22"/>
                <w:szCs w:val="22"/>
              </w:rPr>
            </m:ctrlPr>
          </m:sSubPr>
          <m:e>
            <m:r>
              <m:rPr>
                <m:sty m:val="p"/>
              </m:rPr>
              <w:rPr>
                <w:rFonts w:ascii="Cambria Math" w:eastAsia="Aptos" w:hAnsi="Cambria Math" w:cs="Times New Roman"/>
                <w:sz w:val="22"/>
                <w:szCs w:val="22"/>
                <w:lang w:val="en-US"/>
              </w:rPr>
              <m:t>3</m:t>
            </m:r>
          </m:e>
          <m:sub>
            <m:r>
              <w:rPr>
                <w:rFonts w:ascii="Cambria Math" w:eastAsia="Aptos" w:hAnsi="Cambria Math" w:cs="Times New Roman"/>
                <w:sz w:val="22"/>
                <w:szCs w:val="22"/>
              </w:rPr>
              <m:t>i</m:t>
            </m:r>
          </m:sub>
        </m:sSub>
      </m:oMath>
      <w:r w:rsidRPr="5E041609">
        <w:rPr>
          <w:rFonts w:ascii="Times New Roman" w:eastAsia="Aptos" w:hAnsi="Times New Roman" w:cs="Times New Roman"/>
          <w:sz w:val="22"/>
          <w:szCs w:val="22"/>
        </w:rPr>
        <w:t xml:space="preserve">identify stocks assigned to each of the three treatment groups, while control stocks constitute the omitted category. The treatment period indicator, </w:t>
      </w:r>
      <m:oMath>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Post</m:t>
            </m:r>
          </m:e>
          <m:sub>
            <m:r>
              <w:rPr>
                <w:rFonts w:ascii="Cambria Math" w:eastAsia="Aptos" w:hAnsi="Cambria Math" w:cs="Times New Roman"/>
                <w:sz w:val="22"/>
                <w:szCs w:val="22"/>
              </w:rPr>
              <m:t>t</m:t>
            </m:r>
          </m:sub>
        </m:sSub>
      </m:oMath>
      <w:r w:rsidRPr="5E041609">
        <w:rPr>
          <w:rFonts w:ascii="Times New Roman" w:eastAsia="Aptos" w:hAnsi="Times New Roman" w:cs="Times New Roman"/>
          <w:sz w:val="22"/>
          <w:szCs w:val="22"/>
        </w:rPr>
        <w:t>, equals one during the pilot implementation window (October 17, 2016 to September 28, 2018 for Groups 1 and 2; October 31, 2016 to September 28, 2018 for Group 3) and zero otherwise. These indicators generate the difference-in-differences interactions that identify the average treatment effects.</w:t>
      </w:r>
    </w:p>
    <w:p w14:paraId="43D8E608" w14:textId="3FBC6D46"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To capture heterogeneity in exposure to the regulatory change, a pre-treatment binding constraint indicator, </w:t>
      </w:r>
      <m:oMath>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SmallSpread</m:t>
            </m:r>
          </m:e>
          <m:sub>
            <m:r>
              <w:rPr>
                <w:rFonts w:ascii="Cambria Math" w:eastAsia="Aptos" w:hAnsi="Cambria Math" w:cs="Times New Roman"/>
                <w:sz w:val="22"/>
                <w:szCs w:val="22"/>
              </w:rPr>
              <m:t>i</m:t>
            </m:r>
          </m:sub>
        </m:sSub>
      </m:oMath>
      <w:r w:rsidRPr="5E041609">
        <w:rPr>
          <w:rFonts w:ascii="Times New Roman" w:eastAsia="Aptos" w:hAnsi="Times New Roman" w:cs="Times New Roman"/>
          <w:sz w:val="22"/>
          <w:szCs w:val="22"/>
        </w:rPr>
        <w:t>, is constructed. For each stock, the average dollar quoted spread is computed over the six-month pre-implementation window corresponding to its activation date. The firm-level pre-period average is then assigned to all observations for that stock. Stocks whose average pre-treatment spread is strictly below $0.05 are classified as constrained. This classification reflects whether the new $0.05 minimum tick is likely to bind relative to the stock’s prior equilibrium spread.</w:t>
      </w:r>
    </w:p>
    <w:p w14:paraId="72FD9F63" w14:textId="77777777"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A single time-varying control variable is included: the inverse of the daily midpoint price, defined as</w:t>
      </w:r>
    </w:p>
    <w:p w14:paraId="42E43EC9" w14:textId="77777777" w:rsidR="0048166B" w:rsidRPr="000507B8" w:rsidRDefault="00E2103E" w:rsidP="00090DD0">
      <w:pPr>
        <w:spacing w:after="120" w:line="360" w:lineRule="auto"/>
        <w:jc w:val="both"/>
        <w:rPr>
          <w:rFonts w:ascii="Times New Roman" w:eastAsia="Aptos" w:hAnsi="Times New Roman" w:cs="Times New Roman"/>
          <w:sz w:val="22"/>
          <w:szCs w:val="22"/>
          <w:lang w:val="en-US"/>
        </w:rPr>
      </w:pPr>
      <m:oMathPara>
        <m:oMath>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Inv_Price</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m:t>
          </m:r>
          <m:f>
            <m:fPr>
              <m:ctrlPr>
                <w:rPr>
                  <w:rFonts w:ascii="Cambria Math" w:eastAsia="Aptos" w:hAnsi="Cambria Math" w:cs="Times New Roman"/>
                  <w:sz w:val="22"/>
                  <w:szCs w:val="22"/>
                </w:rPr>
              </m:ctrlPr>
            </m:fPr>
            <m:num>
              <m:r>
                <m:rPr>
                  <m:sty m:val="p"/>
                </m:rPr>
                <w:rPr>
                  <w:rFonts w:ascii="Cambria Math" w:eastAsia="Aptos" w:hAnsi="Cambria Math" w:cs="Times New Roman"/>
                  <w:sz w:val="22"/>
                  <w:szCs w:val="22"/>
                  <w:lang w:val="en-US"/>
                </w:rPr>
                <m:t>1</m:t>
              </m:r>
            </m:num>
            <m:den>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Ask</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m:t>
              </m:r>
              <m:sSub>
                <m:sSubPr>
                  <m:ctrlPr>
                    <w:rPr>
                      <w:rFonts w:ascii="Cambria Math" w:eastAsia="Aptos" w:hAnsi="Cambria Math" w:cs="Times New Roman"/>
                      <w:sz w:val="22"/>
                      <w:szCs w:val="22"/>
                    </w:rPr>
                  </m:ctrlPr>
                </m:sSubPr>
                <m:e>
                  <m:r>
                    <m:rPr>
                      <m:nor/>
                    </m:rPr>
                    <w:rPr>
                      <w:rFonts w:ascii="Times New Roman" w:eastAsia="Aptos" w:hAnsi="Times New Roman" w:cs="Times New Roman"/>
                      <w:sz w:val="22"/>
                      <w:szCs w:val="22"/>
                      <w:lang w:val="en-US"/>
                    </w:rPr>
                    <m:t>Bid</m:t>
                  </m:r>
                </m:e>
                <m:sub>
                  <m:r>
                    <w:rPr>
                      <w:rFonts w:ascii="Cambria Math" w:eastAsia="Aptos" w:hAnsi="Cambria Math" w:cs="Times New Roman"/>
                      <w:sz w:val="22"/>
                      <w:szCs w:val="22"/>
                    </w:rPr>
                    <m:t>it</m:t>
                  </m:r>
                </m:sub>
              </m:sSub>
              <m:r>
                <m:rPr>
                  <m:sty m:val="p"/>
                </m:rPr>
                <w:rPr>
                  <w:rFonts w:ascii="Cambria Math" w:eastAsia="Aptos" w:hAnsi="Cambria Math" w:cs="Times New Roman"/>
                  <w:sz w:val="22"/>
                  <w:szCs w:val="22"/>
                  <w:lang w:val="en-US"/>
                </w:rPr>
                <m:t>)/2</m:t>
              </m:r>
            </m:den>
          </m:f>
          <m:r>
            <m:rPr>
              <m:sty m:val="p"/>
            </m:rPr>
            <w:rPr>
              <w:rFonts w:ascii="Cambria Math" w:eastAsia="Aptos" w:hAnsi="Cambria Math" w:cs="Times New Roman"/>
              <w:sz w:val="22"/>
              <w:szCs w:val="22"/>
              <w:lang w:val="en-US"/>
            </w:rPr>
            <m:t>.</m:t>
          </m:r>
        </m:oMath>
      </m:oMathPara>
    </w:p>
    <w:p w14:paraId="06D89B0B" w14:textId="60B60B81" w:rsidR="00090DD0" w:rsidRPr="000507B8" w:rsidRDefault="00090DD0" w:rsidP="00090DD0">
      <w:pPr>
        <w:spacing w:after="120" w:line="360" w:lineRule="auto"/>
        <w:jc w:val="both"/>
        <w:rPr>
          <w:rFonts w:ascii="Times New Roman" w:eastAsia="Aptos" w:hAnsi="Times New Roman" w:cs="Times New Roman"/>
          <w:sz w:val="2"/>
          <w:szCs w:val="2"/>
          <w:lang w:val="en-US"/>
        </w:rPr>
      </w:pPr>
    </w:p>
    <w:p w14:paraId="3EC0B50F" w14:textId="77777777"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This variable captures the mechanical relationship between the price level and the proportional size of the minimum tick increment, as lower-priced stocks face a larger relative spread floor. Including this control ensures that estimated treatment effects are not driven by contemporaneous price-level variation.</w:t>
      </w:r>
    </w:p>
    <w:p w14:paraId="01EEE5E8" w14:textId="77777777" w:rsidR="00090DD0" w:rsidRPr="000507B8" w:rsidRDefault="7452D7FB"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To mitigate the influence of extreme observations, turnover, share volume, spreads, and the inverse price variable are winsorized at the 1st and 99th percentiles prior to logarithmic transformation. This procedure limits the impact of outliers without discarding economically meaningful variation.</w:t>
      </w:r>
    </w:p>
    <w:p w14:paraId="2AD2A8B3" w14:textId="75B90D96" w:rsidR="00C57C02" w:rsidRDefault="00FD0429" w:rsidP="00FC10EB">
      <w:pPr>
        <w:pStyle w:val="Heading1"/>
        <w:numPr>
          <w:ilvl w:val="1"/>
          <w:numId w:val="4"/>
        </w:numPr>
        <w:spacing w:before="0" w:after="160"/>
        <w:rPr>
          <w:sz w:val="24"/>
          <w:szCs w:val="28"/>
        </w:rPr>
      </w:pPr>
      <w:bookmarkStart w:id="14" w:name="_Toc223041018"/>
      <w:r>
        <w:rPr>
          <w:sz w:val="24"/>
          <w:szCs w:val="28"/>
        </w:rPr>
        <w:t>Summary Statistics</w:t>
      </w:r>
      <w:bookmarkEnd w:id="14"/>
    </w:p>
    <w:p w14:paraId="405EE56F" w14:textId="3F5C3512" w:rsidR="00D32E28" w:rsidRPr="000507B8" w:rsidRDefault="00D32E2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Table 1 reports summary statistics for the control group and the three pilot treatment groups during the pre-implementation period, defined as March 1 to August 31, 2016. Restricting the sample to the pre-treatment window ensures that the statistics reflect baseline characteristics prior to the regulatory intervention and are not mechanically influenced by the tick size increase.</w:t>
      </w:r>
    </w:p>
    <w:p w14:paraId="4B2E25A2" w14:textId="529AE801" w:rsidR="00D32E28" w:rsidRPr="000507B8" w:rsidRDefault="00D32E2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Across all four groups, trading activity is economically comparable before the pilot's implementation. Mean log turnover ranges from 2.023 in Group 3 to 2.060 in Group 1, with the control group exhibiting a mean of 2.005. Differences across groups amount to less than 0.06 log-points, suggesting no systematic pre-treatment divergence in baseline trading intensity between treated and control stocks.</w:t>
      </w:r>
      <w:r w:rsidR="00BE3637"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556DF9"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556DF9"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556DF9"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556DF9"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72487E"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03423A9"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p>
    <w:p w14:paraId="4466A313" w14:textId="7EB33FD7" w:rsidR="00D32E28" w:rsidRPr="000507B8" w:rsidRDefault="00D32E2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Quoted spread measures display the same pattern of comparability. The average daily quoted spread equals $0.0840 in the control group, compared with $0.0789 in Group 1, $0.0793 in Group 2, and $0.0783 in Group 3. Firm-level pre-treatment average spreads are similarly aligned: $0.0818 in the control group versus $0.0770, $0.0792, and $0.0752 in Groups 1, 2, and 3, respectively. Differences across groups are below one-quarter of a cent in all cases. The narrow dispersion in both contemporaneous and historical spread measures is consistent with the SEC’s stratified random assignment procedure and supports the assumption that treatment status is exogenous to prior liquidity conditions.</w:t>
      </w:r>
      <w:r w:rsidR="2F7416A1"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2F7416A1"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2F7416A1"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483120D"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0483120D"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p>
    <w:p w14:paraId="5BCB947B" w14:textId="5AE07846" w:rsidR="00D32E28" w:rsidRPr="000507B8" w:rsidRDefault="00D32E2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The proportion of stocks classified as constrained (SmallSpread) is remarkably similar across groups. Approximately 72 to 74 percent of stocks in each group exhibit pre-treatment average spreads below the $0.05 threshold: 73.8 percent in the control group, 72.4 percent in Group 1, 73.4 percent in Group 2, and 74.0 percent in Group 3. This balance is particularly important for the heterogeneous analysis, as it indicates that the distribution of binding constraints is not systematically correlated with treatment assignment.</w:t>
      </w:r>
      <w:r w:rsidR="6961233B"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r w:rsidR="19F4CD11" w:rsidRPr="5E041609">
        <w:rPr>
          <w:rFonts w:ascii="Times New Roman" w:eastAsia="Aptos" w:hAnsi="Times New Roman" w:cs="Times New Roman"/>
          <w:sz w:val="22"/>
          <w:szCs w:val="22"/>
        </w:rPr>
      </w:r>
      <w:r w:rsidRPr="5E041609">
        <w:rPr>
          <w:rFonts w:ascii="Times New Roman" w:eastAsia="Aptos" w:hAnsi="Times New Roman" w:cs="Times New Roman"/>
          <w:sz w:val="22"/>
          <w:szCs w:val="22"/>
        </w:rPr>
      </w:r>
    </w:p>
    <w:p w14:paraId="6E6766FD" w14:textId="77777777" w:rsidR="003E01FB" w:rsidRPr="000507B8" w:rsidRDefault="00D32E28"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 xml:space="preserve">Overall, the pre-treatment statistics reveal no economically meaningful baseline imbalances across control and treatment groups. The similarity in trading activity, spreads, and constraint classification prior to implementation strengthens the credibility of the difference-in-differences design and supports the parallel trends assumption underlying the empirical strategy. </w:t>
      </w:r>
    </w:p>
    <w:p w14:paraId="0D6668C6" w14:textId="77777777" w:rsidR="003E01FB" w:rsidRPr="003E01FB" w:rsidRDefault="003E01FB" w:rsidP="003E01FB">
      <w:pPr>
        <w:spacing w:after="120" w:line="360" w:lineRule="auto"/>
        <w:jc w:val="both"/>
        <w:rPr>
          <w:rFonts w:ascii="Times New Roman" w:eastAsia="Aptos" w:hAnsi="Times New Roman" w:cs="Times New Roman"/>
          <w:b/>
          <w:bCs/>
          <w:sz w:val="22"/>
          <w:szCs w:val="22"/>
          <w:lang w:val="en-US"/>
        </w:rPr>
      </w:pPr>
      <w:r w:rsidRPr="003E01FB">
        <w:rPr>
          <w:rFonts w:ascii="Times New Roman" w:eastAsia="Aptos" w:hAnsi="Times New Roman" w:cs="Times New Roman"/>
          <w:b/>
          <w:bCs/>
          <w:sz w:val="22"/>
          <w:szCs w:val="22"/>
          <w:lang w:val="en-US"/>
        </w:rPr>
        <w:t>Table 1 — Pre-Treatment Summary Statistics</w:t>
      </w:r>
    </w:p>
    <w:p w14:paraId="5BD10EAA" w14:textId="77777777" w:rsidR="003E01FB" w:rsidRDefault="003E01FB" w:rsidP="003E01FB">
      <w:pPr>
        <w:spacing w:after="120" w:line="360" w:lineRule="auto"/>
        <w:jc w:val="both"/>
        <w:rPr>
          <w:rFonts w:ascii="Times New Roman" w:eastAsia="Aptos" w:hAnsi="Times New Roman" w:cs="Times New Roman"/>
          <w:sz w:val="22"/>
          <w:szCs w:val="22"/>
          <w:lang w:val="en-US"/>
        </w:rPr>
      </w:pPr>
      <w:r w:rsidRPr="003E01FB">
        <w:rPr>
          <w:rFonts w:ascii="Times New Roman" w:eastAsia="Aptos" w:hAnsi="Times New Roman" w:cs="Times New Roman"/>
          <w:i/>
          <w:iCs/>
          <w:sz w:val="22"/>
          <w:szCs w:val="22"/>
          <w:lang w:val="en-US"/>
        </w:rPr>
        <w:t>Pre-Treatment Window: March 1 – August 31, 2016</w:t>
      </w:r>
    </w:p>
    <w:p w14:paraId="2D1BF2E5" w14:textId="40A62978" w:rsidR="003E01FB" w:rsidRDefault="00065A1B" w:rsidP="00825B5D">
      <w:pPr>
        <w:spacing w:after="120" w:line="360" w:lineRule="auto"/>
        <w:jc w:val="both"/>
        <w:rPr>
          <w:rFonts w:ascii="Times New Roman" w:eastAsia="Aptos" w:hAnsi="Times New Roman" w:cs="Times New Roman"/>
          <w:b/>
          <w:bCs/>
          <w:sz w:val="22"/>
          <w:szCs w:val="22"/>
          <w:lang w:val="en-US"/>
        </w:rPr>
      </w:pPr>
      <w:r>
        <w:rPr>
          <w:noProof/>
        </w:rPr>
        <w:t>Panel A: Control Group  (N = 138,512)</w:t>
      </w:r>
      <w:r w:rsidR="003E01FB" w:rsidRPr="003E01FB">
        <w:rPr>
          <w:rFonts w:ascii="Times New Roman" w:eastAsia="Aptos" w:hAnsi="Times New Roman" w:cs="Times New Roman"/>
          <w:b/>
          <w:bCs/>
          <w:sz w:val="22"/>
          <w:szCs w:val="22"/>
          <w:lang w:val="en-US"/>
        </w:rPr>
      </w:r>
    </w:p>
    <w:tbl>
      <w:tblPr>
        <w:tblW w:w="0" w:type="auto"/>
        <w:tblBorders>
          <w:top w:val="single" w:sz="12" w:space="0" w:color="auto"/>
          <w:left w:val="none" w:sz="0" w:space="0" w:color="auto"/>
          <w:bottom w:val="single" w:sz="12" w:space="0" w:color="auto"/>
          <w:right w:val="none" w:sz="0" w:space="0" w:color="auto"/>
          <w:insideH w:val="single" w:sz="4" w:space="0" w:color="auto"/>
          <w:insideV w:val="none" w:sz="0" w:space="0" w:color="auto"/>
        </w:tblBorders>
      </w:tblPr>
      <w:tblGrid>
        <w:gridCol w:w="3240"/>
        <w:gridCol w:w="1350"/>
        <w:gridCol w:w="1350"/>
        <w:gridCol w:w="1350"/>
        <w:gridCol w:w="1350"/>
      </w:tblGrid>
      <w:tr>
        <w:tc>
          <w:tcPr>
            <w:tcW w:w="3240" w:type="dxa"/>
          </w:tcPr>
          <w:p>
            <w:pPr>
              <w:jc w:val="left"/>
              <w:rPr>
                <w:sz w:val="20"/>
                <w:szCs w:val="20"/>
              </w:rPr>
            </w:pPr>
            <w:r>
              <w:rPr>
                <w:sz w:val="20"/>
                <w:szCs w:val="20"/>
                <w:b/>
              </w:rPr>
              <w:t xml:space="preserve">Variable</w:t>
            </w:r>
          </w:p>
        </w:tc>
        <w:tc>
          <w:tcPr>
            <w:tcW w:w="1350" w:type="dxa"/>
          </w:tcPr>
          <w:p>
            <w:pPr>
              <w:jc w:val="right"/>
              <w:rPr>
                <w:sz w:val="20"/>
                <w:szCs w:val="20"/>
              </w:rPr>
            </w:pPr>
            <w:r>
              <w:rPr>
                <w:sz w:val="20"/>
                <w:szCs w:val="20"/>
                <w:b/>
              </w:rPr>
              <w:t xml:space="preserve">Mean</w:t>
            </w:r>
          </w:p>
        </w:tc>
        <w:tc>
          <w:tcPr>
            <w:tcW w:w="1350" w:type="dxa"/>
          </w:tcPr>
          <w:p>
            <w:pPr>
              <w:jc w:val="right"/>
              <w:rPr>
                <w:sz w:val="20"/>
                <w:szCs w:val="20"/>
              </w:rPr>
            </w:pPr>
            <w:r>
              <w:rPr>
                <w:sz w:val="20"/>
                <w:szCs w:val="20"/>
                <w:b/>
              </w:rPr>
              <w:t xml:space="preserve">Std. Dev.</w:t>
            </w:r>
          </w:p>
        </w:tc>
        <w:tc>
          <w:tcPr>
            <w:tcW w:w="1350" w:type="dxa"/>
          </w:tcPr>
          <w:p>
            <w:pPr>
              <w:jc w:val="right"/>
              <w:rPr>
                <w:sz w:val="20"/>
                <w:szCs w:val="20"/>
              </w:rPr>
            </w:pPr>
            <w:r>
              <w:rPr>
                <w:sz w:val="20"/>
                <w:szCs w:val="20"/>
                <w:b/>
              </w:rPr>
              <w:t xml:space="preserve">Min</w:t>
            </w:r>
          </w:p>
        </w:tc>
        <w:tc>
          <w:tcPr>
            <w:tcW w:w="1350" w:type="dxa"/>
          </w:tcPr>
          <w:p>
            <w:pPr>
              <w:jc w:val="right"/>
              <w:rPr>
                <w:sz w:val="20"/>
                <w:szCs w:val="20"/>
              </w:rPr>
            </w:pPr>
            <w:r>
              <w:rPr>
                <w:sz w:val="20"/>
                <w:szCs w:val="20"/>
                <w:b/>
              </w:rPr>
              <w:t xml:space="preserve">Max</w:t>
            </w:r>
          </w:p>
        </w:tc>
      </w:tr>
      <w:tr>
        <w:tc>
          <w:tcPr>
            <w:tcW w:w="3240" w:type="dxa"/>
          </w:tcPr>
          <w:p>
            <w:pPr>
              <w:jc w:val="left"/>
              <w:rPr>
                <w:sz w:val="20"/>
                <w:szCs w:val="20"/>
              </w:rPr>
            </w:pPr>
            <w:r>
              <w:rPr>
                <w:sz w:val="20"/>
                <w:szCs w:val="20"/>
              </w:rPr>
              <w:t xml:space="preserve">Log Turnover</w:t>
            </w:r>
          </w:p>
        </w:tc>
        <w:tc>
          <w:tcPr>
            <w:tcW w:w="1350" w:type="dxa"/>
          </w:tcPr>
          <w:p>
            <w:pPr>
              <w:jc w:val="right"/>
              <w:rPr>
                <w:sz w:val="20"/>
                <w:szCs w:val="20"/>
              </w:rPr>
            </w:pPr>
            <w:r>
              <w:rPr>
                <w:sz w:val="20"/>
                <w:szCs w:val="20"/>
              </w:rPr>
              <w:t xml:space="preserve">2.0049</w:t>
            </w:r>
          </w:p>
        </w:tc>
        <w:tc>
          <w:tcPr>
            <w:tcW w:w="1350" w:type="dxa"/>
          </w:tcPr>
          <w:p>
            <w:pPr>
              <w:jc w:val="right"/>
              <w:rPr>
                <w:sz w:val="20"/>
                <w:szCs w:val="20"/>
              </w:rPr>
            </w:pPr>
            <w:r>
              <w:rPr>
                <w:sz w:val="20"/>
                <w:szCs w:val="20"/>
              </w:rPr>
              <w:t xml:space="preserve">2.4347</w:t>
            </w:r>
          </w:p>
        </w:tc>
        <w:tc>
          <w:tcPr>
            <w:tcW w:w="1350" w:type="dxa"/>
          </w:tcPr>
          <w:p>
            <w:pPr>
              <w:jc w:val="right"/>
              <w:rPr>
                <w:sz w:val="20"/>
                <w:szCs w:val="20"/>
              </w:rPr>
            </w:pPr>
            <w:r>
              <w:rPr>
                <w:sz w:val="20"/>
                <w:szCs w:val="20"/>
              </w:rPr>
              <w:t xml:space="preserve">−3.9114</w:t>
            </w:r>
          </w:p>
        </w:tc>
        <w:tc>
          <w:tcPr>
            <w:tcW w:w="1350" w:type="dxa"/>
          </w:tcPr>
          <w:p>
            <w:pPr>
              <w:jc w:val="right"/>
              <w:rPr>
                <w:sz w:val="20"/>
                <w:szCs w:val="20"/>
              </w:rPr>
            </w:pPr>
            <w:r>
              <w:rPr>
                <w:sz w:val="20"/>
                <w:szCs w:val="20"/>
              </w:rPr>
              <w:t xml:space="preserve">4.7646</w:t>
            </w:r>
          </w:p>
        </w:tc>
      </w:tr>
      <w:tr>
        <w:tc>
          <w:tcPr>
            <w:tcW w:w="3240" w:type="dxa"/>
          </w:tcPr>
          <w:p>
            <w:pPr>
              <w:jc w:val="left"/>
              <w:rPr>
                <w:sz w:val="20"/>
                <w:szCs w:val="20"/>
              </w:rPr>
            </w:pPr>
            <w:r>
              <w:rPr>
                <w:sz w:val="20"/>
                <w:szCs w:val="20"/>
              </w:rPr>
              <w:t xml:space="preserve">Inverse Price</w:t>
            </w:r>
          </w:p>
        </w:tc>
        <w:tc>
          <w:tcPr>
            <w:tcW w:w="1350" w:type="dxa"/>
          </w:tcPr>
          <w:p>
            <w:pPr>
              <w:jc w:val="right"/>
              <w:rPr>
                <w:sz w:val="20"/>
                <w:szCs w:val="20"/>
              </w:rPr>
            </w:pPr>
            <w:r>
              <w:rPr>
                <w:sz w:val="20"/>
                <w:szCs w:val="20"/>
              </w:rPr>
              <w:t xml:space="preserve">0.0902</w:t>
            </w:r>
          </w:p>
        </w:tc>
        <w:tc>
          <w:tcPr>
            <w:tcW w:w="1350" w:type="dxa"/>
          </w:tcPr>
          <w:p>
            <w:pPr>
              <w:jc w:val="right"/>
              <w:rPr>
                <w:sz w:val="20"/>
                <w:szCs w:val="20"/>
              </w:rPr>
            </w:pPr>
            <w:r>
              <w:rPr>
                <w:sz w:val="20"/>
                <w:szCs w:val="20"/>
              </w:rPr>
              <w:t xml:space="preserve">0.0815</w:t>
            </w:r>
          </w:p>
        </w:tc>
        <w:tc>
          <w:tcPr>
            <w:tcW w:w="1350" w:type="dxa"/>
          </w:tcPr>
          <w:p>
            <w:pPr>
              <w:jc w:val="right"/>
              <w:rPr>
                <w:sz w:val="20"/>
                <w:szCs w:val="20"/>
              </w:rPr>
            </w:pPr>
            <w:r>
              <w:rPr>
                <w:sz w:val="20"/>
                <w:szCs w:val="20"/>
              </w:rPr>
              <w:t xml:space="preserve">0.0065</w:t>
            </w:r>
          </w:p>
        </w:tc>
        <w:tc>
          <w:tcPr>
            <w:tcW w:w="1350" w:type="dxa"/>
          </w:tcPr>
          <w:p>
            <w:pPr>
              <w:jc w:val="right"/>
              <w:rPr>
                <w:sz w:val="20"/>
                <w:szCs w:val="20"/>
              </w:rPr>
            </w:pPr>
            <w:r>
              <w:rPr>
                <w:sz w:val="20"/>
                <w:szCs w:val="20"/>
              </w:rPr>
              <w:t xml:space="preserve">0.4211</w:t>
            </w:r>
          </w:p>
        </w:tc>
      </w:tr>
      <w:tr>
        <w:tc>
          <w:tcPr>
            <w:tcW w:w="3240" w:type="dxa"/>
          </w:tcPr>
          <w:p>
            <w:pPr>
              <w:jc w:val="left"/>
              <w:rPr>
                <w:sz w:val="20"/>
                <w:szCs w:val="20"/>
              </w:rPr>
            </w:pPr>
            <w:r>
              <w:rPr>
                <w:sz w:val="20"/>
                <w:szCs w:val="20"/>
              </w:rPr>
              <w:t xml:space="preserve">Quoted Spread ($)</w:t>
            </w:r>
          </w:p>
        </w:tc>
        <w:tc>
          <w:tcPr>
            <w:tcW w:w="1350" w:type="dxa"/>
          </w:tcPr>
          <w:p>
            <w:pPr>
              <w:jc w:val="right"/>
              <w:rPr>
                <w:sz w:val="20"/>
                <w:szCs w:val="20"/>
              </w:rPr>
            </w:pPr>
            <w:r>
              <w:rPr>
                <w:sz w:val="20"/>
                <w:szCs w:val="20"/>
              </w:rPr>
              <w:t xml:space="preserve">0.0840</w:t>
            </w:r>
          </w:p>
        </w:tc>
        <w:tc>
          <w:tcPr>
            <w:tcW w:w="1350" w:type="dxa"/>
          </w:tcPr>
          <w:p>
            <w:pPr>
              <w:jc w:val="right"/>
              <w:rPr>
                <w:sz w:val="20"/>
                <w:szCs w:val="20"/>
              </w:rPr>
            </w:pPr>
            <w:r>
              <w:rPr>
                <w:sz w:val="20"/>
                <w:szCs w:val="20"/>
              </w:rPr>
              <w:t xml:space="preserve">0.2166</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2.6700</w:t>
            </w:r>
          </w:p>
        </w:tc>
      </w:tr>
      <w:tr>
        <w:tc>
          <w:tcPr>
            <w:tcW w:w="3240" w:type="dxa"/>
          </w:tcPr>
          <w:p>
            <w:pPr>
              <w:jc w:val="left"/>
              <w:rPr>
                <w:sz w:val="20"/>
                <w:szCs w:val="20"/>
              </w:rPr>
            </w:pPr>
            <w:r>
              <w:rPr>
                <w:sz w:val="20"/>
                <w:szCs w:val="20"/>
              </w:rPr>
              <w:t xml:space="preserve">Avg Pre-Treatment Spread ($)</w:t>
            </w:r>
          </w:p>
        </w:tc>
        <w:tc>
          <w:tcPr>
            <w:tcW w:w="1350" w:type="dxa"/>
          </w:tcPr>
          <w:p>
            <w:pPr>
              <w:jc w:val="right"/>
              <w:rPr>
                <w:sz w:val="20"/>
                <w:szCs w:val="20"/>
              </w:rPr>
            </w:pPr>
            <w:r>
              <w:rPr>
                <w:sz w:val="20"/>
                <w:szCs w:val="20"/>
              </w:rPr>
              <w:t xml:space="preserve">0.0818</w:t>
            </w:r>
          </w:p>
        </w:tc>
        <w:tc>
          <w:tcPr>
            <w:tcW w:w="1350" w:type="dxa"/>
          </w:tcPr>
          <w:p>
            <w:pPr>
              <w:jc w:val="right"/>
              <w:rPr>
                <w:sz w:val="20"/>
                <w:szCs w:val="20"/>
              </w:rPr>
            </w:pPr>
            <w:r>
              <w:rPr>
                <w:sz w:val="20"/>
                <w:szCs w:val="20"/>
              </w:rPr>
              <w:t xml:space="preserve">0.1880</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2.6566</w:t>
            </w:r>
          </w:p>
        </w:tc>
      </w:tr>
      <w:tr>
        <w:tc>
          <w:tcPr>
            <w:tcW w:w="3240" w:type="dxa"/>
          </w:tcPr>
          <w:p>
            <w:pPr>
              <w:jc w:val="left"/>
              <w:rPr>
                <w:sz w:val="20"/>
                <w:szCs w:val="20"/>
              </w:rPr>
            </w:pPr>
            <w:r>
              <w:rPr>
                <w:sz w:val="20"/>
                <w:szCs w:val="20"/>
              </w:rPr>
              <w:t xml:space="preserve">Small Spread (&lt; $0.05)</w:t>
            </w:r>
          </w:p>
        </w:tc>
        <w:tc>
          <w:tcPr>
            <w:tcW w:w="1350" w:type="dxa"/>
          </w:tcPr>
          <w:p>
            <w:pPr>
              <w:jc w:val="right"/>
              <w:rPr>
                <w:sz w:val="20"/>
                <w:szCs w:val="20"/>
              </w:rPr>
            </w:pPr>
            <w:r>
              <w:rPr>
                <w:sz w:val="20"/>
                <w:szCs w:val="20"/>
              </w:rPr>
              <w:t xml:space="preserve">0.7380</w:t>
            </w:r>
          </w:p>
        </w:tc>
        <w:tc>
          <w:tcPr>
            <w:tcW w:w="1350" w:type="dxa"/>
          </w:tcPr>
          <w:p>
            <w:pPr>
              <w:jc w:val="right"/>
              <w:rPr>
                <w:sz w:val="20"/>
                <w:szCs w:val="20"/>
              </w:rPr>
            </w:pPr>
            <w:r>
              <w:rPr>
                <w:sz w:val="20"/>
                <w:szCs w:val="20"/>
              </w:rPr>
              <w:t xml:space="preserve">0.4397</w:t>
            </w:r>
          </w:p>
        </w:tc>
        <w:tc>
          <w:tcPr>
            <w:tcW w:w="1350" w:type="dxa"/>
          </w:tcPr>
          <w:p>
            <w:pPr>
              <w:jc w:val="right"/>
              <w:rPr>
                <w:sz w:val="20"/>
                <w:szCs w:val="20"/>
              </w:rPr>
            </w:pPr>
            <w:r>
              <w:rPr>
                <w:sz w:val="20"/>
                <w:szCs w:val="20"/>
              </w:rPr>
              <w:t xml:space="preserve">0.0000</w:t>
            </w:r>
          </w:p>
        </w:tc>
        <w:tc>
          <w:tcPr>
            <w:tcW w:w="1350" w:type="dxa"/>
          </w:tcPr>
          <w:p>
            <w:pPr>
              <w:jc w:val="right"/>
              <w:rPr>
                <w:sz w:val="20"/>
                <w:szCs w:val="20"/>
              </w:rPr>
            </w:pPr>
            <w:r>
              <w:rPr>
                <w:sz w:val="20"/>
                <w:szCs w:val="20"/>
              </w:rPr>
              <w:t xml:space="preserve">1.0000</w:t>
            </w:r>
          </w:p>
        </w:tc>
      </w:tr>
    </w:tbl>
    <w:p w14:paraId="65FCFD7B" w14:textId="2AE2F324" w:rsidR="003E01FB" w:rsidRDefault="00241761" w:rsidP="00825B5D">
      <w:pPr>
        <w:spacing w:after="120" w:line="360" w:lineRule="auto"/>
        <w:jc w:val="both"/>
        <w:rPr>
          <w:rFonts w:ascii="Times New Roman" w:eastAsia="Aptos" w:hAnsi="Times New Roman" w:cs="Times New Roman"/>
          <w:b/>
          <w:bCs/>
          <w:sz w:val="22"/>
          <w:szCs w:val="22"/>
          <w:lang w:val="en-US"/>
        </w:rPr>
      </w:pPr>
      <w:r>
        <w:rPr>
          <w:noProof/>
        </w:rPr>
        <w:t>Panel B: Pilot Group 1  (N = 46,694)</w:t>
      </w:r>
      <w:r w:rsidR="003E01FB" w:rsidRPr="003E01FB">
        <w:rPr>
          <w:rFonts w:ascii="Times New Roman" w:eastAsia="Aptos" w:hAnsi="Times New Roman" w:cs="Times New Roman"/>
          <w:b/>
          <w:bCs/>
          <w:sz w:val="22"/>
          <w:szCs w:val="22"/>
          <w:lang w:val="en-US"/>
        </w:rPr>
      </w:r>
    </w:p>
    <w:tbl>
      <w:tblPr>
        <w:tblW w:w="0" w:type="auto"/>
        <w:tblBorders>
          <w:top w:val="single" w:sz="12" w:space="0" w:color="auto"/>
          <w:left w:val="none" w:sz="0" w:space="0" w:color="auto"/>
          <w:bottom w:val="single" w:sz="12" w:space="0" w:color="auto"/>
          <w:right w:val="none" w:sz="0" w:space="0" w:color="auto"/>
          <w:insideH w:val="single" w:sz="4" w:space="0" w:color="auto"/>
          <w:insideV w:val="none" w:sz="0" w:space="0" w:color="auto"/>
        </w:tblBorders>
      </w:tblPr>
      <w:tblGrid>
        <w:gridCol w:w="3240"/>
        <w:gridCol w:w="1350"/>
        <w:gridCol w:w="1350"/>
        <w:gridCol w:w="1350"/>
        <w:gridCol w:w="1350"/>
      </w:tblGrid>
      <w:tr>
        <w:tc>
          <w:tcPr>
            <w:tcW w:w="3240" w:type="dxa"/>
          </w:tcPr>
          <w:p>
            <w:pPr>
              <w:jc w:val="left"/>
              <w:rPr>
                <w:sz w:val="20"/>
                <w:szCs w:val="20"/>
              </w:rPr>
            </w:pPr>
            <w:r>
              <w:rPr>
                <w:sz w:val="20"/>
                <w:szCs w:val="20"/>
                <w:b/>
              </w:rPr>
              <w:t xml:space="preserve">Variable</w:t>
            </w:r>
          </w:p>
        </w:tc>
        <w:tc>
          <w:tcPr>
            <w:tcW w:w="1350" w:type="dxa"/>
          </w:tcPr>
          <w:p>
            <w:pPr>
              <w:jc w:val="right"/>
              <w:rPr>
                <w:sz w:val="20"/>
                <w:szCs w:val="20"/>
              </w:rPr>
            </w:pPr>
            <w:r>
              <w:rPr>
                <w:sz w:val="20"/>
                <w:szCs w:val="20"/>
                <w:b/>
              </w:rPr>
              <w:t xml:space="preserve">Mean</w:t>
            </w:r>
          </w:p>
        </w:tc>
        <w:tc>
          <w:tcPr>
            <w:tcW w:w="1350" w:type="dxa"/>
          </w:tcPr>
          <w:p>
            <w:pPr>
              <w:jc w:val="right"/>
              <w:rPr>
                <w:sz w:val="20"/>
                <w:szCs w:val="20"/>
              </w:rPr>
            </w:pPr>
            <w:r>
              <w:rPr>
                <w:sz w:val="20"/>
                <w:szCs w:val="20"/>
                <w:b/>
              </w:rPr>
              <w:t xml:space="preserve">Std. Dev.</w:t>
            </w:r>
          </w:p>
        </w:tc>
        <w:tc>
          <w:tcPr>
            <w:tcW w:w="1350" w:type="dxa"/>
          </w:tcPr>
          <w:p>
            <w:pPr>
              <w:jc w:val="right"/>
              <w:rPr>
                <w:sz w:val="20"/>
                <w:szCs w:val="20"/>
              </w:rPr>
            </w:pPr>
            <w:r>
              <w:rPr>
                <w:sz w:val="20"/>
                <w:szCs w:val="20"/>
                <w:b/>
              </w:rPr>
              <w:t xml:space="preserve">Min</w:t>
            </w:r>
          </w:p>
        </w:tc>
        <w:tc>
          <w:tcPr>
            <w:tcW w:w="1350" w:type="dxa"/>
          </w:tcPr>
          <w:p>
            <w:pPr>
              <w:jc w:val="right"/>
              <w:rPr>
                <w:sz w:val="20"/>
                <w:szCs w:val="20"/>
              </w:rPr>
            </w:pPr>
            <w:r>
              <w:rPr>
                <w:sz w:val="20"/>
                <w:szCs w:val="20"/>
                <w:b/>
              </w:rPr>
              <w:t xml:space="preserve">Max</w:t>
            </w:r>
          </w:p>
        </w:tc>
      </w:tr>
      <w:tr>
        <w:tc>
          <w:tcPr>
            <w:tcW w:w="3240" w:type="dxa"/>
          </w:tcPr>
          <w:p>
            <w:pPr>
              <w:jc w:val="left"/>
              <w:rPr>
                <w:sz w:val="20"/>
                <w:szCs w:val="20"/>
              </w:rPr>
            </w:pPr>
            <w:r>
              <w:rPr>
                <w:sz w:val="20"/>
                <w:szCs w:val="20"/>
              </w:rPr>
              <w:t xml:space="preserve">Log Turnover</w:t>
            </w:r>
          </w:p>
        </w:tc>
        <w:tc>
          <w:tcPr>
            <w:tcW w:w="1350" w:type="dxa"/>
          </w:tcPr>
          <w:p>
            <w:pPr>
              <w:jc w:val="right"/>
              <w:rPr>
                <w:sz w:val="20"/>
                <w:szCs w:val="20"/>
              </w:rPr>
            </w:pPr>
            <w:r>
              <w:rPr>
                <w:sz w:val="20"/>
                <w:szCs w:val="20"/>
              </w:rPr>
              <w:t xml:space="preserve">2.0596</w:t>
            </w:r>
          </w:p>
        </w:tc>
        <w:tc>
          <w:tcPr>
            <w:tcW w:w="1350" w:type="dxa"/>
          </w:tcPr>
          <w:p>
            <w:pPr>
              <w:jc w:val="right"/>
              <w:rPr>
                <w:sz w:val="20"/>
                <w:szCs w:val="20"/>
              </w:rPr>
            </w:pPr>
            <w:r>
              <w:rPr>
                <w:sz w:val="20"/>
                <w:szCs w:val="20"/>
              </w:rPr>
              <w:t xml:space="preserve">2.3601</w:t>
            </w:r>
          </w:p>
        </w:tc>
        <w:tc>
          <w:tcPr>
            <w:tcW w:w="1350" w:type="dxa"/>
          </w:tcPr>
          <w:p>
            <w:pPr>
              <w:jc w:val="right"/>
              <w:rPr>
                <w:sz w:val="20"/>
                <w:szCs w:val="20"/>
              </w:rPr>
            </w:pPr>
            <w:r>
              <w:rPr>
                <w:sz w:val="20"/>
                <w:szCs w:val="20"/>
              </w:rPr>
              <w:t xml:space="preserve">−3.9114</w:t>
            </w:r>
          </w:p>
        </w:tc>
        <w:tc>
          <w:tcPr>
            <w:tcW w:w="1350" w:type="dxa"/>
          </w:tcPr>
          <w:p>
            <w:pPr>
              <w:jc w:val="right"/>
              <w:rPr>
                <w:sz w:val="20"/>
                <w:szCs w:val="20"/>
              </w:rPr>
            </w:pPr>
            <w:r>
              <w:rPr>
                <w:sz w:val="20"/>
                <w:szCs w:val="20"/>
              </w:rPr>
              <w:t xml:space="preserve">4.7646</w:t>
            </w:r>
          </w:p>
        </w:tc>
      </w:tr>
      <w:tr>
        <w:tc>
          <w:tcPr>
            <w:tcW w:w="3240" w:type="dxa"/>
          </w:tcPr>
          <w:p>
            <w:pPr>
              <w:jc w:val="left"/>
              <w:rPr>
                <w:sz w:val="20"/>
                <w:szCs w:val="20"/>
              </w:rPr>
            </w:pPr>
            <w:r>
              <w:rPr>
                <w:sz w:val="20"/>
                <w:szCs w:val="20"/>
              </w:rPr>
              <w:t xml:space="preserve">Inverse Price</w:t>
            </w:r>
          </w:p>
        </w:tc>
        <w:tc>
          <w:tcPr>
            <w:tcW w:w="1350" w:type="dxa"/>
          </w:tcPr>
          <w:p>
            <w:pPr>
              <w:jc w:val="right"/>
              <w:rPr>
                <w:sz w:val="20"/>
                <w:szCs w:val="20"/>
              </w:rPr>
            </w:pPr>
            <w:r>
              <w:rPr>
                <w:sz w:val="20"/>
                <w:szCs w:val="20"/>
              </w:rPr>
              <w:t xml:space="preserve">0.0931</w:t>
            </w:r>
          </w:p>
        </w:tc>
        <w:tc>
          <w:tcPr>
            <w:tcW w:w="1350" w:type="dxa"/>
          </w:tcPr>
          <w:p>
            <w:pPr>
              <w:jc w:val="right"/>
              <w:rPr>
                <w:sz w:val="20"/>
                <w:szCs w:val="20"/>
              </w:rPr>
            </w:pPr>
            <w:r>
              <w:rPr>
                <w:sz w:val="20"/>
                <w:szCs w:val="20"/>
              </w:rPr>
              <w:t xml:space="preserve">0.0894</w:t>
            </w:r>
          </w:p>
        </w:tc>
        <w:tc>
          <w:tcPr>
            <w:tcW w:w="1350" w:type="dxa"/>
          </w:tcPr>
          <w:p>
            <w:pPr>
              <w:jc w:val="right"/>
              <w:rPr>
                <w:sz w:val="20"/>
                <w:szCs w:val="20"/>
              </w:rPr>
            </w:pPr>
            <w:r>
              <w:rPr>
                <w:sz w:val="20"/>
                <w:szCs w:val="20"/>
              </w:rPr>
              <w:t xml:space="preserve">0.0065</w:t>
            </w:r>
          </w:p>
        </w:tc>
        <w:tc>
          <w:tcPr>
            <w:tcW w:w="1350" w:type="dxa"/>
          </w:tcPr>
          <w:p>
            <w:pPr>
              <w:jc w:val="right"/>
              <w:rPr>
                <w:sz w:val="20"/>
                <w:szCs w:val="20"/>
              </w:rPr>
            </w:pPr>
            <w:r>
              <w:rPr>
                <w:sz w:val="20"/>
                <w:szCs w:val="20"/>
              </w:rPr>
              <w:t xml:space="preserve">0.4211</w:t>
            </w:r>
          </w:p>
        </w:tc>
      </w:tr>
      <w:tr>
        <w:tc>
          <w:tcPr>
            <w:tcW w:w="3240" w:type="dxa"/>
          </w:tcPr>
          <w:p>
            <w:pPr>
              <w:jc w:val="left"/>
              <w:rPr>
                <w:sz w:val="20"/>
                <w:szCs w:val="20"/>
              </w:rPr>
            </w:pPr>
            <w:r>
              <w:rPr>
                <w:sz w:val="20"/>
                <w:szCs w:val="20"/>
              </w:rPr>
              <w:t xml:space="preserve">Quoted Spread ($)</w:t>
            </w:r>
          </w:p>
        </w:tc>
        <w:tc>
          <w:tcPr>
            <w:tcW w:w="1350" w:type="dxa"/>
          </w:tcPr>
          <w:p>
            <w:pPr>
              <w:jc w:val="right"/>
              <w:rPr>
                <w:sz w:val="20"/>
                <w:szCs w:val="20"/>
              </w:rPr>
            </w:pPr>
            <w:r>
              <w:rPr>
                <w:sz w:val="20"/>
                <w:szCs w:val="20"/>
              </w:rPr>
              <w:t xml:space="preserve">0.0789</w:t>
            </w:r>
          </w:p>
        </w:tc>
        <w:tc>
          <w:tcPr>
            <w:tcW w:w="1350" w:type="dxa"/>
          </w:tcPr>
          <w:p>
            <w:pPr>
              <w:jc w:val="right"/>
              <w:rPr>
                <w:sz w:val="20"/>
                <w:szCs w:val="20"/>
              </w:rPr>
            </w:pPr>
            <w:r>
              <w:rPr>
                <w:sz w:val="20"/>
                <w:szCs w:val="20"/>
              </w:rPr>
              <w:t xml:space="preserve">0.2064</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2.6700</w:t>
            </w:r>
          </w:p>
        </w:tc>
      </w:tr>
      <w:tr>
        <w:tc>
          <w:tcPr>
            <w:tcW w:w="3240" w:type="dxa"/>
          </w:tcPr>
          <w:p>
            <w:pPr>
              <w:jc w:val="left"/>
              <w:rPr>
                <w:sz w:val="20"/>
                <w:szCs w:val="20"/>
              </w:rPr>
            </w:pPr>
            <w:r>
              <w:rPr>
                <w:sz w:val="20"/>
                <w:szCs w:val="20"/>
              </w:rPr>
              <w:t xml:space="preserve">Avg Pre-Treatment Spread ($)</w:t>
            </w:r>
          </w:p>
        </w:tc>
        <w:tc>
          <w:tcPr>
            <w:tcW w:w="1350" w:type="dxa"/>
          </w:tcPr>
          <w:p>
            <w:pPr>
              <w:jc w:val="right"/>
              <w:rPr>
                <w:sz w:val="20"/>
                <w:szCs w:val="20"/>
              </w:rPr>
            </w:pPr>
            <w:r>
              <w:rPr>
                <w:sz w:val="20"/>
                <w:szCs w:val="20"/>
              </w:rPr>
              <w:t xml:space="preserve">0.0770</w:t>
            </w:r>
          </w:p>
        </w:tc>
        <w:tc>
          <w:tcPr>
            <w:tcW w:w="1350" w:type="dxa"/>
          </w:tcPr>
          <w:p>
            <w:pPr>
              <w:jc w:val="right"/>
              <w:rPr>
                <w:sz w:val="20"/>
                <w:szCs w:val="20"/>
              </w:rPr>
            </w:pPr>
            <w:r>
              <w:rPr>
                <w:sz w:val="20"/>
                <w:szCs w:val="20"/>
              </w:rPr>
              <w:t xml:space="preserve">0.1831</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2.6542</w:t>
            </w:r>
          </w:p>
        </w:tc>
      </w:tr>
      <w:tr>
        <w:tc>
          <w:tcPr>
            <w:tcW w:w="3240" w:type="dxa"/>
          </w:tcPr>
          <w:p>
            <w:pPr>
              <w:jc w:val="left"/>
              <w:rPr>
                <w:sz w:val="20"/>
                <w:szCs w:val="20"/>
              </w:rPr>
            </w:pPr>
            <w:r>
              <w:rPr>
                <w:sz w:val="20"/>
                <w:szCs w:val="20"/>
              </w:rPr>
              <w:t xml:space="preserve">Small Spread (&lt; $0.05)</w:t>
            </w:r>
          </w:p>
        </w:tc>
        <w:tc>
          <w:tcPr>
            <w:tcW w:w="1350" w:type="dxa"/>
          </w:tcPr>
          <w:p>
            <w:pPr>
              <w:jc w:val="right"/>
              <w:rPr>
                <w:sz w:val="20"/>
                <w:szCs w:val="20"/>
              </w:rPr>
            </w:pPr>
            <w:r>
              <w:rPr>
                <w:sz w:val="20"/>
                <w:szCs w:val="20"/>
              </w:rPr>
              <w:t xml:space="preserve">0.7244</w:t>
            </w:r>
          </w:p>
        </w:tc>
        <w:tc>
          <w:tcPr>
            <w:tcW w:w="1350" w:type="dxa"/>
          </w:tcPr>
          <w:p>
            <w:pPr>
              <w:jc w:val="right"/>
              <w:rPr>
                <w:sz w:val="20"/>
                <w:szCs w:val="20"/>
              </w:rPr>
            </w:pPr>
            <w:r>
              <w:rPr>
                <w:sz w:val="20"/>
                <w:szCs w:val="20"/>
              </w:rPr>
              <w:t xml:space="preserve">0.4468</w:t>
            </w:r>
          </w:p>
        </w:tc>
        <w:tc>
          <w:tcPr>
            <w:tcW w:w="1350" w:type="dxa"/>
          </w:tcPr>
          <w:p>
            <w:pPr>
              <w:jc w:val="right"/>
              <w:rPr>
                <w:sz w:val="20"/>
                <w:szCs w:val="20"/>
              </w:rPr>
            </w:pPr>
            <w:r>
              <w:rPr>
                <w:sz w:val="20"/>
                <w:szCs w:val="20"/>
              </w:rPr>
              <w:t xml:space="preserve">0.0000</w:t>
            </w:r>
          </w:p>
        </w:tc>
        <w:tc>
          <w:tcPr>
            <w:tcW w:w="1350" w:type="dxa"/>
          </w:tcPr>
          <w:p>
            <w:pPr>
              <w:jc w:val="right"/>
              <w:rPr>
                <w:sz w:val="20"/>
                <w:szCs w:val="20"/>
              </w:rPr>
            </w:pPr>
            <w:r>
              <w:rPr>
                <w:sz w:val="20"/>
                <w:szCs w:val="20"/>
              </w:rPr>
              <w:t xml:space="preserve">1.0000</w:t>
            </w:r>
          </w:p>
        </w:tc>
      </w:tr>
    </w:tbl>
    <w:p w14:paraId="30019425" w14:textId="575D99C9" w:rsidR="003E01FB" w:rsidRDefault="00F755CC" w:rsidP="00825B5D">
      <w:pPr>
        <w:spacing w:after="120" w:line="360" w:lineRule="auto"/>
        <w:jc w:val="both"/>
        <w:rPr>
          <w:rFonts w:ascii="Times New Roman" w:eastAsia="Aptos" w:hAnsi="Times New Roman" w:cs="Times New Roman"/>
          <w:b/>
          <w:bCs/>
          <w:sz w:val="22"/>
          <w:szCs w:val="22"/>
          <w:lang w:val="en-US"/>
        </w:rPr>
      </w:pPr>
      <w:r>
        <w:rPr>
          <w:noProof/>
        </w:rPr>
        <w:t>Panel C: Pilot Group 2  (N = 46,401)</w:t>
      </w:r>
      <w:r w:rsidR="003E01FB" w:rsidRPr="003E01FB">
        <w:rPr>
          <w:rFonts w:ascii="Times New Roman" w:eastAsia="Aptos" w:hAnsi="Times New Roman" w:cs="Times New Roman"/>
          <w:b/>
          <w:bCs/>
          <w:sz w:val="22"/>
          <w:szCs w:val="22"/>
          <w:lang w:val="en-US"/>
        </w:rPr>
      </w:r>
    </w:p>
    <w:tbl>
      <w:tblPr>
        <w:tblW w:w="0" w:type="auto"/>
        <w:tblBorders>
          <w:top w:val="single" w:sz="12" w:space="0" w:color="auto"/>
          <w:left w:val="none" w:sz="0" w:space="0" w:color="auto"/>
          <w:bottom w:val="single" w:sz="12" w:space="0" w:color="auto"/>
          <w:right w:val="none" w:sz="0" w:space="0" w:color="auto"/>
          <w:insideH w:val="single" w:sz="4" w:space="0" w:color="auto"/>
          <w:insideV w:val="none" w:sz="0" w:space="0" w:color="auto"/>
        </w:tblBorders>
      </w:tblPr>
      <w:tblGrid>
        <w:gridCol w:w="3240"/>
        <w:gridCol w:w="1350"/>
        <w:gridCol w:w="1350"/>
        <w:gridCol w:w="1350"/>
        <w:gridCol w:w="1350"/>
      </w:tblGrid>
      <w:tr>
        <w:tc>
          <w:tcPr>
            <w:tcW w:w="3240" w:type="dxa"/>
          </w:tcPr>
          <w:p>
            <w:pPr>
              <w:jc w:val="left"/>
              <w:rPr>
                <w:sz w:val="20"/>
                <w:szCs w:val="20"/>
              </w:rPr>
            </w:pPr>
            <w:r>
              <w:rPr>
                <w:sz w:val="20"/>
                <w:szCs w:val="20"/>
                <w:b/>
              </w:rPr>
              <w:t xml:space="preserve">Variable</w:t>
            </w:r>
          </w:p>
        </w:tc>
        <w:tc>
          <w:tcPr>
            <w:tcW w:w="1350" w:type="dxa"/>
          </w:tcPr>
          <w:p>
            <w:pPr>
              <w:jc w:val="right"/>
              <w:rPr>
                <w:sz w:val="20"/>
                <w:szCs w:val="20"/>
              </w:rPr>
            </w:pPr>
            <w:r>
              <w:rPr>
                <w:sz w:val="20"/>
                <w:szCs w:val="20"/>
                <w:b/>
              </w:rPr>
              <w:t xml:space="preserve">Mean</w:t>
            </w:r>
          </w:p>
        </w:tc>
        <w:tc>
          <w:tcPr>
            <w:tcW w:w="1350" w:type="dxa"/>
          </w:tcPr>
          <w:p>
            <w:pPr>
              <w:jc w:val="right"/>
              <w:rPr>
                <w:sz w:val="20"/>
                <w:szCs w:val="20"/>
              </w:rPr>
            </w:pPr>
            <w:r>
              <w:rPr>
                <w:sz w:val="20"/>
                <w:szCs w:val="20"/>
                <w:b/>
              </w:rPr>
              <w:t xml:space="preserve">Std. Dev.</w:t>
            </w:r>
          </w:p>
        </w:tc>
        <w:tc>
          <w:tcPr>
            <w:tcW w:w="1350" w:type="dxa"/>
          </w:tcPr>
          <w:p>
            <w:pPr>
              <w:jc w:val="right"/>
              <w:rPr>
                <w:sz w:val="20"/>
                <w:szCs w:val="20"/>
              </w:rPr>
            </w:pPr>
            <w:r>
              <w:rPr>
                <w:sz w:val="20"/>
                <w:szCs w:val="20"/>
                <w:b/>
              </w:rPr>
              <w:t xml:space="preserve">Min</w:t>
            </w:r>
          </w:p>
        </w:tc>
        <w:tc>
          <w:tcPr>
            <w:tcW w:w="1350" w:type="dxa"/>
          </w:tcPr>
          <w:p>
            <w:pPr>
              <w:jc w:val="right"/>
              <w:rPr>
                <w:sz w:val="20"/>
                <w:szCs w:val="20"/>
              </w:rPr>
            </w:pPr>
            <w:r>
              <w:rPr>
                <w:sz w:val="20"/>
                <w:szCs w:val="20"/>
                <w:b/>
              </w:rPr>
              <w:t xml:space="preserve">Max</w:t>
            </w:r>
          </w:p>
        </w:tc>
      </w:tr>
      <w:tr>
        <w:tc>
          <w:tcPr>
            <w:tcW w:w="3240" w:type="dxa"/>
          </w:tcPr>
          <w:p>
            <w:pPr>
              <w:jc w:val="left"/>
              <w:rPr>
                <w:sz w:val="20"/>
                <w:szCs w:val="20"/>
              </w:rPr>
            </w:pPr>
            <w:r>
              <w:rPr>
                <w:sz w:val="20"/>
                <w:szCs w:val="20"/>
              </w:rPr>
              <w:t xml:space="preserve">Log Turnover</w:t>
            </w:r>
          </w:p>
        </w:tc>
        <w:tc>
          <w:tcPr>
            <w:tcW w:w="1350" w:type="dxa"/>
          </w:tcPr>
          <w:p>
            <w:pPr>
              <w:jc w:val="right"/>
              <w:rPr>
                <w:sz w:val="20"/>
                <w:szCs w:val="20"/>
              </w:rPr>
            </w:pPr>
            <w:r>
              <w:rPr>
                <w:sz w:val="20"/>
                <w:szCs w:val="20"/>
              </w:rPr>
              <w:t xml:space="preserve">2.0416</w:t>
            </w:r>
          </w:p>
        </w:tc>
        <w:tc>
          <w:tcPr>
            <w:tcW w:w="1350" w:type="dxa"/>
          </w:tcPr>
          <w:p>
            <w:pPr>
              <w:jc w:val="right"/>
              <w:rPr>
                <w:sz w:val="20"/>
                <w:szCs w:val="20"/>
              </w:rPr>
            </w:pPr>
            <w:r>
              <w:rPr>
                <w:sz w:val="20"/>
                <w:szCs w:val="20"/>
              </w:rPr>
              <w:t xml:space="preserve">2.4521</w:t>
            </w:r>
          </w:p>
        </w:tc>
        <w:tc>
          <w:tcPr>
            <w:tcW w:w="1350" w:type="dxa"/>
          </w:tcPr>
          <w:p>
            <w:pPr>
              <w:jc w:val="right"/>
              <w:rPr>
                <w:sz w:val="20"/>
                <w:szCs w:val="20"/>
              </w:rPr>
            </w:pPr>
            <w:r>
              <w:rPr>
                <w:sz w:val="20"/>
                <w:szCs w:val="20"/>
              </w:rPr>
              <w:t xml:space="preserve">−3.9114</w:t>
            </w:r>
          </w:p>
        </w:tc>
        <w:tc>
          <w:tcPr>
            <w:tcW w:w="1350" w:type="dxa"/>
          </w:tcPr>
          <w:p>
            <w:pPr>
              <w:jc w:val="right"/>
              <w:rPr>
                <w:sz w:val="20"/>
                <w:szCs w:val="20"/>
              </w:rPr>
            </w:pPr>
            <w:r>
              <w:rPr>
                <w:sz w:val="20"/>
                <w:szCs w:val="20"/>
              </w:rPr>
              <w:t xml:space="preserve">4.7646</w:t>
            </w:r>
          </w:p>
        </w:tc>
      </w:tr>
      <w:tr>
        <w:tc>
          <w:tcPr>
            <w:tcW w:w="3240" w:type="dxa"/>
          </w:tcPr>
          <w:p>
            <w:pPr>
              <w:jc w:val="left"/>
              <w:rPr>
                <w:sz w:val="20"/>
                <w:szCs w:val="20"/>
              </w:rPr>
            </w:pPr>
            <w:r>
              <w:rPr>
                <w:sz w:val="20"/>
                <w:szCs w:val="20"/>
              </w:rPr>
              <w:t xml:space="preserve">Inverse Price</w:t>
            </w:r>
          </w:p>
        </w:tc>
        <w:tc>
          <w:tcPr>
            <w:tcW w:w="1350" w:type="dxa"/>
          </w:tcPr>
          <w:p>
            <w:pPr>
              <w:jc w:val="right"/>
              <w:rPr>
                <w:sz w:val="20"/>
                <w:szCs w:val="20"/>
              </w:rPr>
            </w:pPr>
            <w:r>
              <w:rPr>
                <w:sz w:val="20"/>
                <w:szCs w:val="20"/>
              </w:rPr>
              <w:t xml:space="preserve">0.0923</w:t>
            </w:r>
          </w:p>
        </w:tc>
        <w:tc>
          <w:tcPr>
            <w:tcW w:w="1350" w:type="dxa"/>
          </w:tcPr>
          <w:p>
            <w:pPr>
              <w:jc w:val="right"/>
              <w:rPr>
                <w:sz w:val="20"/>
                <w:szCs w:val="20"/>
              </w:rPr>
            </w:pPr>
            <w:r>
              <w:rPr>
                <w:sz w:val="20"/>
                <w:szCs w:val="20"/>
              </w:rPr>
              <w:t xml:space="preserve">0.0866</w:t>
            </w:r>
          </w:p>
        </w:tc>
        <w:tc>
          <w:tcPr>
            <w:tcW w:w="1350" w:type="dxa"/>
          </w:tcPr>
          <w:p>
            <w:pPr>
              <w:jc w:val="right"/>
              <w:rPr>
                <w:sz w:val="20"/>
                <w:szCs w:val="20"/>
              </w:rPr>
            </w:pPr>
            <w:r>
              <w:rPr>
                <w:sz w:val="20"/>
                <w:szCs w:val="20"/>
              </w:rPr>
              <w:t xml:space="preserve">0.0065</w:t>
            </w:r>
          </w:p>
        </w:tc>
        <w:tc>
          <w:tcPr>
            <w:tcW w:w="1350" w:type="dxa"/>
          </w:tcPr>
          <w:p>
            <w:pPr>
              <w:jc w:val="right"/>
              <w:rPr>
                <w:sz w:val="20"/>
                <w:szCs w:val="20"/>
              </w:rPr>
            </w:pPr>
            <w:r>
              <w:rPr>
                <w:sz w:val="20"/>
                <w:szCs w:val="20"/>
              </w:rPr>
              <w:t xml:space="preserve">0.4211</w:t>
            </w:r>
          </w:p>
        </w:tc>
      </w:tr>
      <w:tr>
        <w:tc>
          <w:tcPr>
            <w:tcW w:w="3240" w:type="dxa"/>
          </w:tcPr>
          <w:p>
            <w:pPr>
              <w:jc w:val="left"/>
              <w:rPr>
                <w:sz w:val="20"/>
                <w:szCs w:val="20"/>
              </w:rPr>
            </w:pPr>
            <w:r>
              <w:rPr>
                <w:sz w:val="20"/>
                <w:szCs w:val="20"/>
              </w:rPr>
              <w:t xml:space="preserve">Quoted Spread ($)</w:t>
            </w:r>
          </w:p>
        </w:tc>
        <w:tc>
          <w:tcPr>
            <w:tcW w:w="1350" w:type="dxa"/>
          </w:tcPr>
          <w:p>
            <w:pPr>
              <w:jc w:val="right"/>
              <w:rPr>
                <w:sz w:val="20"/>
                <w:szCs w:val="20"/>
              </w:rPr>
            </w:pPr>
            <w:r>
              <w:rPr>
                <w:sz w:val="20"/>
                <w:szCs w:val="20"/>
              </w:rPr>
              <w:t xml:space="preserve">0.0793</w:t>
            </w:r>
          </w:p>
        </w:tc>
        <w:tc>
          <w:tcPr>
            <w:tcW w:w="1350" w:type="dxa"/>
          </w:tcPr>
          <w:p>
            <w:pPr>
              <w:jc w:val="right"/>
              <w:rPr>
                <w:sz w:val="20"/>
                <w:szCs w:val="20"/>
              </w:rPr>
            </w:pPr>
            <w:r>
              <w:rPr>
                <w:sz w:val="20"/>
                <w:szCs w:val="20"/>
              </w:rPr>
              <w:t xml:space="preserve">0.1888</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2.6700</w:t>
            </w:r>
          </w:p>
        </w:tc>
      </w:tr>
      <w:tr>
        <w:tc>
          <w:tcPr>
            <w:tcW w:w="3240" w:type="dxa"/>
          </w:tcPr>
          <w:p>
            <w:pPr>
              <w:jc w:val="left"/>
              <w:rPr>
                <w:sz w:val="20"/>
                <w:szCs w:val="20"/>
              </w:rPr>
            </w:pPr>
            <w:r>
              <w:rPr>
                <w:sz w:val="20"/>
                <w:szCs w:val="20"/>
              </w:rPr>
              <w:t xml:space="preserve">Avg Pre-Treatment Spread ($)</w:t>
            </w:r>
          </w:p>
        </w:tc>
        <w:tc>
          <w:tcPr>
            <w:tcW w:w="1350" w:type="dxa"/>
          </w:tcPr>
          <w:p>
            <w:pPr>
              <w:jc w:val="right"/>
              <w:rPr>
                <w:sz w:val="20"/>
                <w:szCs w:val="20"/>
              </w:rPr>
            </w:pPr>
            <w:r>
              <w:rPr>
                <w:sz w:val="20"/>
                <w:szCs w:val="20"/>
              </w:rPr>
              <w:t xml:space="preserve">0.0792</w:t>
            </w:r>
          </w:p>
        </w:tc>
        <w:tc>
          <w:tcPr>
            <w:tcW w:w="1350" w:type="dxa"/>
          </w:tcPr>
          <w:p>
            <w:pPr>
              <w:jc w:val="right"/>
              <w:rPr>
                <w:sz w:val="20"/>
                <w:szCs w:val="20"/>
              </w:rPr>
            </w:pPr>
            <w:r>
              <w:rPr>
                <w:sz w:val="20"/>
                <w:szCs w:val="20"/>
              </w:rPr>
              <w:t xml:space="preserve">0.1661</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2.5719</w:t>
            </w:r>
          </w:p>
        </w:tc>
      </w:tr>
      <w:tr>
        <w:tc>
          <w:tcPr>
            <w:tcW w:w="3240" w:type="dxa"/>
          </w:tcPr>
          <w:p>
            <w:pPr>
              <w:jc w:val="left"/>
              <w:rPr>
                <w:sz w:val="20"/>
                <w:szCs w:val="20"/>
              </w:rPr>
            </w:pPr>
            <w:r>
              <w:rPr>
                <w:sz w:val="20"/>
                <w:szCs w:val="20"/>
              </w:rPr>
              <w:t xml:space="preserve">Small Spread (&lt; $0.05)</w:t>
            </w:r>
          </w:p>
        </w:tc>
        <w:tc>
          <w:tcPr>
            <w:tcW w:w="1350" w:type="dxa"/>
          </w:tcPr>
          <w:p>
            <w:pPr>
              <w:jc w:val="right"/>
              <w:rPr>
                <w:sz w:val="20"/>
                <w:szCs w:val="20"/>
              </w:rPr>
            </w:pPr>
            <w:r>
              <w:rPr>
                <w:sz w:val="20"/>
                <w:szCs w:val="20"/>
              </w:rPr>
              <w:t xml:space="preserve">0.7342</w:t>
            </w:r>
          </w:p>
        </w:tc>
        <w:tc>
          <w:tcPr>
            <w:tcW w:w="1350" w:type="dxa"/>
          </w:tcPr>
          <w:p>
            <w:pPr>
              <w:jc w:val="right"/>
              <w:rPr>
                <w:sz w:val="20"/>
                <w:szCs w:val="20"/>
              </w:rPr>
            </w:pPr>
            <w:r>
              <w:rPr>
                <w:sz w:val="20"/>
                <w:szCs w:val="20"/>
              </w:rPr>
              <w:t xml:space="preserve">0.4418</w:t>
            </w:r>
          </w:p>
        </w:tc>
        <w:tc>
          <w:tcPr>
            <w:tcW w:w="1350" w:type="dxa"/>
          </w:tcPr>
          <w:p>
            <w:pPr>
              <w:jc w:val="right"/>
              <w:rPr>
                <w:sz w:val="20"/>
                <w:szCs w:val="20"/>
              </w:rPr>
            </w:pPr>
            <w:r>
              <w:rPr>
                <w:sz w:val="20"/>
                <w:szCs w:val="20"/>
              </w:rPr>
              <w:t xml:space="preserve">0.0000</w:t>
            </w:r>
          </w:p>
        </w:tc>
        <w:tc>
          <w:tcPr>
            <w:tcW w:w="1350" w:type="dxa"/>
          </w:tcPr>
          <w:p>
            <w:pPr>
              <w:jc w:val="right"/>
              <w:rPr>
                <w:sz w:val="20"/>
                <w:szCs w:val="20"/>
              </w:rPr>
            </w:pPr>
            <w:r>
              <w:rPr>
                <w:sz w:val="20"/>
                <w:szCs w:val="20"/>
              </w:rPr>
              <w:t xml:space="preserve">1.0000</w:t>
            </w:r>
          </w:p>
        </w:tc>
      </w:tr>
    </w:tbl>
    <w:p w14:paraId="08279351" w14:textId="7B087A8C" w:rsidR="003E01FB" w:rsidRDefault="008A74A9" w:rsidP="00825B5D">
      <w:pPr>
        <w:spacing w:after="120" w:line="360" w:lineRule="auto"/>
        <w:jc w:val="both"/>
        <w:rPr>
          <w:rFonts w:ascii="Times New Roman" w:eastAsia="Aptos" w:hAnsi="Times New Roman" w:cs="Times New Roman"/>
          <w:b/>
          <w:bCs/>
          <w:sz w:val="22"/>
          <w:szCs w:val="22"/>
          <w:lang w:val="en-US"/>
        </w:rPr>
      </w:pPr>
      <w:r>
        <w:rPr>
          <w:noProof/>
        </w:rPr>
        <w:t>Panel D: Pilot Group 3  (N = 45,206)</w:t>
      </w:r>
      <w:r w:rsidR="003E01FB" w:rsidRPr="003E01FB">
        <w:rPr>
          <w:rFonts w:ascii="Times New Roman" w:eastAsia="Aptos" w:hAnsi="Times New Roman" w:cs="Times New Roman"/>
          <w:b/>
          <w:bCs/>
          <w:sz w:val="22"/>
          <w:szCs w:val="22"/>
          <w:lang w:val="en-US"/>
        </w:rPr>
      </w:r>
    </w:p>
    <w:tbl>
      <w:tblPr>
        <w:tblW w:w="0" w:type="auto"/>
        <w:tblBorders>
          <w:top w:val="single" w:sz="12" w:space="0" w:color="auto"/>
          <w:left w:val="none" w:sz="0" w:space="0" w:color="auto"/>
          <w:bottom w:val="single" w:sz="12" w:space="0" w:color="auto"/>
          <w:right w:val="none" w:sz="0" w:space="0" w:color="auto"/>
          <w:insideH w:val="single" w:sz="4" w:space="0" w:color="auto"/>
          <w:insideV w:val="none" w:sz="0" w:space="0" w:color="auto"/>
        </w:tblBorders>
      </w:tblPr>
      <w:tblGrid>
        <w:gridCol w:w="3240"/>
        <w:gridCol w:w="1350"/>
        <w:gridCol w:w="1350"/>
        <w:gridCol w:w="1350"/>
        <w:gridCol w:w="1350"/>
      </w:tblGrid>
      <w:tr>
        <w:tc>
          <w:tcPr>
            <w:tcW w:w="3240" w:type="dxa"/>
          </w:tcPr>
          <w:p>
            <w:pPr>
              <w:jc w:val="left"/>
              <w:rPr>
                <w:sz w:val="20"/>
                <w:szCs w:val="20"/>
              </w:rPr>
            </w:pPr>
            <w:r>
              <w:rPr>
                <w:sz w:val="20"/>
                <w:szCs w:val="20"/>
                <w:b/>
              </w:rPr>
              <w:t xml:space="preserve">Variable</w:t>
            </w:r>
          </w:p>
        </w:tc>
        <w:tc>
          <w:tcPr>
            <w:tcW w:w="1350" w:type="dxa"/>
          </w:tcPr>
          <w:p>
            <w:pPr>
              <w:jc w:val="right"/>
              <w:rPr>
                <w:sz w:val="20"/>
                <w:szCs w:val="20"/>
              </w:rPr>
            </w:pPr>
            <w:r>
              <w:rPr>
                <w:sz w:val="20"/>
                <w:szCs w:val="20"/>
                <w:b/>
              </w:rPr>
              <w:t xml:space="preserve">Mean</w:t>
            </w:r>
          </w:p>
        </w:tc>
        <w:tc>
          <w:tcPr>
            <w:tcW w:w="1350" w:type="dxa"/>
          </w:tcPr>
          <w:p>
            <w:pPr>
              <w:jc w:val="right"/>
              <w:rPr>
                <w:sz w:val="20"/>
                <w:szCs w:val="20"/>
              </w:rPr>
            </w:pPr>
            <w:r>
              <w:rPr>
                <w:sz w:val="20"/>
                <w:szCs w:val="20"/>
                <w:b/>
              </w:rPr>
              <w:t xml:space="preserve">Std. Dev.</w:t>
            </w:r>
          </w:p>
        </w:tc>
        <w:tc>
          <w:tcPr>
            <w:tcW w:w="1350" w:type="dxa"/>
          </w:tcPr>
          <w:p>
            <w:pPr>
              <w:jc w:val="right"/>
              <w:rPr>
                <w:sz w:val="20"/>
                <w:szCs w:val="20"/>
              </w:rPr>
            </w:pPr>
            <w:r>
              <w:rPr>
                <w:sz w:val="20"/>
                <w:szCs w:val="20"/>
                <w:b/>
              </w:rPr>
              <w:t xml:space="preserve">Min</w:t>
            </w:r>
          </w:p>
        </w:tc>
        <w:tc>
          <w:tcPr>
            <w:tcW w:w="1350" w:type="dxa"/>
          </w:tcPr>
          <w:p>
            <w:pPr>
              <w:jc w:val="right"/>
              <w:rPr>
                <w:sz w:val="20"/>
                <w:szCs w:val="20"/>
              </w:rPr>
            </w:pPr>
            <w:r>
              <w:rPr>
                <w:sz w:val="20"/>
                <w:szCs w:val="20"/>
                <w:b/>
              </w:rPr>
              <w:t xml:space="preserve">Max</w:t>
            </w:r>
          </w:p>
        </w:tc>
      </w:tr>
      <w:tr>
        <w:tc>
          <w:tcPr>
            <w:tcW w:w="3240" w:type="dxa"/>
          </w:tcPr>
          <w:p>
            <w:pPr>
              <w:jc w:val="left"/>
              <w:rPr>
                <w:sz w:val="20"/>
                <w:szCs w:val="20"/>
              </w:rPr>
            </w:pPr>
            <w:r>
              <w:rPr>
                <w:sz w:val="20"/>
                <w:szCs w:val="20"/>
              </w:rPr>
              <w:t xml:space="preserve">Log Turnover</w:t>
            </w:r>
          </w:p>
        </w:tc>
        <w:tc>
          <w:tcPr>
            <w:tcW w:w="1350" w:type="dxa"/>
          </w:tcPr>
          <w:p>
            <w:pPr>
              <w:jc w:val="right"/>
              <w:rPr>
                <w:sz w:val="20"/>
                <w:szCs w:val="20"/>
              </w:rPr>
            </w:pPr>
            <w:r>
              <w:rPr>
                <w:sz w:val="20"/>
                <w:szCs w:val="20"/>
              </w:rPr>
              <w:t xml:space="preserve">2.0226</w:t>
            </w:r>
          </w:p>
        </w:tc>
        <w:tc>
          <w:tcPr>
            <w:tcW w:w="1350" w:type="dxa"/>
          </w:tcPr>
          <w:p>
            <w:pPr>
              <w:jc w:val="right"/>
              <w:rPr>
                <w:sz w:val="20"/>
                <w:szCs w:val="20"/>
              </w:rPr>
            </w:pPr>
            <w:r>
              <w:rPr>
                <w:sz w:val="20"/>
                <w:szCs w:val="20"/>
              </w:rPr>
              <w:t xml:space="preserve">2.4204</w:t>
            </w:r>
          </w:p>
        </w:tc>
        <w:tc>
          <w:tcPr>
            <w:tcW w:w="1350" w:type="dxa"/>
          </w:tcPr>
          <w:p>
            <w:pPr>
              <w:jc w:val="right"/>
              <w:rPr>
                <w:sz w:val="20"/>
                <w:szCs w:val="20"/>
              </w:rPr>
            </w:pPr>
            <w:r>
              <w:rPr>
                <w:sz w:val="20"/>
                <w:szCs w:val="20"/>
              </w:rPr>
              <w:t xml:space="preserve">−3.9114</w:t>
            </w:r>
          </w:p>
        </w:tc>
        <w:tc>
          <w:tcPr>
            <w:tcW w:w="1350" w:type="dxa"/>
          </w:tcPr>
          <w:p>
            <w:pPr>
              <w:jc w:val="right"/>
              <w:rPr>
                <w:sz w:val="20"/>
                <w:szCs w:val="20"/>
              </w:rPr>
            </w:pPr>
            <w:r>
              <w:rPr>
                <w:sz w:val="20"/>
                <w:szCs w:val="20"/>
              </w:rPr>
              <w:t xml:space="preserve">4.7646</w:t>
            </w:r>
          </w:p>
        </w:tc>
      </w:tr>
      <w:tr>
        <w:tc>
          <w:tcPr>
            <w:tcW w:w="3240" w:type="dxa"/>
          </w:tcPr>
          <w:p>
            <w:pPr>
              <w:jc w:val="left"/>
              <w:rPr>
                <w:sz w:val="20"/>
                <w:szCs w:val="20"/>
              </w:rPr>
            </w:pPr>
            <w:r>
              <w:rPr>
                <w:sz w:val="20"/>
                <w:szCs w:val="20"/>
              </w:rPr>
              <w:t xml:space="preserve">Inverse Price</w:t>
            </w:r>
          </w:p>
        </w:tc>
        <w:tc>
          <w:tcPr>
            <w:tcW w:w="1350" w:type="dxa"/>
          </w:tcPr>
          <w:p>
            <w:pPr>
              <w:jc w:val="right"/>
              <w:rPr>
                <w:sz w:val="20"/>
                <w:szCs w:val="20"/>
              </w:rPr>
            </w:pPr>
            <w:r>
              <w:rPr>
                <w:sz w:val="20"/>
                <w:szCs w:val="20"/>
              </w:rPr>
              <w:t xml:space="preserve">0.0932</w:t>
            </w:r>
          </w:p>
        </w:tc>
        <w:tc>
          <w:tcPr>
            <w:tcW w:w="1350" w:type="dxa"/>
          </w:tcPr>
          <w:p>
            <w:pPr>
              <w:jc w:val="right"/>
              <w:rPr>
                <w:sz w:val="20"/>
                <w:szCs w:val="20"/>
              </w:rPr>
            </w:pPr>
            <w:r>
              <w:rPr>
                <w:sz w:val="20"/>
                <w:szCs w:val="20"/>
              </w:rPr>
              <w:t xml:space="preserve">0.0861</w:t>
            </w:r>
          </w:p>
        </w:tc>
        <w:tc>
          <w:tcPr>
            <w:tcW w:w="1350" w:type="dxa"/>
          </w:tcPr>
          <w:p>
            <w:pPr>
              <w:jc w:val="right"/>
              <w:rPr>
                <w:sz w:val="20"/>
                <w:szCs w:val="20"/>
              </w:rPr>
            </w:pPr>
            <w:r>
              <w:rPr>
                <w:sz w:val="20"/>
                <w:szCs w:val="20"/>
              </w:rPr>
              <w:t xml:space="preserve">0.0065</w:t>
            </w:r>
          </w:p>
        </w:tc>
        <w:tc>
          <w:tcPr>
            <w:tcW w:w="1350" w:type="dxa"/>
          </w:tcPr>
          <w:p>
            <w:pPr>
              <w:jc w:val="right"/>
              <w:rPr>
                <w:sz w:val="20"/>
                <w:szCs w:val="20"/>
              </w:rPr>
            </w:pPr>
            <w:r>
              <w:rPr>
                <w:sz w:val="20"/>
                <w:szCs w:val="20"/>
              </w:rPr>
              <w:t xml:space="preserve">0.4211</w:t>
            </w:r>
          </w:p>
        </w:tc>
      </w:tr>
      <w:tr>
        <w:tc>
          <w:tcPr>
            <w:tcW w:w="3240" w:type="dxa"/>
          </w:tcPr>
          <w:p>
            <w:pPr>
              <w:jc w:val="left"/>
              <w:rPr>
                <w:sz w:val="20"/>
                <w:szCs w:val="20"/>
              </w:rPr>
            </w:pPr>
            <w:r>
              <w:rPr>
                <w:sz w:val="20"/>
                <w:szCs w:val="20"/>
              </w:rPr>
              <w:t xml:space="preserve">Quoted Spread ($)</w:t>
            </w:r>
          </w:p>
        </w:tc>
        <w:tc>
          <w:tcPr>
            <w:tcW w:w="1350" w:type="dxa"/>
          </w:tcPr>
          <w:p>
            <w:pPr>
              <w:jc w:val="right"/>
              <w:rPr>
                <w:sz w:val="20"/>
                <w:szCs w:val="20"/>
              </w:rPr>
            </w:pPr>
            <w:r>
              <w:rPr>
                <w:sz w:val="20"/>
                <w:szCs w:val="20"/>
              </w:rPr>
              <w:t xml:space="preserve">0.0783</w:t>
            </w:r>
          </w:p>
        </w:tc>
        <w:tc>
          <w:tcPr>
            <w:tcW w:w="1350" w:type="dxa"/>
          </w:tcPr>
          <w:p>
            <w:pPr>
              <w:jc w:val="right"/>
              <w:rPr>
                <w:sz w:val="20"/>
                <w:szCs w:val="20"/>
              </w:rPr>
            </w:pPr>
            <w:r>
              <w:rPr>
                <w:sz w:val="20"/>
                <w:szCs w:val="20"/>
              </w:rPr>
              <w:t xml:space="preserve">0.2119</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2.6700</w:t>
            </w:r>
          </w:p>
        </w:tc>
      </w:tr>
      <w:tr>
        <w:tc>
          <w:tcPr>
            <w:tcW w:w="3240" w:type="dxa"/>
          </w:tcPr>
          <w:p>
            <w:pPr>
              <w:jc w:val="left"/>
              <w:rPr>
                <w:sz w:val="20"/>
                <w:szCs w:val="20"/>
              </w:rPr>
            </w:pPr>
            <w:r>
              <w:rPr>
                <w:sz w:val="20"/>
                <w:szCs w:val="20"/>
              </w:rPr>
              <w:t xml:space="preserve">Avg Pre-Treatment Spread ($)</w:t>
            </w:r>
          </w:p>
        </w:tc>
        <w:tc>
          <w:tcPr>
            <w:tcW w:w="1350" w:type="dxa"/>
          </w:tcPr>
          <w:p>
            <w:pPr>
              <w:jc w:val="right"/>
              <w:rPr>
                <w:sz w:val="20"/>
                <w:szCs w:val="20"/>
              </w:rPr>
            </w:pPr>
            <w:r>
              <w:rPr>
                <w:sz w:val="20"/>
                <w:szCs w:val="20"/>
              </w:rPr>
              <w:t xml:space="preserve">0.0752</w:t>
            </w:r>
          </w:p>
        </w:tc>
        <w:tc>
          <w:tcPr>
            <w:tcW w:w="1350" w:type="dxa"/>
          </w:tcPr>
          <w:p>
            <w:pPr>
              <w:jc w:val="right"/>
              <w:rPr>
                <w:sz w:val="20"/>
                <w:szCs w:val="20"/>
              </w:rPr>
            </w:pPr>
            <w:r>
              <w:rPr>
                <w:sz w:val="20"/>
                <w:szCs w:val="20"/>
              </w:rPr>
              <w:t xml:space="preserve">0.1856</w:t>
            </w:r>
          </w:p>
        </w:tc>
        <w:tc>
          <w:tcPr>
            <w:tcW w:w="1350" w:type="dxa"/>
          </w:tcPr>
          <w:p>
            <w:pPr>
              <w:jc w:val="right"/>
              <w:rPr>
                <w:sz w:val="20"/>
                <w:szCs w:val="20"/>
              </w:rPr>
            </w:pPr>
            <w:r>
              <w:rPr>
                <w:sz w:val="20"/>
                <w:szCs w:val="20"/>
              </w:rPr>
              <w:t xml:space="preserve">0.0100</w:t>
            </w:r>
          </w:p>
        </w:tc>
        <w:tc>
          <w:tcPr>
            <w:tcW w:w="1350" w:type="dxa"/>
          </w:tcPr>
          <w:p>
            <w:pPr>
              <w:jc w:val="right"/>
              <w:rPr>
                <w:sz w:val="20"/>
                <w:szCs w:val="20"/>
              </w:rPr>
            </w:pPr>
            <w:r>
              <w:rPr>
                <w:sz w:val="20"/>
                <w:szCs w:val="20"/>
              </w:rPr>
              <w:t xml:space="preserve">2.6123</w:t>
            </w:r>
          </w:p>
        </w:tc>
      </w:tr>
      <w:tr>
        <w:tc>
          <w:tcPr>
            <w:tcW w:w="3240" w:type="dxa"/>
          </w:tcPr>
          <w:p>
            <w:pPr>
              <w:jc w:val="left"/>
              <w:rPr>
                <w:sz w:val="20"/>
                <w:szCs w:val="20"/>
              </w:rPr>
            </w:pPr>
            <w:r>
              <w:rPr>
                <w:sz w:val="20"/>
                <w:szCs w:val="20"/>
              </w:rPr>
              <w:t xml:space="preserve">Small Spread (&lt; $0.05)</w:t>
            </w:r>
          </w:p>
        </w:tc>
        <w:tc>
          <w:tcPr>
            <w:tcW w:w="1350" w:type="dxa"/>
          </w:tcPr>
          <w:p>
            <w:pPr>
              <w:jc w:val="right"/>
              <w:rPr>
                <w:sz w:val="20"/>
                <w:szCs w:val="20"/>
              </w:rPr>
            </w:pPr>
            <w:r>
              <w:rPr>
                <w:sz w:val="20"/>
                <w:szCs w:val="20"/>
              </w:rPr>
              <w:t xml:space="preserve">0.7398</w:t>
            </w:r>
          </w:p>
        </w:tc>
        <w:tc>
          <w:tcPr>
            <w:tcW w:w="1350" w:type="dxa"/>
          </w:tcPr>
          <w:p>
            <w:pPr>
              <w:jc w:val="right"/>
              <w:rPr>
                <w:sz w:val="20"/>
                <w:szCs w:val="20"/>
              </w:rPr>
            </w:pPr>
            <w:r>
              <w:rPr>
                <w:sz w:val="20"/>
                <w:szCs w:val="20"/>
              </w:rPr>
              <w:t xml:space="preserve">0.4388</w:t>
            </w:r>
          </w:p>
        </w:tc>
        <w:tc>
          <w:tcPr>
            <w:tcW w:w="1350" w:type="dxa"/>
          </w:tcPr>
          <w:p>
            <w:pPr>
              <w:jc w:val="right"/>
              <w:rPr>
                <w:sz w:val="20"/>
                <w:szCs w:val="20"/>
              </w:rPr>
            </w:pPr>
            <w:r>
              <w:rPr>
                <w:sz w:val="20"/>
                <w:szCs w:val="20"/>
              </w:rPr>
              <w:t xml:space="preserve">0.0000</w:t>
            </w:r>
          </w:p>
        </w:tc>
        <w:tc>
          <w:tcPr>
            <w:tcW w:w="1350" w:type="dxa"/>
          </w:tcPr>
          <w:p>
            <w:pPr>
              <w:jc w:val="right"/>
              <w:rPr>
                <w:sz w:val="20"/>
                <w:szCs w:val="20"/>
              </w:rPr>
            </w:pPr>
            <w:r>
              <w:rPr>
                <w:sz w:val="20"/>
                <w:szCs w:val="20"/>
              </w:rPr>
              <w:t xml:space="preserve">1.0000</w:t>
            </w:r>
          </w:p>
        </w:tc>
      </w:tr>
    </w:tbl>
    <w:p w14:paraId="72620844" w14:textId="6E34CF7A" w:rsidR="0049588F" w:rsidRPr="003E01FB" w:rsidRDefault="0049588F" w:rsidP="0049588F">
      <w:pPr>
        <w:spacing w:after="120" w:line="360" w:lineRule="auto"/>
        <w:jc w:val="both"/>
        <w:rPr>
          <w:rFonts w:ascii="Times New Roman" w:eastAsia="Aptos" w:hAnsi="Times New Roman" w:cs="Times New Roman"/>
          <w:sz w:val="22"/>
          <w:szCs w:val="22"/>
          <w:lang w:val="en-US"/>
        </w:rPr>
      </w:pPr>
      <w:r w:rsidRPr="003E01FB">
        <w:rPr>
          <w:rFonts w:ascii="Times New Roman" w:eastAsia="Aptos" w:hAnsi="Times New Roman" w:cs="Times New Roman"/>
          <w:i/>
          <w:iCs/>
          <w:sz w:val="22"/>
          <w:szCs w:val="22"/>
          <w:lang w:val="en-US"/>
        </w:rPr>
        <w:t>All continuous variables are winsorized at the 1st and 99th percentiles.</w:t>
      </w:r>
    </w:p>
    <w:p w14:paraId="1425E49B" w14:textId="35E40ABF" w:rsidR="00B27006" w:rsidRPr="000507B8" w:rsidRDefault="00B27006" w:rsidP="00D32E28">
      <w:pPr>
        <w:spacing w:after="120" w:line="360" w:lineRule="auto"/>
        <w:jc w:val="both"/>
        <w:rPr>
          <w:rFonts w:ascii="Times New Roman" w:eastAsia="Aptos" w:hAnsi="Times New Roman" w:cs="Times New Roman"/>
          <w:sz w:val="22"/>
          <w:szCs w:val="22"/>
          <w:lang w:val="en-US"/>
        </w:rPr>
      </w:pPr>
      <w:r w:rsidRPr="000507B8">
        <w:rPr>
          <w:rFonts w:ascii="Times New Roman" w:eastAsia="Aptos" w:hAnsi="Times New Roman" w:cs="Times New Roman"/>
          <w:sz w:val="22"/>
          <w:szCs w:val="22"/>
          <w:lang w:val="en-US"/>
        </w:rPr>
        <w:br w:type="page"/>
      </w:r>
    </w:p>
    <w:p w14:paraId="6457A0B9" w14:textId="4A3F4E4D" w:rsidR="006C0A4B" w:rsidRDefault="006C0A4B" w:rsidP="000C711E">
      <w:pPr>
        <w:pStyle w:val="Heading1"/>
        <w:numPr>
          <w:ilvl w:val="0"/>
          <w:numId w:val="1"/>
        </w:numPr>
        <w:tabs>
          <w:tab w:val="num" w:pos="360"/>
        </w:tabs>
        <w:spacing w:before="0" w:after="200"/>
        <w:ind w:left="357" w:hanging="357"/>
      </w:pPr>
      <w:bookmarkStart w:id="15" w:name="_Toc223041019"/>
      <w:r w:rsidRPr="00031D9F">
        <w:t>Results</w:t>
      </w:r>
      <w:bookmarkEnd w:id="15"/>
    </w:p>
    <w:p w14:paraId="21EB991E" w14:textId="56E2041B" w:rsidR="0093118D" w:rsidRPr="000507B8" w:rsidRDefault="0A7BA6D5"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sz w:val="22"/>
          <w:szCs w:val="22"/>
        </w:rPr>
        <w:t>This section presents the empirical results of the difference-in-differences estimations assessing the impact of the SEC Tick Size Pilot Program on trading activity. The analysis proceeds in two stages. First, average treatment effects across the three pilot groups are estimated to test Hypothesis 1. Second, heterogeneous effects are examined to assess whether the volume response is concentrated among stocks for which the new $0.05 tick represents a binding constraint, as predicted by Hypothesis 2.</w:t>
      </w:r>
    </w:p>
    <w:p w14:paraId="6EACB1DA" w14:textId="77777777" w:rsidR="00C77B5C" w:rsidRPr="00C77B5C" w:rsidRDefault="00C77B5C" w:rsidP="00C77B5C">
      <w:pPr>
        <w:pStyle w:val="ListParagraph"/>
        <w:keepNext/>
        <w:numPr>
          <w:ilvl w:val="0"/>
          <w:numId w:val="4"/>
        </w:numPr>
        <w:spacing w:after="160" w:line="360" w:lineRule="auto"/>
        <w:contextualSpacing w:val="0"/>
        <w:jc w:val="both"/>
        <w:outlineLvl w:val="0"/>
        <w:rPr>
          <w:rFonts w:cs="Arial"/>
          <w:b/>
          <w:bCs/>
          <w:vanish/>
          <w:kern w:val="32"/>
          <w:szCs w:val="28"/>
          <w:lang w:eastAsia="de-DE"/>
        </w:rPr>
      </w:pPr>
    </w:p>
    <w:p w14:paraId="13D67A08" w14:textId="4351D5EB" w:rsidR="00C77B5C" w:rsidRPr="00F82EFF" w:rsidRDefault="0052606A" w:rsidP="00C77B5C">
      <w:pPr>
        <w:pStyle w:val="Heading1"/>
        <w:numPr>
          <w:ilvl w:val="1"/>
          <w:numId w:val="4"/>
        </w:numPr>
        <w:spacing w:before="0" w:after="160"/>
        <w:rPr>
          <w:sz w:val="24"/>
          <w:szCs w:val="28"/>
        </w:rPr>
      </w:pPr>
      <w:bookmarkStart w:id="16" w:name="_Toc223041020"/>
      <w:r w:rsidRPr="0052606A">
        <w:rPr>
          <w:sz w:val="24"/>
          <w:szCs w:val="28"/>
          <w:lang w:val="de-DE"/>
        </w:rPr>
        <w:t>Average Treatment Effects</w:t>
      </w:r>
      <w:bookmarkEnd w:id="16"/>
    </w:p>
    <w:p w14:paraId="534E42C7" w14:textId="0AEE1B72" w:rsidR="00BA2CEE" w:rsidRPr="000507B8" w:rsidRDefault="3E30B5BB" w:rsidP="5E041609">
      <w:pPr>
        <w:spacing w:after="120" w:line="360" w:lineRule="auto"/>
        <w:rPr>
          <w:rFonts w:ascii="Times New Roman" w:eastAsia="Aptos" w:hAnsi="Times New Roman" w:cs="Times New Roman"/>
          <w:b/>
          <w:bCs/>
          <w:sz w:val="22"/>
          <w:szCs w:val="22"/>
        </w:rPr>
      </w:pPr>
      <w:r w:rsidRPr="5E041609">
        <w:rPr>
          <w:rFonts w:ascii="Times New Roman" w:eastAsia="Aptos" w:hAnsi="Times New Roman" w:cs="Times New Roman"/>
          <w:b/>
          <w:bCs/>
          <w:sz w:val="22"/>
          <w:szCs w:val="22"/>
        </w:rPr>
        <w:t>Table 2 — Impact of the Tick Size Increase on Trading Turnover</w:t>
      </w:r>
    </w:p>
    <w:p w14:paraId="72A7D57B" w14:textId="041E4930" w:rsidR="0093118D" w:rsidRPr="000507B8" w:rsidRDefault="009A02DF" w:rsidP="5E041609">
      <w:pPr>
        <w:spacing w:after="120" w:line="360" w:lineRule="auto"/>
        <w:rPr>
          <w:rFonts w:ascii="Times New Roman" w:eastAsia="Aptos" w:hAnsi="Times New Roman" w:cs="Times New Roman"/>
          <w:i/>
          <w:iCs/>
          <w:sz w:val="22"/>
          <w:szCs w:val="22"/>
        </w:rPr>
      </w:pPr>
      <w:r w:rsidR="3E30B5BB" w:rsidRPr="5E041609">
        <w:rPr>
          <w:rFonts w:ascii="Times New Roman" w:eastAsia="Aptos" w:hAnsi="Times New Roman" w:cs="Times New Roman"/>
          <w:i/>
          <w:iCs/>
          <w:sz w:val="22"/>
          <w:szCs w:val="22"/>
        </w:rPr>
        <w:t>Dependent variable: ln(Turnover)</w:t>
      </w:r>
    </w:p>
    <w:tbl>
      <w:tblPr>
        <w:tblW w:w="8640" w:type="dxa"/>
        <w:tblBorders>
          <w:top w:val="single" w:sz="12" w:space="0" w:color="auto"/>
          <w:left w:val="none" w:sz="0" w:space="0" w:color="auto"/>
          <w:bottom w:val="single" w:sz="12" w:space="0" w:color="auto"/>
          <w:right w:val="none" w:sz="0" w:space="0" w:color="auto"/>
          <w:insideH w:val="single" w:sz="4" w:space="0" w:color="auto"/>
          <w:insideV w:val="none" w:sz="0" w:space="0" w:color="auto"/>
        </w:tblBorders>
      </w:tblPr>
      <w:tblGrid>
        <w:gridCol w:w="3240"/>
        <w:gridCol w:w="1350"/>
        <w:gridCol w:w="1350"/>
        <w:gridCol w:w="1350"/>
        <w:gridCol w:w="1350"/>
      </w:tblGrid>
      <w:tr>
        <w:tc>
          <w:tcPr>
            <w:tcW w:w="3240" w:type="dxa"/>
          </w:tcPr>
          <w:p>
            <w:pPr>
              <w:jc w:val="left"/>
              <w:rPr>
                <w:sz w:val="20"/>
                <w:szCs w:val="20"/>
              </w:rPr>
            </w:pPr>
            <w:r>
              <w:rPr>
                <w:sz w:val="20"/>
                <w:szCs w:val="20"/>
                <w:b/>
              </w:rPr>
              <w:t xml:space="preserve">Variable</w:t>
            </w:r>
          </w:p>
        </w:tc>
        <w:tc>
          <w:tcPr>
            <w:tcW w:w="1350" w:type="dxa"/>
          </w:tcPr>
          <w:p>
            <w:pPr>
              <w:jc w:val="right"/>
              <w:rPr>
                <w:sz w:val="20"/>
                <w:szCs w:val="20"/>
              </w:rPr>
            </w:pPr>
            <w:r>
              <w:rPr>
                <w:sz w:val="20"/>
                <w:szCs w:val="20"/>
                <w:b/>
              </w:rPr>
              <w:t xml:space="preserve">Coef.</w:t>
            </w:r>
          </w:p>
        </w:tc>
        <w:tc>
          <w:tcPr>
            <w:tcW w:w="1350" w:type="dxa"/>
          </w:tcPr>
          <w:p>
            <w:pPr>
              <w:jc w:val="right"/>
              <w:rPr>
                <w:sz w:val="20"/>
                <w:szCs w:val="20"/>
              </w:rPr>
            </w:pPr>
            <w:r>
              <w:rPr>
                <w:sz w:val="20"/>
                <w:szCs w:val="20"/>
                <w:b/>
              </w:rPr>
              <w:t xml:space="preserve">(SE)</w:t>
            </w:r>
          </w:p>
        </w:tc>
        <w:tc>
          <w:tcPr>
            <w:tcW w:w="1350" w:type="dxa"/>
          </w:tcPr>
          <w:p>
            <w:pPr>
              <w:jc w:val="right"/>
              <w:rPr>
                <w:sz w:val="20"/>
                <w:szCs w:val="20"/>
              </w:rPr>
            </w:pPr>
            <w:r>
              <w:rPr>
                <w:sz w:val="20"/>
                <w:szCs w:val="20"/>
                <w:b/>
              </w:rPr>
              <w:t xml:space="preserve">Coef.</w:t>
            </w:r>
          </w:p>
        </w:tc>
        <w:tc>
          <w:tcPr>
            <w:tcW w:w="1350" w:type="dxa"/>
          </w:tcPr>
          <w:p>
            <w:pPr>
              <w:jc w:val="right"/>
              <w:rPr>
                <w:sz w:val="20"/>
                <w:szCs w:val="20"/>
              </w:rPr>
            </w:pPr>
            <w:r>
              <w:rPr>
                <w:sz w:val="20"/>
                <w:szCs w:val="20"/>
                <w:b/>
              </w:rPr>
              <w:t xml:space="preserve">(SE)</w:t>
            </w:r>
          </w:p>
        </w:tc>
      </w:tr>
      <w:tr>
        <w:tc>
          <w:tcPr>
            <w:tcW w:w="3240" w:type="dxa"/>
          </w:tcPr>
          <w:p>
            <w:pPr>
              <w:jc w:val="left"/>
              <w:rPr>
                <w:sz w:val="20"/>
                <w:szCs w:val="20"/>
              </w:rPr>
            </w:pPr>
            <w:r>
              <w:rPr>
                <w:sz w:val="20"/>
                <w:szCs w:val="20"/>
              </w:rPr>
              <w:t xml:space="preserve">G1 × Treatment Period</w:t>
            </w:r>
          </w:p>
        </w:tc>
        <w:tc>
          <w:tcPr>
            <w:tcW w:w="1350" w:type="dxa"/>
          </w:tcPr>
          <w:p>
            <w:pPr>
              <w:jc w:val="right"/>
              <w:rPr>
                <w:sz w:val="20"/>
                <w:szCs w:val="20"/>
              </w:rPr>
            </w:pPr>
            <w:r>
              <w:rPr>
                <w:sz w:val="20"/>
                <w:szCs w:val="20"/>
              </w:rPr>
              <w:t xml:space="preserve">−0.0655**</w:t>
            </w:r>
          </w:p>
        </w:tc>
        <w:tc>
          <w:tcPr>
            <w:tcW w:w="1350" w:type="dxa"/>
          </w:tcPr>
          <w:p>
            <w:pPr>
              <w:jc w:val="right"/>
              <w:rPr>
                <w:sz w:val="20"/>
                <w:szCs w:val="20"/>
              </w:rPr>
            </w:pPr>
            <w:r>
              <w:rPr>
                <w:sz w:val="20"/>
                <w:szCs w:val="20"/>
              </w:rPr>
              <w:t xml:space="preserve">(0.0295)</w:t>
            </w:r>
          </w:p>
        </w:tc>
        <w:tc>
          <w:tcPr>
            <w:tcW w:w="1350" w:type="dxa"/>
          </w:tcPr>
          <w:p>
            <w:pPr>
              <w:jc w:val="right"/>
              <w:rPr>
                <w:sz w:val="20"/>
                <w:szCs w:val="20"/>
              </w:rPr>
            </w:pPr>
            <w:r>
              <w:rPr>
                <w:sz w:val="20"/>
                <w:szCs w:val="20"/>
              </w:rPr>
              <w:t xml:space="preserve">0.0823</w:t>
            </w:r>
          </w:p>
        </w:tc>
        <w:tc>
          <w:tcPr>
            <w:tcW w:w="1350" w:type="dxa"/>
          </w:tcPr>
          <w:p>
            <w:pPr>
              <w:jc w:val="right"/>
              <w:rPr>
                <w:sz w:val="20"/>
                <w:szCs w:val="20"/>
              </w:rPr>
            </w:pPr>
            <w:r>
              <w:rPr>
                <w:sz w:val="20"/>
                <w:szCs w:val="20"/>
              </w:rPr>
              <w:t xml:space="preserve">(0.0663)</w:t>
            </w:r>
          </w:p>
        </w:tc>
      </w:tr>
      <w:tr>
        <w:tc>
          <w:tcPr>
            <w:tcW w:w="3240" w:type="dxa"/>
          </w:tcPr>
          <w:p>
            <w:pPr>
              <w:jc w:val="left"/>
              <w:rPr>
                <w:sz w:val="20"/>
                <w:szCs w:val="20"/>
              </w:rPr>
            </w:pPr>
            <w:r>
              <w:rPr>
                <w:sz w:val="20"/>
                <w:szCs w:val="20"/>
              </w:rPr>
              <w:t xml:space="preserve">G2 × Treatment Period</w:t>
            </w:r>
          </w:p>
        </w:tc>
        <w:tc>
          <w:tcPr>
            <w:tcW w:w="1350" w:type="dxa"/>
          </w:tcPr>
          <w:p>
            <w:pPr>
              <w:jc w:val="right"/>
              <w:rPr>
                <w:sz w:val="20"/>
                <w:szCs w:val="20"/>
              </w:rPr>
            </w:pPr>
            <w:r>
              <w:rPr>
                <w:sz w:val="20"/>
                <w:szCs w:val="20"/>
              </w:rPr>
              <w:t xml:space="preserve">−0.0677**</w:t>
            </w:r>
          </w:p>
        </w:tc>
        <w:tc>
          <w:tcPr>
            <w:tcW w:w="1350" w:type="dxa"/>
          </w:tcPr>
          <w:p>
            <w:pPr>
              <w:jc w:val="right"/>
              <w:rPr>
                <w:sz w:val="20"/>
                <w:szCs w:val="20"/>
              </w:rPr>
            </w:pPr>
            <w:r>
              <w:rPr>
                <w:sz w:val="20"/>
                <w:szCs w:val="20"/>
              </w:rPr>
              <w:t xml:space="preserve">(0.0321)</w:t>
            </w:r>
          </w:p>
        </w:tc>
        <w:tc>
          <w:tcPr>
            <w:tcW w:w="1350" w:type="dxa"/>
          </w:tcPr>
          <w:p>
            <w:pPr>
              <w:jc w:val="right"/>
              <w:rPr>
                <w:sz w:val="20"/>
                <w:szCs w:val="20"/>
              </w:rPr>
            </w:pPr>
            <w:r>
              <w:rPr>
                <w:sz w:val="20"/>
                <w:szCs w:val="20"/>
              </w:rPr>
              <w:t xml:space="preserve">0.0695</w:t>
            </w:r>
          </w:p>
        </w:tc>
        <w:tc>
          <w:tcPr>
            <w:tcW w:w="1350" w:type="dxa"/>
          </w:tcPr>
          <w:p>
            <w:pPr>
              <w:jc w:val="right"/>
              <w:rPr>
                <w:sz w:val="20"/>
                <w:szCs w:val="20"/>
              </w:rPr>
            </w:pPr>
            <w:r>
              <w:rPr>
                <w:sz w:val="20"/>
                <w:szCs w:val="20"/>
              </w:rPr>
              <w:t xml:space="preserve">(0.0728)</w:t>
            </w:r>
          </w:p>
        </w:tc>
      </w:tr>
      <w:tr>
        <w:tc>
          <w:tcPr>
            <w:tcW w:w="3240" w:type="dxa"/>
          </w:tcPr>
          <w:p>
            <w:pPr>
              <w:jc w:val="left"/>
              <w:rPr>
                <w:sz w:val="20"/>
                <w:szCs w:val="20"/>
              </w:rPr>
            </w:pPr>
            <w:r>
              <w:rPr>
                <w:sz w:val="20"/>
                <w:szCs w:val="20"/>
              </w:rPr>
              <w:t xml:space="preserve">G3 × Treatment Period</w:t>
            </w:r>
          </w:p>
        </w:tc>
        <w:tc>
          <w:tcPr>
            <w:tcW w:w="1350" w:type="dxa"/>
          </w:tcPr>
          <w:p>
            <w:pPr>
              <w:jc w:val="right"/>
              <w:rPr>
                <w:sz w:val="20"/>
                <w:szCs w:val="20"/>
              </w:rPr>
            </w:pPr>
            <w:r>
              <w:rPr>
                <w:sz w:val="20"/>
                <w:szCs w:val="20"/>
              </w:rPr>
              <w:t xml:space="preserve">−0.0642**</w:t>
            </w:r>
          </w:p>
        </w:tc>
        <w:tc>
          <w:tcPr>
            <w:tcW w:w="1350" w:type="dxa"/>
          </w:tcPr>
          <w:p>
            <w:pPr>
              <w:jc w:val="right"/>
              <w:rPr>
                <w:sz w:val="20"/>
                <w:szCs w:val="20"/>
              </w:rPr>
            </w:pPr>
            <w:r>
              <w:rPr>
                <w:sz w:val="20"/>
                <w:szCs w:val="20"/>
              </w:rPr>
              <w:t xml:space="preserve">(0.0313)</w:t>
            </w:r>
          </w:p>
        </w:tc>
        <w:tc>
          <w:tcPr>
            <w:tcW w:w="1350" w:type="dxa"/>
          </w:tcPr>
          <w:p>
            <w:pPr>
              <w:jc w:val="right"/>
              <w:rPr>
                <w:sz w:val="20"/>
                <w:szCs w:val="20"/>
              </w:rPr>
            </w:pPr>
            <w:r>
              <w:rPr>
                <w:sz w:val="20"/>
                <w:szCs w:val="20"/>
              </w:rPr>
              <w:t xml:space="preserve">0.0634</w:t>
            </w:r>
          </w:p>
        </w:tc>
        <w:tc>
          <w:tcPr>
            <w:tcW w:w="1350" w:type="dxa"/>
          </w:tcPr>
          <w:p>
            <w:pPr>
              <w:jc w:val="right"/>
              <w:rPr>
                <w:sz w:val="20"/>
                <w:szCs w:val="20"/>
              </w:rPr>
            </w:pPr>
            <w:r>
              <w:rPr>
                <w:sz w:val="20"/>
                <w:szCs w:val="20"/>
              </w:rPr>
              <w:t xml:space="preserve">(0.0703)</w:t>
            </w:r>
          </w:p>
        </w:tc>
      </w:tr>
      <w:tr>
        <w:tc>
          <w:tcPr>
            <w:tcW w:w="3240" w:type="dxa"/>
          </w:tcPr>
          <w:p>
            <w:pPr>
              <w:jc w:val="left"/>
              <w:rPr>
                <w:sz w:val="20"/>
                <w:szCs w:val="20"/>
              </w:rPr>
            </w:pPr>
            <w:r>
              <w:rPr>
                <w:sz w:val="20"/>
                <w:szCs w:val="20"/>
              </w:rPr>
              <w:t xml:space="preserve">G1 × Post-Pilot</w:t>
            </w:r>
          </w:p>
        </w:tc>
        <w:tc>
          <w:tcPr>
            <w:tcW w:w="1350" w:type="dxa"/>
          </w:tcPr>
          <w:p>
            <w:pPr>
              <w:jc w:val="right"/>
              <w:rPr>
                <w:sz w:val="20"/>
                <w:szCs w:val="20"/>
              </w:rPr>
            </w:pPr>
            <w:r>
              <w:rPr>
                <w:sz w:val="20"/>
                <w:szCs w:val="20"/>
              </w:rPr>
              <w:t xml:space="preserve">−0.0388</w:t>
            </w:r>
          </w:p>
        </w:tc>
        <w:tc>
          <w:tcPr>
            <w:tcW w:w="1350" w:type="dxa"/>
          </w:tcPr>
          <w:p>
            <w:pPr>
              <w:jc w:val="right"/>
              <w:rPr>
                <w:sz w:val="20"/>
                <w:szCs w:val="20"/>
              </w:rPr>
            </w:pPr>
            <w:r>
              <w:rPr>
                <w:sz w:val="20"/>
                <w:szCs w:val="20"/>
              </w:rPr>
              <w:t xml:space="preserve">(0.0410)</w:t>
            </w:r>
          </w:p>
        </w:tc>
        <w:tc>
          <w:tcPr>
            <w:tcW w:w="1350" w:type="dxa"/>
          </w:tcPr>
          <w:p>
            <w:pPr>
              <w:jc w:val="right"/>
              <w:rPr>
                <w:sz w:val="20"/>
                <w:szCs w:val="20"/>
              </w:rPr>
            </w:pPr>
            <w:r>
              <w:rPr>
                <w:sz w:val="20"/>
                <w:szCs w:val="20"/>
              </w:rPr>
              <w:t xml:space="preserve">0.0708</w:t>
            </w:r>
          </w:p>
        </w:tc>
        <w:tc>
          <w:tcPr>
            <w:tcW w:w="1350" w:type="dxa"/>
          </w:tcPr>
          <w:p>
            <w:pPr>
              <w:jc w:val="right"/>
              <w:rPr>
                <w:sz w:val="20"/>
                <w:szCs w:val="20"/>
              </w:rPr>
            </w:pPr>
            <w:r>
              <w:rPr>
                <w:sz w:val="20"/>
                <w:szCs w:val="20"/>
              </w:rPr>
              <w:t xml:space="preserve">(0.0911)</w:t>
            </w:r>
          </w:p>
        </w:tc>
      </w:tr>
      <w:tr>
        <w:tc>
          <w:tcPr>
            <w:tcW w:w="3240" w:type="dxa"/>
          </w:tcPr>
          <w:p>
            <w:pPr>
              <w:jc w:val="left"/>
              <w:rPr>
                <w:sz w:val="20"/>
                <w:szCs w:val="20"/>
              </w:rPr>
            </w:pPr>
            <w:r>
              <w:rPr>
                <w:sz w:val="20"/>
                <w:szCs w:val="20"/>
              </w:rPr>
              <w:t xml:space="preserve">G2 × Post-Pilot</w:t>
            </w:r>
          </w:p>
        </w:tc>
        <w:tc>
          <w:tcPr>
            <w:tcW w:w="1350" w:type="dxa"/>
          </w:tcPr>
          <w:p>
            <w:pPr>
              <w:jc w:val="right"/>
              <w:rPr>
                <w:sz w:val="20"/>
                <w:szCs w:val="20"/>
              </w:rPr>
            </w:pPr>
            <w:r>
              <w:rPr>
                <w:sz w:val="20"/>
                <w:szCs w:val="20"/>
              </w:rPr>
              <w:t xml:space="preserve">−0.0903**</w:t>
            </w:r>
          </w:p>
        </w:tc>
        <w:tc>
          <w:tcPr>
            <w:tcW w:w="1350" w:type="dxa"/>
          </w:tcPr>
          <w:p>
            <w:pPr>
              <w:jc w:val="right"/>
              <w:rPr>
                <w:sz w:val="20"/>
                <w:szCs w:val="20"/>
              </w:rPr>
            </w:pPr>
            <w:r>
              <w:rPr>
                <w:sz w:val="20"/>
                <w:szCs w:val="20"/>
              </w:rPr>
              <w:t xml:space="preserve">(0.0426)</w:t>
            </w:r>
          </w:p>
        </w:tc>
        <w:tc>
          <w:tcPr>
            <w:tcW w:w="1350" w:type="dxa"/>
          </w:tcPr>
          <w:p>
            <w:pPr>
              <w:jc w:val="right"/>
              <w:rPr>
                <w:sz w:val="20"/>
                <w:szCs w:val="20"/>
              </w:rPr>
            </w:pPr>
            <w:r>
              <w:rPr>
                <w:sz w:val="20"/>
                <w:szCs w:val="20"/>
              </w:rPr>
              <w:t xml:space="preserve">0.0791</w:t>
            </w:r>
          </w:p>
        </w:tc>
        <w:tc>
          <w:tcPr>
            <w:tcW w:w="1350" w:type="dxa"/>
          </w:tcPr>
          <w:p>
            <w:pPr>
              <w:jc w:val="right"/>
              <w:rPr>
                <w:sz w:val="20"/>
                <w:szCs w:val="20"/>
              </w:rPr>
            </w:pPr>
            <w:r>
              <w:rPr>
                <w:sz w:val="20"/>
                <w:szCs w:val="20"/>
              </w:rPr>
              <w:t xml:space="preserve">(0.0958)</w:t>
            </w:r>
          </w:p>
        </w:tc>
      </w:tr>
      <w:tr>
        <w:tc>
          <w:tcPr>
            <w:tcW w:w="3240" w:type="dxa"/>
          </w:tcPr>
          <w:p>
            <w:pPr>
              <w:jc w:val="left"/>
              <w:rPr>
                <w:sz w:val="20"/>
                <w:szCs w:val="20"/>
              </w:rPr>
            </w:pPr>
            <w:r>
              <w:rPr>
                <w:sz w:val="20"/>
                <w:szCs w:val="20"/>
              </w:rPr>
              <w:t xml:space="preserve">G3 × Post-Pilot</w:t>
            </w:r>
          </w:p>
        </w:tc>
        <w:tc>
          <w:tcPr>
            <w:tcW w:w="1350" w:type="dxa"/>
          </w:tcPr>
          <w:p>
            <w:pPr>
              <w:jc w:val="right"/>
              <w:rPr>
                <w:sz w:val="20"/>
                <w:szCs w:val="20"/>
              </w:rPr>
            </w:pPr>
            <w:r>
              <w:rPr>
                <w:sz w:val="20"/>
                <w:szCs w:val="20"/>
              </w:rPr>
              <w:t xml:space="preserve">−0.0023</w:t>
            </w:r>
          </w:p>
        </w:tc>
        <w:tc>
          <w:tcPr>
            <w:tcW w:w="1350" w:type="dxa"/>
          </w:tcPr>
          <w:p>
            <w:pPr>
              <w:jc w:val="right"/>
              <w:rPr>
                <w:sz w:val="20"/>
                <w:szCs w:val="20"/>
              </w:rPr>
            </w:pPr>
            <w:r>
              <w:rPr>
                <w:sz w:val="20"/>
                <w:szCs w:val="20"/>
              </w:rPr>
              <w:t xml:space="preserve">(0.0435)</w:t>
            </w:r>
          </w:p>
        </w:tc>
        <w:tc>
          <w:tcPr>
            <w:tcW w:w="1350" w:type="dxa"/>
          </w:tcPr>
          <w:p>
            <w:pPr>
              <w:jc w:val="right"/>
              <w:rPr>
                <w:sz w:val="20"/>
                <w:szCs w:val="20"/>
              </w:rPr>
            </w:pPr>
            <w:r>
              <w:rPr>
                <w:sz w:val="20"/>
                <w:szCs w:val="20"/>
              </w:rPr>
              <w:t xml:space="preserve">0.2009**</w:t>
            </w:r>
          </w:p>
        </w:tc>
        <w:tc>
          <w:tcPr>
            <w:tcW w:w="1350" w:type="dxa"/>
          </w:tcPr>
          <w:p>
            <w:pPr>
              <w:jc w:val="right"/>
              <w:rPr>
                <w:sz w:val="20"/>
                <w:szCs w:val="20"/>
              </w:rPr>
            </w:pPr>
            <w:r>
              <w:rPr>
                <w:sz w:val="20"/>
                <w:szCs w:val="20"/>
              </w:rPr>
              <w:t xml:space="preserve">(0.0967)</w:t>
            </w:r>
          </w:p>
        </w:tc>
      </w:tr>
      <w:tr>
        <w:tc>
          <w:tcPr>
            <w:tcW w:w="3240" w:type="dxa"/>
          </w:tcPr>
          <w:p>
            <w:pPr>
              <w:jc w:val="lef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G1 × Treatment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−0.2043***</w:t>
            </w:r>
          </w:p>
        </w:tc>
        <w:tc>
          <w:tcPr>
            <w:tcW w:w="1350" w:type="dxa"/>
          </w:tcPr>
          <w:p>
            <w:pPr>
              <w:jc w:val="right"/>
              <w:rPr>
                <w:sz w:val="20"/>
                <w:szCs w:val="20"/>
              </w:rPr>
            </w:pPr>
            <w:r>
              <w:rPr>
                <w:sz w:val="20"/>
                <w:szCs w:val="20"/>
              </w:rPr>
              <w:t xml:space="preserve">(0.0685)</w:t>
            </w:r>
          </w:p>
        </w:tc>
      </w:tr>
      <w:tr>
        <w:tc>
          <w:tcPr>
            <w:tcW w:w="3240" w:type="dxa"/>
          </w:tcPr>
          <w:p>
            <w:pPr>
              <w:jc w:val="left"/>
              <w:rPr>
                <w:sz w:val="20"/>
                <w:szCs w:val="20"/>
              </w:rPr>
            </w:pPr>
            <w:r>
              <w:rPr>
                <w:sz w:val="20"/>
                <w:szCs w:val="20"/>
              </w:rPr>
              <w:t xml:space="preserve">G2 × Treatment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−0.1871**</w:t>
            </w:r>
          </w:p>
        </w:tc>
        <w:tc>
          <w:tcPr>
            <w:tcW w:w="1350" w:type="dxa"/>
          </w:tcPr>
          <w:p>
            <w:pPr>
              <w:jc w:val="right"/>
              <w:rPr>
                <w:sz w:val="20"/>
                <w:szCs w:val="20"/>
              </w:rPr>
            </w:pPr>
            <w:r>
              <w:rPr>
                <w:sz w:val="20"/>
                <w:szCs w:val="20"/>
              </w:rPr>
              <w:t xml:space="preserve">(0.0761)</w:t>
            </w:r>
          </w:p>
        </w:tc>
      </w:tr>
      <w:tr>
        <w:tc>
          <w:tcPr>
            <w:tcW w:w="3240" w:type="dxa"/>
          </w:tcPr>
          <w:p>
            <w:pPr>
              <w:jc w:val="left"/>
              <w:rPr>
                <w:sz w:val="20"/>
                <w:szCs w:val="20"/>
              </w:rPr>
            </w:pPr>
            <w:r>
              <w:rPr>
                <w:sz w:val="20"/>
                <w:szCs w:val="20"/>
              </w:rPr>
              <w:t xml:space="preserve">G3 × Treatment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−0.1739**</w:t>
            </w:r>
          </w:p>
        </w:tc>
        <w:tc>
          <w:tcPr>
            <w:tcW w:w="1350" w:type="dxa"/>
          </w:tcPr>
          <w:p>
            <w:pPr>
              <w:jc w:val="right"/>
              <w:rPr>
                <w:sz w:val="20"/>
                <w:szCs w:val="20"/>
              </w:rPr>
            </w:pPr>
            <w:r>
              <w:rPr>
                <w:sz w:val="20"/>
                <w:szCs w:val="20"/>
              </w:rPr>
              <w:t xml:space="preserve">(0.0736)</w:t>
            </w:r>
          </w:p>
        </w:tc>
      </w:tr>
      <w:tr>
        <w:tc>
          <w:tcPr>
            <w:tcW w:w="3240" w:type="dxa"/>
          </w:tcPr>
          <w:p>
            <w:pPr>
              <w:jc w:val="left"/>
              <w:rPr>
                <w:sz w:val="20"/>
                <w:szCs w:val="20"/>
              </w:rPr>
            </w:pPr>
            <w:r>
              <w:rPr>
                <w:sz w:val="20"/>
                <w:szCs w:val="20"/>
              </w:rPr>
              <w:t xml:space="preserve">G1 × Post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−0.1512</w:t>
            </w:r>
          </w:p>
        </w:tc>
        <w:tc>
          <w:tcPr>
            <w:tcW w:w="1350" w:type="dxa"/>
          </w:tcPr>
          <w:p>
            <w:pPr>
              <w:jc w:val="right"/>
              <w:rPr>
                <w:sz w:val="20"/>
                <w:szCs w:val="20"/>
              </w:rPr>
            </w:pPr>
            <w:r>
              <w:rPr>
                <w:sz w:val="20"/>
                <w:szCs w:val="20"/>
              </w:rPr>
              <w:t xml:space="preserve">(0.0948)</w:t>
            </w:r>
          </w:p>
        </w:tc>
      </w:tr>
      <w:tr>
        <w:tc>
          <w:tcPr>
            <w:tcW w:w="3240" w:type="dxa"/>
          </w:tcPr>
          <w:p>
            <w:pPr>
              <w:jc w:val="left"/>
              <w:rPr>
                <w:sz w:val="20"/>
                <w:szCs w:val="20"/>
              </w:rPr>
            </w:pPr>
            <w:r>
              <w:rPr>
                <w:sz w:val="20"/>
                <w:szCs w:val="20"/>
              </w:rPr>
              <w:t xml:space="preserve">G2 × Post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−0.2310**</w:t>
            </w:r>
          </w:p>
        </w:tc>
        <w:tc>
          <w:tcPr>
            <w:tcW w:w="1350" w:type="dxa"/>
          </w:tcPr>
          <w:p>
            <w:pPr>
              <w:jc w:val="right"/>
              <w:rPr>
                <w:sz w:val="20"/>
                <w:szCs w:val="20"/>
              </w:rPr>
            </w:pPr>
            <w:r>
              <w:rPr>
                <w:sz w:val="20"/>
                <w:szCs w:val="20"/>
              </w:rPr>
              <w:t xml:space="preserve">(0.1001)</w:t>
            </w:r>
          </w:p>
        </w:tc>
      </w:tr>
      <w:tr>
        <w:tc>
          <w:tcPr>
            <w:tcW w:w="3240" w:type="dxa"/>
          </w:tcPr>
          <w:p>
            <w:pPr>
              <w:jc w:val="left"/>
              <w:rPr>
                <w:sz w:val="20"/>
                <w:szCs w:val="20"/>
              </w:rPr>
            </w:pPr>
            <w:r>
              <w:rPr>
                <w:sz w:val="20"/>
                <w:szCs w:val="20"/>
              </w:rPr>
              <w:t xml:space="preserve">G3 × Post × SmallSpread</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−0.2770***</w:t>
            </w:r>
          </w:p>
        </w:tc>
        <w:tc>
          <w:tcPr>
            <w:tcW w:w="1350" w:type="dxa"/>
          </w:tcPr>
          <w:p>
            <w:pPr>
              <w:jc w:val="right"/>
              <w:rPr>
                <w:sz w:val="20"/>
                <w:szCs w:val="20"/>
              </w:rPr>
            </w:pPr>
            <w:r>
              <w:rPr>
                <w:sz w:val="20"/>
                <w:szCs w:val="20"/>
              </w:rPr>
              <w:t xml:space="preserve">(0.1017)</w:t>
            </w:r>
          </w:p>
        </w:tc>
      </w:tr>
      <w:tr>
        <w:tc>
          <w:tcPr>
            <w:tcW w:w="3240" w:type="dxa"/>
          </w:tcPr>
          <w:p>
            <w:pPr>
              <w:jc w:val="lef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Observations</w:t>
            </w:r>
          </w:p>
        </w:tc>
        <w:tc>
          <w:tcPr>
            <w:tcW w:w="1350" w:type="dxa"/>
          </w:tcPr>
          <w:p>
            <w:pPr>
              <w:jc w:val="right"/>
              <w:rPr>
                <w:sz w:val="20"/>
                <w:szCs w:val="20"/>
              </w:rPr>
            </w:pPr>
            <w:r>
              <w:rPr>
                <w:sz w:val="20"/>
                <w:szCs w:val="20"/>
              </w:rPr>
              <w:t xml:space="preserve">—</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w:t>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Adj. Within R²</w:t>
            </w:r>
          </w:p>
        </w:tc>
        <w:tc>
          <w:tcPr>
            <w:tcW w:w="1350" w:type="dxa"/>
          </w:tcPr>
          <w:p>
            <w:pPr>
              <w:jc w:val="right"/>
              <w:rPr>
                <w:sz w:val="20"/>
                <w:szCs w:val="20"/>
              </w:rPr>
            </w:pPr>
            <w:r>
              <w:rPr>
                <w:sz w:val="20"/>
                <w:szCs w:val="20"/>
              </w:rPr>
              <w:t xml:space="preserve">—</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w:t>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Firm FE</w:t>
            </w:r>
          </w:p>
        </w:tc>
        <w:tc>
          <w:tcPr>
            <w:tcW w:w="1350" w:type="dxa"/>
          </w:tcPr>
          <w:p>
            <w:pPr>
              <w:jc w:val="right"/>
              <w:rPr>
                <w:sz w:val="20"/>
                <w:szCs w:val="20"/>
              </w:rPr>
            </w:pPr>
            <w:r>
              <w:rPr>
                <w:sz w:val="20"/>
                <w:szCs w:val="20"/>
              </w:rPr>
              <w:t xml:space="preserve">Yes</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Yes</w:t>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Date FE</w:t>
            </w:r>
          </w:p>
        </w:tc>
        <w:tc>
          <w:tcPr>
            <w:tcW w:w="1350" w:type="dxa"/>
          </w:tcPr>
          <w:p>
            <w:pPr>
              <w:jc w:val="right"/>
              <w:rPr>
                <w:sz w:val="20"/>
                <w:szCs w:val="20"/>
              </w:rPr>
            </w:pPr>
            <w:r>
              <w:rPr>
                <w:sz w:val="20"/>
                <w:szCs w:val="20"/>
              </w:rPr>
              <w:t xml:space="preserve">Yes</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Yes</w:t>
            </w:r>
          </w:p>
        </w:tc>
        <w:tc>
          <w:tcPr>
            <w:tcW w:w="1350" w:type="dxa"/>
          </w:tcPr>
          <w:p>
            <w:pPr>
              <w:jc w:val="right"/>
              <w:rPr>
                <w:sz w:val="20"/>
                <w:szCs w:val="20"/>
              </w:rPr>
            </w:pPr>
            <w:r>
              <w:rPr>
                <w:sz w:val="20"/>
                <w:szCs w:val="20"/>
              </w:rPr>
              <w:t xml:space="preserve"/>
            </w:r>
          </w:p>
        </w:tc>
      </w:tr>
      <w:tr>
        <w:tc>
          <w:tcPr>
            <w:tcW w:w="3240" w:type="dxa"/>
          </w:tcPr>
          <w:p>
            <w:pPr>
              <w:jc w:val="left"/>
              <w:rPr>
                <w:sz w:val="20"/>
                <w:szCs w:val="20"/>
              </w:rPr>
            </w:pPr>
            <w:r>
              <w:rPr>
                <w:sz w:val="20"/>
                <w:szCs w:val="20"/>
              </w:rPr>
              <w:t xml:space="preserve">Clustered SE</w:t>
            </w:r>
          </w:p>
        </w:tc>
        <w:tc>
          <w:tcPr>
            <w:tcW w:w="1350" w:type="dxa"/>
          </w:tcPr>
          <w:p>
            <w:pPr>
              <w:jc w:val="right"/>
              <w:rPr>
                <w:sz w:val="20"/>
                <w:szCs w:val="20"/>
              </w:rPr>
            </w:pPr>
            <w:r>
              <w:rPr>
                <w:sz w:val="20"/>
                <w:szCs w:val="20"/>
              </w:rPr>
              <w:t xml:space="preserve">Firm</w:t>
            </w:r>
          </w:p>
        </w:tc>
        <w:tc>
          <w:tcPr>
            <w:tcW w:w="1350" w:type="dxa"/>
          </w:tcPr>
          <w:p>
            <w:pPr>
              <w:jc w:val="right"/>
              <w:rPr>
                <w:sz w:val="20"/>
                <w:szCs w:val="20"/>
              </w:rPr>
            </w:pPr>
            <w:r>
              <w:rPr>
                <w:sz w:val="20"/>
                <w:szCs w:val="20"/>
              </w:rPr>
              <w:t xml:space="preserve"/>
            </w:r>
          </w:p>
        </w:tc>
        <w:tc>
          <w:tcPr>
            <w:tcW w:w="1350" w:type="dxa"/>
          </w:tcPr>
          <w:p>
            <w:pPr>
              <w:jc w:val="right"/>
              <w:rPr>
                <w:sz w:val="20"/>
                <w:szCs w:val="20"/>
              </w:rPr>
            </w:pPr>
            <w:r>
              <w:rPr>
                <w:sz w:val="20"/>
                <w:szCs w:val="20"/>
              </w:rPr>
              <w:t xml:space="preserve">Firm</w:t>
            </w:r>
          </w:p>
        </w:tc>
        <w:tc>
          <w:tcPr>
            <w:tcW w:w="1350" w:type="dxa"/>
          </w:tcPr>
          <w:p>
            <w:pPr>
              <w:jc w:val="right"/>
              <w:rPr>
                <w:sz w:val="20"/>
                <w:szCs w:val="20"/>
              </w:rPr>
            </w:pPr>
            <w:r>
              <w:rPr>
                <w:sz w:val="20"/>
                <w:szCs w:val="20"/>
              </w:rPr>
              <w:t xml:space="preserve"/>
            </w:r>
          </w:p>
        </w:tc>
      </w:tr>
    </w:tbl>
    <w:p>
      <w:r>
        <w:rPr>
          <w:i/>
        </w:rPr>
        <w:t xml:space="preserve">Note: Observation count and Adj. Within R² (—) are to be filled from the Stata regression output after running v2.5.do.</w:t>
      </w:r>
    </w:p>
    <w:p>
      <w:r>
        <w:rPr>
          <w:i/>
        </w:rPr>
        <w:t xml:space="preserve">Note: Observation count and Adj. Within R² (—) are to be filled from the Stata regression output after running v2.5.do.</w:t>
      </w:r>
    </w:p>
    <w:p w14:paraId="0E9D6825" w14:textId="62FA0B3E" w:rsidR="00932DD1" w:rsidRPr="000507B8" w:rsidRDefault="00024701" w:rsidP="5E041609">
      <w:pPr>
        <w:spacing w:after="120" w:line="360" w:lineRule="auto"/>
        <w:jc w:val="both"/>
        <w:rPr>
          <w:rFonts w:ascii="Times New Roman" w:eastAsia="Aptos" w:hAnsi="Times New Roman" w:cs="Times New Roman"/>
          <w:sz w:val="22"/>
          <w:szCs w:val="22"/>
        </w:rPr>
      </w:pPr>
      <w:r w:rsidRPr="5E041609">
        <w:rPr>
          <w:rFonts w:ascii="Times New Roman" w:eastAsia="Aptos" w:hAnsi="Times New Roman" w:cs="Times New Roman"/>
          <w:i/>
          <w:iCs/>
          <w:sz w:val="22"/>
          <w:szCs w:val="22"/>
        </w:rPr>
        <w:t>Notes:</w:t>
      </w:r>
      <w:r w:rsidRPr="5E041609">
        <w:rPr>
          <w:rFonts w:ascii="Times New Roman" w:eastAsia="Aptos" w:hAnsi="Times New Roman" w:cs="Times New Roman"/>
          <w:sz w:val="22"/>
          <w:szCs w:val="22"/>
        </w:rPr>
        <w:t xml:space="preserve"> </w:t>
      </w:r>
      <w:r w:rsidR="00C463BC" w:rsidRPr="5E041609">
        <w:rPr>
          <w:rFonts w:ascii="Times New Roman" w:eastAsia="Aptos" w:hAnsi="Times New Roman" w:cs="Times New Roman"/>
          <w:sz w:val="22"/>
          <w:szCs w:val="22"/>
        </w:rPr>
        <w:t>The dependent variable is the natural logarithm of daily share turnover. G1, G2, and G3 indicate assignment to the three SEC Tick Size Pilot treatment groups. Treatment equals one during the pilot implementation period. SmallSpread equals one if the firm’s pre-treatment average quoted spread is below $0.05. All regressions include firm and date fixed effects. Standard errors, reported in parentheses, are clustered at the firm level. ***, **, and * denote statistical significance at the 1 percent, 5 percent, and 10 percent levels, respectively.</w:t>
      </w:r>
    </w:p>
    <w:p w14:paraId="1F7F27D6" w14:textId="77777777" w:rsidR="002B5125" w:rsidRPr="002B5125" w:rsidRDefault="002B5125" w:rsidP="002B5125">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Table 2 reports the baseline difference-in-differences estimates of the impact of the minimum tick size increase on daily trading turnover. The dependent variable is the natural logarithm of daily share turnover. All specifications include firm and date fixed effects. Standard errors are clustered at the firm level to account for serial correlation within stocks over time.</w:t>
      </w:r>
    </w:p>
    <w:p w14:paraId="6C2801D3" w14:textId="77777777" w:rsidR="002B5125" w:rsidRPr="002B5125" w:rsidRDefault="002B5125" w:rsidP="002B5125">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Column (1) presents the baseline specification allowing for separate treatment effects for each pilot group. The estimated coefficients on the interaction terms between group indicators and the treatment period capture the average change in trading activity for treated stocks relative to the control group following the implementation of the pilot.</w:t>
      </w:r>
    </w:p>
    <w:p w14:paraId="55DAE79F" w14:textId="77777777" w:rsidR="002B5125" w:rsidRPr="002B5125" w:rsidRDefault="002B5125" w:rsidP="002B5125">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The estimated coefficient for Group 1 is −0.0655 and statistically significant at the 5 percent level. This estimate implies an approximate 6.6 percent decline in turnover for Group 1 stocks during the treatment period relative to the control group. For Group 2, the coefficient equals −0.0677 and is statistically significant at the 5 percent level, corresponding to an approximate 6.8 percent reduction in trading activity. For Group 3, the coefficient is −0.0642, also significant at the 5 percent level, implying an approximate 6.4 percent decline in turnover.</w:t>
      </w:r>
    </w:p>
    <w:p w14:paraId="49F4B539" w14:textId="77777777" w:rsidR="002B5125" w:rsidRPr="002B5125" w:rsidRDefault="002B5125" w:rsidP="002B5125">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The results are consistent with Hypothesis 1. Across all three pilot groups, the increase in the minimum tick size is associated with a statistically and economically significant reduction in trading volume. Declines between 6 and 7 percent in daily turnover indicate a notable contraction in trading activity for small capitalization stocks.</w:t>
      </w:r>
    </w:p>
    <w:p w14:paraId="4BD92C37" w14:textId="77777777" w:rsidR="002B5125" w:rsidRPr="002B5125" w:rsidRDefault="002B5125" w:rsidP="002B5125">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The estimated coefficients are −0.0655 for Group 1, −0.0677 for Group 2, and −0.0642 for Group 3. The differences among the three groups are economically small and not statistically distinguishable from one another in pairwise tests. The absence of a strict monotonic ordering across groups with respect to the intensity of trading constraints may reflect the mixed effects of the trade-at prohibition in Group 3 or heterogeneity in pre-treatment stock characteristics across pilot groups.</w:t>
      </w:r>
    </w:p>
    <w:p w14:paraId="54C8FF0B" w14:textId="6A8E6149" w:rsidR="00C265B6" w:rsidRDefault="002B5125" w:rsidP="00B24D6A">
      <w:pPr>
        <w:spacing w:after="120" w:line="360" w:lineRule="auto"/>
        <w:jc w:val="both"/>
        <w:rPr>
          <w:rFonts w:ascii="Times New Roman" w:eastAsia="Aptos" w:hAnsi="Times New Roman" w:cs="Times New Roman"/>
          <w:sz w:val="22"/>
          <w:szCs w:val="22"/>
          <w:lang w:val="en-GB"/>
        </w:rPr>
      </w:pPr>
      <w:r w:rsidRPr="002B5125">
        <w:rPr>
          <w:rFonts w:ascii="Times New Roman" w:eastAsia="Aptos" w:hAnsi="Times New Roman" w:cs="Times New Roman"/>
          <w:sz w:val="22"/>
          <w:szCs w:val="22"/>
          <w:lang w:val="en-GB"/>
        </w:rPr>
        <w:t>Overall, the baseline evidence supports the friction channel described in the theoretical framework. By imposing a higher minimum quoting increment, the pilot appears to have increased effective transaction costs and reduced investors’ willingness to trade.</w:t>
      </w:r>
    </w:p>
    <w:p>
      <w:r>
        <w:t xml:space="preserve">The post-pilot interaction terms, corresponding to the period following the experiment's termination on September 28, 2018, reveal heterogeneous persistence of the treatment effects. For Group 1, the post-pilot coefficient is −0.0388 and not statistically significant, indicating that trading volumes for Group 1 stocks recovered toward pre-pilot levels once the $0.01 minimum tick was reinstated. Group 3 similarly shows no significant post-pilot coefficient (−0.0023), consistent with a full reversal of the volume decline. Group 2, however, exhibits a post-pilot coefficient of −0.0903 that is statistically significant at the 5 percent level, suggesting a more persistent reduction in trading activity for this group that did not fully dissipate upon the pilot's conclusion. This heterogeneity in post-pilot dynamics may reflect group-specific features of the regulatory design, including differences in the structure of the quoting and trading requirements imposed on Group 2 stocks.</w:t>
      </w:r>
    </w:p>
    <w:p>
      <w:r>
        <w:t xml:space="preserve">The post-pilot interaction terms, corresponding to the period following the experiment's termination on September 28, 2018, reveal heterogeneous persistence of the treatment effects. For Group 1, the post-pilot coefficient is −0.0388 and not statistically significant, indicating that trading volumes for Group 1 stocks recovered toward pre-pilot levels once the $0.01 minimum tick was reinstated. Group 3 similarly shows no significant post-pilot coefficient (−0.0023), consistent with a full reversal of the volume decline. Group 2, however, exhibits a post-pilot coefficient of −0.0903 that is statistically significant at the 5 percent level, suggesting a more persistent reduction in trading activity for this group that did not fully dissipate upon the pilot's conclusion. This heterogeneity in post-pilot dynamics may reflect group-specific features of the regulatory design, including differences in the structure of the quoting and trading requirements imposed on Group 2 stocks.</w:t>
      </w:r>
    </w:p>
    <w:p w14:paraId="27BA7819" w14:textId="031EF11F" w:rsidR="0052606A" w:rsidRPr="000507B8" w:rsidRDefault="3C952A45" w:rsidP="5E041609">
      <w:pPr>
        <w:pStyle w:val="Heading1"/>
        <w:spacing w:before="0" w:after="160"/>
        <w:rPr>
          <w:sz w:val="24"/>
          <w:szCs w:val="24"/>
          <w:lang w:val="de-DE"/>
        </w:rPr>
      </w:pPr>
      <w:r w:rsidRPr="5E041609">
        <w:rPr>
          <w:sz w:val="24"/>
          <w:szCs w:val="24"/>
          <w:lang w:val="de-DE"/>
        </w:rPr>
        <w:t>Heterogeneous Effects by Pre-Treatment Spread</w:t>
      </w:r>
    </w:p>
    <w:p w14:paraId="3A95EC86" w14:textId="3168C03E" w:rsidR="006000E3" w:rsidRPr="00E35381" w:rsidRDefault="006000E3" w:rsidP="006000E3">
      <w:pPr>
        <w:spacing w:after="120" w:line="360" w:lineRule="auto"/>
        <w:jc w:val="both"/>
        <w:rPr>
          <w:rFonts w:ascii="Times New Roman" w:eastAsia="Aptos" w:hAnsi="Times New Roman" w:cs="Times New Roman"/>
          <w:sz w:val="22"/>
          <w:szCs w:val="22"/>
          <w:lang w:val="en-GB"/>
        </w:rPr>
      </w:pPr>
      <w:bookmarkStart w:id="17" w:name="_Toc223041022"/>
      <w:r w:rsidRPr="00E35381">
        <w:rPr>
          <w:rFonts w:ascii="Times New Roman" w:eastAsia="Aptos" w:hAnsi="Times New Roman" w:cs="Times New Roman"/>
          <w:sz w:val="22"/>
          <w:szCs w:val="22"/>
          <w:lang w:val="en-GB"/>
        </w:rPr>
        <w:t>Column (2) of Table 2 augments the baseline specification with triple interaction terms between the treatment indicators and the pre-treatment binding constraint variable SmallSpread. This extension allows the treatment effect to differ depending on whether a stock’s average pre-treatment quoted spread was below $0.05. Under Hypothesis 2, the negative volume effect should be concentrated among stocks for which the new tick is likely to bind.</w:t>
      </w:r>
    </w:p>
    <w:p w14:paraId="249F923E" w14:textId="77777777" w:rsidR="006000E3" w:rsidRPr="006000E3" w:rsidRDefault="006000E3" w:rsidP="006000E3">
      <w:pPr>
        <w:spacing w:after="120" w:line="360" w:lineRule="auto"/>
        <w:jc w:val="both"/>
        <w:rPr>
          <w:rFonts w:ascii="Times New Roman" w:eastAsia="Aptos" w:hAnsi="Times New Roman" w:cs="Times New Roman"/>
          <w:sz w:val="22"/>
          <w:szCs w:val="22"/>
          <w:lang w:val="en-GB"/>
        </w:rPr>
      </w:pPr>
      <w:r w:rsidRPr="006000E3">
        <w:rPr>
          <w:rFonts w:ascii="Times New Roman" w:eastAsia="Aptos" w:hAnsi="Times New Roman" w:cs="Times New Roman"/>
          <w:sz w:val="22"/>
          <w:szCs w:val="22"/>
          <w:lang w:val="en-GB"/>
        </w:rPr>
        <w:t>Once heterogeneous effects are introduced, the baseline treatment coefficients for Groups 1 to 3 become statistically insignificant. These coefficients now capture the effect for stocks whose pre-treatment spreads were at or above $0.05. The absence of a significant effect for this subgroup suggests that the regulatory change did not materially alter trading activity for stocks that were unlikely to be constrained by the new tick size.</w:t>
      </w:r>
    </w:p>
    <w:p w14:paraId="18BA2BE4" w14:textId="77777777" w:rsidR="006000E3" w:rsidRPr="006000E3" w:rsidRDefault="006000E3" w:rsidP="006000E3">
      <w:pPr>
        <w:spacing w:after="120" w:line="360" w:lineRule="auto"/>
        <w:jc w:val="both"/>
        <w:rPr>
          <w:rFonts w:ascii="Times New Roman" w:eastAsia="Aptos" w:hAnsi="Times New Roman" w:cs="Times New Roman"/>
          <w:sz w:val="22"/>
          <w:szCs w:val="22"/>
          <w:lang w:val="en-GB"/>
        </w:rPr>
      </w:pPr>
      <w:r w:rsidRPr="006000E3">
        <w:rPr>
          <w:rFonts w:ascii="Times New Roman" w:eastAsia="Aptos" w:hAnsi="Times New Roman" w:cs="Times New Roman"/>
          <w:sz w:val="22"/>
          <w:szCs w:val="22"/>
          <w:lang w:val="en-GB"/>
        </w:rPr>
        <w:t>In contrast, the negative impact on turnover is concentrated among constrained stocks. The triple interaction coefficient for Group 1 is −0.2043 and statistically significant at the 1 percent level. Interpreting this log-linear coefficient as a percentage change, constrained stocks in Group 1 experienced an approximate 18.5 percent additional reduction in turnover relative to unconstrained stocks in the same group. For Group 2, the interaction coefficient is −0.1871 and statistically significant at the 5 percent level, corresponding to an approximate 17.1 percent additional decline. For Group 3, the coefficient is −0.1739 and also significant at the 5 percent level, implying an approximate 16.0 percent additional reduction in turnover for constrained stocks.</w:t>
      </w:r>
    </w:p>
    <w:p w14:paraId="39329BBA" w14:textId="77777777" w:rsidR="006000E3" w:rsidRPr="006000E3" w:rsidRDefault="006000E3" w:rsidP="006000E3">
      <w:pPr>
        <w:spacing w:after="120" w:line="360" w:lineRule="auto"/>
        <w:jc w:val="both"/>
        <w:rPr>
          <w:rFonts w:ascii="Times New Roman" w:eastAsia="Aptos" w:hAnsi="Times New Roman" w:cs="Times New Roman"/>
          <w:sz w:val="22"/>
          <w:szCs w:val="22"/>
          <w:lang w:val="en-GB"/>
        </w:rPr>
      </w:pPr>
      <w:r w:rsidRPr="006000E3">
        <w:rPr>
          <w:rFonts w:ascii="Times New Roman" w:eastAsia="Aptos" w:hAnsi="Times New Roman" w:cs="Times New Roman"/>
          <w:sz w:val="22"/>
          <w:szCs w:val="22"/>
          <w:lang w:val="en-GB"/>
        </w:rPr>
        <w:t>These findings provide strong support for Hypothesis 2. The triple interaction terms are statistically significant across all three pilot groups, indicating that the volume contraction is consistently concentrated among firms for which the $0.05 tick represented a binding constraint. The magnitude of the additional reduction exceeds 15 percent in every group, underscoring the economic significance of the binding constraint mechanism.</w:t>
      </w:r>
    </w:p>
    <w:p w14:paraId="658CF680" w14:textId="77777777" w:rsidR="006000E3" w:rsidRPr="006000E3" w:rsidRDefault="006000E3" w:rsidP="006000E3">
      <w:pPr>
        <w:spacing w:after="120" w:line="360" w:lineRule="auto"/>
        <w:jc w:val="both"/>
        <w:rPr>
          <w:rFonts w:ascii="Times New Roman" w:eastAsia="Aptos" w:hAnsi="Times New Roman" w:cs="Times New Roman"/>
          <w:sz w:val="22"/>
          <w:szCs w:val="22"/>
          <w:lang w:val="en-GB"/>
        </w:rPr>
      </w:pPr>
      <w:r w:rsidRPr="006000E3">
        <w:rPr>
          <w:rFonts w:ascii="Times New Roman" w:eastAsia="Aptos" w:hAnsi="Times New Roman" w:cs="Times New Roman"/>
          <w:sz w:val="22"/>
          <w:szCs w:val="22"/>
          <w:lang w:val="en-GB"/>
        </w:rPr>
        <w:t>The finding that heterogeneous effects are statistically significant across all three groups strengthens the causal interpretation of the results. Within each pilot group, stocks with pre-treatment spreads at or above $0.05—for which the new tick is unlikely to bind—exhibit no significant volume reduction in Column (2). This pattern constitutes an implicit placebo test: if unobserved confounders rather than the tick size increase were driving the results, constrained and unconstrained stocks within the same pilot group would be expected to respond similarly. The differential response documented here is inconsistent with such confounding and reinforces the microstructure channel.</w:t>
      </w:r>
    </w:p>
    <w:p w14:paraId="6BD974B9" w14:textId="77777777" w:rsidR="006000E3" w:rsidRPr="006000E3" w:rsidRDefault="006000E3" w:rsidP="006000E3">
      <w:pPr>
        <w:spacing w:after="120" w:line="360" w:lineRule="auto"/>
        <w:jc w:val="both"/>
        <w:rPr>
          <w:rFonts w:ascii="Times New Roman" w:eastAsia="Aptos" w:hAnsi="Times New Roman" w:cs="Times New Roman"/>
          <w:sz w:val="22"/>
          <w:szCs w:val="22"/>
          <w:lang w:val="en-GB"/>
        </w:rPr>
      </w:pPr>
      <w:r w:rsidRPr="006000E3">
        <w:rPr>
          <w:rFonts w:ascii="Times New Roman" w:eastAsia="Aptos" w:hAnsi="Times New Roman" w:cs="Times New Roman"/>
          <w:sz w:val="22"/>
          <w:szCs w:val="22"/>
          <w:lang w:val="en-GB"/>
        </w:rPr>
        <w:t>The heterogeneous specification therefore shows that the average treatment effects reported in Column (1) are not uniformly distributed across stocks. The decline in trading activity is driven primarily by firms whose pre-treatment spreads were sufficiently narrow for the $0.05 floor to bind. This pattern is consistent with the microstructure framework outlined earlier and reinforces the causal interpretation of the estimates.</w:t>
      </w:r>
    </w:p>
    <w:p>
      <w:r>
        <w:t xml:space="preserve">In the heterogeneous specification, the post-pilot interaction coefficients for constrained stocks in Groups 2 and 3 are −0.2310 and −0.2770, statistically significant at the 5 percent and 1 percent levels, respectively. This indicates that constrained stocks in these groups experienced persistent volume reductions even after the pilot ended, consistent with the possibility that the more restrictive trading arrangements of Groups 2 and 3 induced structural changes in liquidity provision that were not immediately reversed with the termination of the regulatory change. Constrained stocks in Group 1 show no significant post-pilot decline (−0.1512), in line with the full recovery documented in the average treatment effects.</w:t>
      </w:r>
    </w:p>
    <w:p>
      <w:r>
        <w:t xml:space="preserve">In the heterogeneous specification, the post-pilot interaction coefficients for constrained stocks in Groups 2 and 3 are −0.2310 and −0.2770, statistically significant at the 5 percent and 1 percent levels, respectively. This indicates that constrained stocks in these groups experienced persistent volume reductions even after the pilot ended, consistent with the possibility that the more restrictive trading arrangements of Groups 2 and 3 induced structural changes in liquidity provision that were not immediately reversed with the termination of the regulatory change. Constrained stocks in Group 1 show no significant post-pilot decline (−0.1512), in line with the full recovery documented in the average treatment effects.</w:t>
      </w:r>
    </w:p>
    <w:p w14:paraId="53F2FA8B" w14:textId="105FD073" w:rsidR="00BA230A" w:rsidRDefault="00A5036C" w:rsidP="00136219">
      <w:pPr>
        <w:pStyle w:val="Heading1"/>
        <w:numPr>
          <w:ilvl w:val="1"/>
          <w:numId w:val="4"/>
        </w:numPr>
        <w:spacing w:before="0" w:after="160"/>
        <w:rPr>
          <w:sz w:val="24"/>
          <w:szCs w:val="28"/>
          <w:lang w:val="de-DE"/>
        </w:rPr>
      </w:pPr>
      <w:r w:rsidRPr="00A5036C">
        <w:rPr>
          <w:sz w:val="24"/>
          <w:szCs w:val="28"/>
          <w:lang w:val="de-DE"/>
        </w:rPr>
        <w:t>Economic Interpretation and Implications</w:t>
      </w:r>
      <w:bookmarkEnd w:id="17"/>
    </w:p>
    <w:p w14:paraId="6F157417" w14:textId="227B17CD" w:rsidR="00AF034D" w:rsidRPr="00136219" w:rsidRDefault="00AF034D" w:rsidP="00AF034D">
      <w:pPr>
        <w:spacing w:after="120" w:line="360" w:lineRule="auto"/>
        <w:jc w:val="both"/>
        <w:rPr>
          <w:rFonts w:ascii="Times New Roman" w:eastAsia="Aptos" w:hAnsi="Times New Roman" w:cs="Times New Roman"/>
          <w:sz w:val="22"/>
          <w:szCs w:val="22"/>
          <w:lang w:val="en-US"/>
        </w:rPr>
      </w:pPr>
      <w:r w:rsidRPr="00136219">
        <w:rPr>
          <w:rFonts w:ascii="Times New Roman" w:eastAsia="Aptos" w:hAnsi="Times New Roman" w:cs="Times New Roman"/>
          <w:sz w:val="22"/>
          <w:szCs w:val="22"/>
          <w:lang w:val="en-US"/>
        </w:rPr>
        <w:t>Taken together, the results indicate that the SEC Tick Size Pilot Program reduced trading activity among small capitalization stocks, particularly for firms previously characterized by narrow spreads. The estimated average treatment effects range from 6.4 to 6.8 percent during the pilot period, representing a notable contraction in trading activity. For constrained stocks—those with pre-treatment spreads below $0.05—the additional reduction in turnover ranges from approximately 16.0 to 20.4 percent across pilot groups, confirming that the binding constraint mechanism substantially amplifies the aggregate treatment effect.</w:t>
      </w:r>
    </w:p>
    <w:p w14:paraId="2513894C" w14:textId="77777777" w:rsidR="00AF034D" w:rsidRPr="00AF034D" w:rsidRDefault="00AF034D" w:rsidP="00AF034D">
      <w:pPr>
        <w:spacing w:after="120" w:line="360" w:lineRule="auto"/>
        <w:jc w:val="both"/>
        <w:rPr>
          <w:rFonts w:ascii="Times New Roman" w:eastAsia="Aptos" w:hAnsi="Times New Roman" w:cs="Times New Roman"/>
          <w:sz w:val="22"/>
          <w:szCs w:val="22"/>
          <w:lang w:val="en-US"/>
        </w:rPr>
      </w:pPr>
      <w:r w:rsidRPr="00AF034D">
        <w:rPr>
          <w:rFonts w:ascii="Times New Roman" w:eastAsia="Aptos" w:hAnsi="Times New Roman" w:cs="Times New Roman"/>
          <w:sz w:val="22"/>
          <w:szCs w:val="22"/>
          <w:lang w:val="en-US"/>
        </w:rPr>
        <w:t>The evidence is consistent with the hypothesis that widening the minimum tick size increases effective transaction costs and discourages trade. Although the pilot was partly motivated by the expectation that larger ticks could strengthen market maker incentives and improve liquidity provision, the results suggest that any such effects did not offset the contraction in trading activity.</w:t>
      </w:r>
    </w:p>
    <w:p w14:paraId="7986F4A9" w14:textId="097E92AD" w:rsidR="00AF034D" w:rsidRPr="00AF034D" w:rsidRDefault="00AF034D" w:rsidP="00AF034D">
      <w:pPr>
        <w:spacing w:after="120" w:line="360" w:lineRule="auto"/>
        <w:jc w:val="both"/>
        <w:rPr>
          <w:rFonts w:ascii="Times New Roman" w:eastAsia="Aptos" w:hAnsi="Times New Roman" w:cs="Times New Roman"/>
          <w:sz w:val="22"/>
          <w:szCs w:val="22"/>
          <w:lang w:val="en-US"/>
        </w:rPr>
      </w:pPr>
      <w:r w:rsidRPr="00AF034D">
        <w:rPr>
          <w:rFonts w:ascii="Times New Roman" w:eastAsia="Aptos" w:hAnsi="Times New Roman" w:cs="Times New Roman"/>
          <w:sz w:val="22"/>
          <w:szCs w:val="22"/>
          <w:lang w:val="en-US"/>
        </w:rPr>
        <w:t>From a policy perspective, the findings imply that increasing tick size can reduce trading volume in small cap equities, especially when spreads were previously compressed below the new regulatory threshold. The results highlight the importance of accounting for heterogeneity in pre</w:t>
      </w:r>
      <w:r>
        <w:rPr>
          <w:rFonts w:ascii="Times New Roman" w:eastAsia="Aptos" w:hAnsi="Times New Roman" w:cs="Times New Roman"/>
          <w:sz w:val="22"/>
          <w:szCs w:val="22"/>
          <w:lang w:val="en-US"/>
        </w:rPr>
        <w:t>-</w:t>
      </w:r>
      <w:r w:rsidRPr="00AF034D">
        <w:rPr>
          <w:rFonts w:ascii="Times New Roman" w:eastAsia="Aptos" w:hAnsi="Times New Roman" w:cs="Times New Roman"/>
          <w:sz w:val="22"/>
          <w:szCs w:val="22"/>
          <w:lang w:val="en-US"/>
        </w:rPr>
        <w:t>existing market conditions when evaluating market microstructure reforms.</w:t>
      </w:r>
    </w:p>
    <w:p w14:paraId="4964DF3F" w14:textId="77777777" w:rsidR="00AF034D" w:rsidRPr="00AF034D" w:rsidRDefault="00AF034D" w:rsidP="00AF034D">
      <w:pPr>
        <w:spacing w:after="120" w:line="360" w:lineRule="auto"/>
        <w:jc w:val="both"/>
        <w:rPr>
          <w:rFonts w:ascii="Times New Roman" w:eastAsia="Aptos" w:hAnsi="Times New Roman" w:cs="Times New Roman"/>
          <w:sz w:val="22"/>
          <w:szCs w:val="22"/>
          <w:lang w:val="en-US"/>
        </w:rPr>
      </w:pPr>
      <w:r w:rsidRPr="00AF034D">
        <w:rPr>
          <w:rFonts w:ascii="Times New Roman" w:eastAsia="Aptos" w:hAnsi="Times New Roman" w:cs="Times New Roman"/>
          <w:sz w:val="22"/>
          <w:szCs w:val="22"/>
          <w:lang w:val="en-US"/>
        </w:rPr>
        <w:t>Overall, the empirical evidence supports Hypothesis 1 and provides targeted support for Hypothesis 2. The regulatory increase in the minimum tick size is associated with a statistically and economically significant decline in trading volume, with stronger effects among stocks for which the new $0.05 increment constituted a binding constraint.</w:t>
      </w:r>
    </w:p>
    <w:p>
      <w:pPr/>
      <w:r>
        <w:br w:type="page"/>
      </w:r>
    </w:p>
    <w:p>
      <w:r>
        <w:rPr>
          <w:b/>
        </w:rPr>
        <w:t xml:space="preserve">References</w:t>
      </w:r>
    </w:p>
    <w:p/>
    <w:p>
      <w:r>
        <w:t xml:space="preserve">Albuquerque, R., Song, S., and Yao, C. (2020). “The Price Effects of Liquidity Shocks: A Study of the SEC’s Tick-Size Experiment.” </w:t>
      </w:r>
      <w:r>
        <w:rPr>
          <w:i/>
        </w:rPr>
        <w:t xml:space="preserve">Journal of Financial Economics</w:t>
      </w:r>
      <w:r>
        <w:t xml:space="preserve">, 138(3), 700–725.</w:t>
      </w:r>
    </w:p>
    <w:p/>
    <w:p>
      <w:r>
        <w:t xml:space="preserve">Amihud, Y. and Mendelson, H. (1986). “Asset Pricing and the Bid-Ask Spread.” </w:t>
      </w:r>
      <w:r>
        <w:rPr>
          <w:i/>
        </w:rPr>
        <w:t xml:space="preserve">Journal of Financial Economics</w:t>
      </w:r>
      <w:r>
        <w:t xml:space="preserve">, 17(2), 223–249.</w:t>
      </w:r>
    </w:p>
    <w:p/>
    <w:p>
      <w:r>
        <w:t xml:space="preserve">Bessembinder, H. (2003). “Trade Execution Costs and Market Quality after Decimalization.” </w:t>
      </w:r>
      <w:r>
        <w:rPr>
          <w:i/>
        </w:rPr>
        <w:t xml:space="preserve">Journal of Financial and Quantitative Analysis</w:t>
      </w:r>
      <w:r>
        <w:t xml:space="preserve">, 38(4), 747–777.</w:t>
      </w:r>
    </w:p>
    <w:p/>
    <w:p>
      <w:r>
        <w:t xml:space="preserve">Chordia, T., Roll, R., and Subrahmanyam, A. (2001). “Market Liquidity and Trading Activity.” </w:t>
      </w:r>
      <w:r>
        <w:rPr>
          <w:i/>
        </w:rPr>
        <w:t xml:space="preserve">Journal of Finance</w:t>
      </w:r>
      <w:r>
        <w:t xml:space="preserve">, 56(2), 501–530.</w:t>
      </w:r>
    </w:p>
    <w:p/>
    <w:p>
      <w:r>
        <w:t xml:space="preserve">Harris, L. (1994). “Minimum Price Variations, Discrete Bid/Ask Spreads, and Quotation Sizes.” </w:t>
      </w:r>
      <w:r>
        <w:rPr>
          <w:i/>
        </w:rPr>
        <w:t xml:space="preserve">Review of Financial Studies</w:t>
      </w:r>
      <w:r>
        <w:t xml:space="preserve">, 7(1), 149–178.</w:t>
      </w:r>
    </w:p>
    <w:p>
      <w:pPr/>
      <w:r>
        <w:br w:type="page"/>
      </w:r>
    </w:p>
    <w:p>
      <w:r>
        <w:rPr>
          <w:b/>
        </w:rPr>
        <w:t xml:space="preserve">References</w:t>
      </w:r>
    </w:p>
    <w:p/>
    <w:p>
      <w:r>
        <w:t xml:space="preserve">Albuquerque, R., Song, S., and Yao, C. (2020). “The Price Effects of Liquidity Shocks: A Study of the SEC’s Tick-Size Experiment.” </w:t>
      </w:r>
      <w:r>
        <w:rPr>
          <w:i/>
        </w:rPr>
        <w:t xml:space="preserve">Journal of Financial Economics</w:t>
      </w:r>
      <w:r>
        <w:t xml:space="preserve">, 138(3), 700–725.</w:t>
      </w:r>
    </w:p>
    <w:p/>
    <w:p>
      <w:r>
        <w:t xml:space="preserve">Amihud, Y. and Mendelson, H. (1986). “Asset Pricing and the Bid-Ask Spread.” </w:t>
      </w:r>
      <w:r>
        <w:rPr>
          <w:i/>
        </w:rPr>
        <w:t xml:space="preserve">Journal of Financial Economics</w:t>
      </w:r>
      <w:r>
        <w:t xml:space="preserve">, 17(2), 223–249.</w:t>
      </w:r>
    </w:p>
    <w:p/>
    <w:p>
      <w:r>
        <w:t xml:space="preserve">Bessembinder, H. (2003). “Trade Execution Costs and Market Quality after Decimalization.” </w:t>
      </w:r>
      <w:r>
        <w:rPr>
          <w:i/>
        </w:rPr>
        <w:t xml:space="preserve">Journal of Financial and Quantitative Analysis</w:t>
      </w:r>
      <w:r>
        <w:t xml:space="preserve">, 38(4), 747–777.</w:t>
      </w:r>
    </w:p>
    <w:p/>
    <w:p>
      <w:r>
        <w:t xml:space="preserve">Chordia, T., Roll, R., and Subrahmanyam, A. (2001). “Market Liquidity and Trading Activity.” </w:t>
      </w:r>
      <w:r>
        <w:rPr>
          <w:i/>
        </w:rPr>
        <w:t xml:space="preserve">Journal of Finance</w:t>
      </w:r>
      <w:r>
        <w:t xml:space="preserve">, 56(2), 501–530.</w:t>
      </w:r>
    </w:p>
    <w:p/>
    <w:p>
      <w:r>
        <w:t xml:space="preserve">Harris, L. (1994). “Minimum Price Variations, Discrete Bid/Ask Spreads, and Quotation Sizes.” </w:t>
      </w:r>
      <w:r>
        <w:rPr>
          <w:i/>
        </w:rPr>
        <w:t xml:space="preserve">Review of Financial Studies</w:t>
      </w:r>
      <w:r>
        <w:t xml:space="preserve">, 7(1), 149–178.</w:t>
      </w:r>
    </w:p>
    <w:p w14:paraId="22C94633" w14:textId="3DD5446F" w:rsidR="00FE3532" w:rsidRPr="00FE3532" w:rsidRDefault="00FE3532" w:rsidP="00FE3532">
      <w:pPr>
        <w:spacing w:after="120" w:line="360" w:lineRule="auto"/>
        <w:jc w:val="both"/>
        <w:rPr>
          <w:rFonts w:ascii="Times New Roman" w:eastAsia="Aptos" w:hAnsi="Times New Roman" w:cs="Times New Roman"/>
          <w:sz w:val="22"/>
          <w:szCs w:val="22"/>
          <w:lang w:val="en-US"/>
        </w:rPr>
      </w:pPr>
    </w:p>
    <w:p w14:paraId="7BD6F424" w14:textId="77777777" w:rsidR="00FE3532" w:rsidRPr="00FE3532" w:rsidRDefault="00FE3532" w:rsidP="00FE3532">
      <w:pPr>
        <w:rPr>
          <w:lang w:val="en-US" w:eastAsia="de-DE"/>
        </w:rPr>
      </w:pPr>
    </w:p>
    <w:p w14:paraId="75E90F92" w14:textId="77777777" w:rsidR="0093118D" w:rsidRPr="000507B8" w:rsidRDefault="0093118D" w:rsidP="00F94EB1">
      <w:pPr>
        <w:spacing w:line="360" w:lineRule="auto"/>
        <w:rPr>
          <w:rFonts w:ascii="Aptos" w:eastAsia="Aptos" w:hAnsi="Aptos" w:cs="Aptos"/>
          <w:color w:val="000000" w:themeColor="text1"/>
          <w:lang w:val="en-US"/>
        </w:rPr>
      </w:pPr>
    </w:p>
    <w:sectPr w:rsidR="0093118D" w:rsidRPr="000507B8" w:rsidSect="000563D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ulian Endreß" w:date="2026-02-28T15:08:00Z" w:initials="JE">
    <w:p w14:paraId="7ECE081B" w14:textId="77777777" w:rsidR="00B76535" w:rsidRDefault="000507B8" w:rsidP="00B76535">
      <w:pPr>
        <w:pStyle w:val="CommentText"/>
      </w:pPr>
      <w:r>
        <w:rPr>
          <w:rStyle w:val="CommentReference"/>
        </w:rPr>
        <w:annotationRef/>
      </w:r>
      <w:r w:rsidR="00B76535">
        <w:t>More specific? Also how much in each group?</w:t>
      </w:r>
    </w:p>
  </w:comment>
  <w:comment w:id="3" w:author="Julian Endreß" w:date="2026-02-28T15:18:00Z" w:initials="JE">
    <w:p w14:paraId="61B6C2D7" w14:textId="77777777" w:rsidR="00780C16" w:rsidRDefault="00780C16" w:rsidP="00780C16">
      <w:pPr>
        <w:pStyle w:val="CommentText"/>
      </w:pPr>
      <w:r>
        <w:rPr>
          <w:rStyle w:val="CommentReference"/>
        </w:rPr>
        <w:annotationRef/>
      </w:r>
      <w:r>
        <w:t>I don‘t get it 100%, write more understandable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E081B" w15:done="0"/>
  <w15:commentEx w15:paraId="61B6C2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9E75F8" w16cex:dateUtc="2026-02-28T14:08:00Z"/>
  <w16cex:commentExtensible w16cex:durableId="3415CB43" w16cex:dateUtc="2026-02-28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E081B" w16cid:durableId="449E75F8"/>
  <w16cid:commentId w16cid:paraId="61B6C2D7" w16cid:durableId="3415CB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NewRomanPS">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C3C99"/>
    <w:multiLevelType w:val="hybridMultilevel"/>
    <w:tmpl w:val="E258DDF6"/>
    <w:lvl w:ilvl="0" w:tplc="CAE0A956">
      <w:start w:val="1"/>
      <w:numFmt w:val="upperLetter"/>
      <w:pStyle w:val="Heading1"/>
      <w:lvlText w:val="%1."/>
      <w:lvlJc w:val="left"/>
      <w:pPr>
        <w:ind w:left="1643" w:hanging="1643"/>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D71530E"/>
    <w:multiLevelType w:val="hybridMultilevel"/>
    <w:tmpl w:val="2790084C"/>
    <w:lvl w:ilvl="0" w:tplc="9A4A7498">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FFC539C"/>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71911968"/>
    <w:multiLevelType w:val="multilevel"/>
    <w:tmpl w:val="A9FE1A7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23365954">
    <w:abstractNumId w:val="2"/>
  </w:num>
  <w:num w:numId="2" w16cid:durableId="1072922073">
    <w:abstractNumId w:val="0"/>
  </w:num>
  <w:num w:numId="3" w16cid:durableId="1075473551">
    <w:abstractNumId w:val="0"/>
  </w:num>
  <w:num w:numId="4" w16cid:durableId="1349216571">
    <w:abstractNumId w:val="3"/>
  </w:num>
  <w:num w:numId="5" w16cid:durableId="1598709745">
    <w:abstractNumId w:val="0"/>
  </w:num>
  <w:num w:numId="6" w16cid:durableId="1916089570">
    <w:abstractNumId w:val="0"/>
  </w:num>
  <w:num w:numId="7" w16cid:durableId="1936786999">
    <w:abstractNumId w:val="0"/>
  </w:num>
  <w:num w:numId="8" w16cid:durableId="1989167334">
    <w:abstractNumId w:val="0"/>
  </w:num>
  <w:num w:numId="9" w16cid:durableId="2129931866">
    <w:abstractNumId w:val="0"/>
  </w:num>
  <w:num w:numId="10" w16cid:durableId="470488606">
    <w:abstractNumId w:val="0"/>
  </w:num>
  <w:num w:numId="11" w16cid:durableId="602540068">
    <w:abstractNumId w:val="1"/>
  </w:num>
  <w:num w:numId="12" w16cid:durableId="618150828">
    <w:abstractNumId w:val="0"/>
  </w:num>
  <w:num w:numId="13" w16cid:durableId="7520439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Endreß">
    <w15:presenceInfo w15:providerId="AD" w15:userId="S::70474@novasbe.pt::01422edb-a657-40b0-b235-5a2974e5a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AF97C4"/>
    <w:rsid w:val="000021D0"/>
    <w:rsid w:val="00013F15"/>
    <w:rsid w:val="000154D8"/>
    <w:rsid w:val="00024701"/>
    <w:rsid w:val="000248EC"/>
    <w:rsid w:val="00031BBE"/>
    <w:rsid w:val="00031D9F"/>
    <w:rsid w:val="00033794"/>
    <w:rsid w:val="00041669"/>
    <w:rsid w:val="000426E6"/>
    <w:rsid w:val="00043A19"/>
    <w:rsid w:val="000507B8"/>
    <w:rsid w:val="00050C0F"/>
    <w:rsid w:val="000563DB"/>
    <w:rsid w:val="00065A1B"/>
    <w:rsid w:val="000805A8"/>
    <w:rsid w:val="0008701F"/>
    <w:rsid w:val="00090DD0"/>
    <w:rsid w:val="000A6384"/>
    <w:rsid w:val="000B0C8C"/>
    <w:rsid w:val="000B7A40"/>
    <w:rsid w:val="000C711E"/>
    <w:rsid w:val="000F74A6"/>
    <w:rsid w:val="00104332"/>
    <w:rsid w:val="0010759F"/>
    <w:rsid w:val="001112BC"/>
    <w:rsid w:val="001131BA"/>
    <w:rsid w:val="001257B5"/>
    <w:rsid w:val="00135E7B"/>
    <w:rsid w:val="00136219"/>
    <w:rsid w:val="00140EF4"/>
    <w:rsid w:val="00140FC5"/>
    <w:rsid w:val="00141311"/>
    <w:rsid w:val="0014407E"/>
    <w:rsid w:val="00150359"/>
    <w:rsid w:val="0015235D"/>
    <w:rsid w:val="001604F9"/>
    <w:rsid w:val="00163F81"/>
    <w:rsid w:val="001657EC"/>
    <w:rsid w:val="0017173E"/>
    <w:rsid w:val="001815A9"/>
    <w:rsid w:val="001A3821"/>
    <w:rsid w:val="001D670D"/>
    <w:rsid w:val="001F131F"/>
    <w:rsid w:val="001F17A3"/>
    <w:rsid w:val="00222C5D"/>
    <w:rsid w:val="0022659F"/>
    <w:rsid w:val="00241761"/>
    <w:rsid w:val="0024E6F4"/>
    <w:rsid w:val="00252076"/>
    <w:rsid w:val="0026107A"/>
    <w:rsid w:val="00261C10"/>
    <w:rsid w:val="00273E53"/>
    <w:rsid w:val="00280C65"/>
    <w:rsid w:val="002869F3"/>
    <w:rsid w:val="00295C95"/>
    <w:rsid w:val="00296F64"/>
    <w:rsid w:val="002B5125"/>
    <w:rsid w:val="002D207B"/>
    <w:rsid w:val="002E0354"/>
    <w:rsid w:val="002E0B4D"/>
    <w:rsid w:val="002F14BF"/>
    <w:rsid w:val="002F2328"/>
    <w:rsid w:val="00302094"/>
    <w:rsid w:val="003031AE"/>
    <w:rsid w:val="0033195A"/>
    <w:rsid w:val="00341DB7"/>
    <w:rsid w:val="003423A9"/>
    <w:rsid w:val="00350037"/>
    <w:rsid w:val="003517AB"/>
    <w:rsid w:val="003576FB"/>
    <w:rsid w:val="0036417B"/>
    <w:rsid w:val="00384656"/>
    <w:rsid w:val="0039136F"/>
    <w:rsid w:val="003C3A3D"/>
    <w:rsid w:val="003D3AC9"/>
    <w:rsid w:val="003D47C8"/>
    <w:rsid w:val="003E01FB"/>
    <w:rsid w:val="00414B03"/>
    <w:rsid w:val="00417C4A"/>
    <w:rsid w:val="00430DAF"/>
    <w:rsid w:val="0048166B"/>
    <w:rsid w:val="00494FB9"/>
    <w:rsid w:val="0049588F"/>
    <w:rsid w:val="00496C34"/>
    <w:rsid w:val="004A1006"/>
    <w:rsid w:val="004A5593"/>
    <w:rsid w:val="004B1381"/>
    <w:rsid w:val="004B258C"/>
    <w:rsid w:val="004B3D2A"/>
    <w:rsid w:val="004E3F59"/>
    <w:rsid w:val="004E4F51"/>
    <w:rsid w:val="004F0109"/>
    <w:rsid w:val="004F081A"/>
    <w:rsid w:val="004F5DB6"/>
    <w:rsid w:val="00505817"/>
    <w:rsid w:val="00514A43"/>
    <w:rsid w:val="00514F33"/>
    <w:rsid w:val="005222B4"/>
    <w:rsid w:val="0052606A"/>
    <w:rsid w:val="00535318"/>
    <w:rsid w:val="005425C8"/>
    <w:rsid w:val="00556DF9"/>
    <w:rsid w:val="00561DC4"/>
    <w:rsid w:val="0057112D"/>
    <w:rsid w:val="005723EF"/>
    <w:rsid w:val="00587471"/>
    <w:rsid w:val="005967B3"/>
    <w:rsid w:val="005A3282"/>
    <w:rsid w:val="005A6887"/>
    <w:rsid w:val="005B2E1E"/>
    <w:rsid w:val="006000E3"/>
    <w:rsid w:val="00603B56"/>
    <w:rsid w:val="006063B6"/>
    <w:rsid w:val="006652C3"/>
    <w:rsid w:val="00667B5B"/>
    <w:rsid w:val="006705C8"/>
    <w:rsid w:val="006A1FA0"/>
    <w:rsid w:val="006A45C2"/>
    <w:rsid w:val="006C0A4B"/>
    <w:rsid w:val="006C28E6"/>
    <w:rsid w:val="006C574D"/>
    <w:rsid w:val="006F22D2"/>
    <w:rsid w:val="00707CD5"/>
    <w:rsid w:val="0071219E"/>
    <w:rsid w:val="007165B2"/>
    <w:rsid w:val="00717CB8"/>
    <w:rsid w:val="00722B2E"/>
    <w:rsid w:val="0072487E"/>
    <w:rsid w:val="00732FD1"/>
    <w:rsid w:val="00753D4C"/>
    <w:rsid w:val="007577FA"/>
    <w:rsid w:val="0076382A"/>
    <w:rsid w:val="007646CB"/>
    <w:rsid w:val="00764824"/>
    <w:rsid w:val="00766931"/>
    <w:rsid w:val="00767AF4"/>
    <w:rsid w:val="0078029E"/>
    <w:rsid w:val="00780C16"/>
    <w:rsid w:val="00781992"/>
    <w:rsid w:val="0079233A"/>
    <w:rsid w:val="007A52D3"/>
    <w:rsid w:val="007B6E51"/>
    <w:rsid w:val="007C41D7"/>
    <w:rsid w:val="007D7C44"/>
    <w:rsid w:val="007E3E94"/>
    <w:rsid w:val="007F5905"/>
    <w:rsid w:val="00800A54"/>
    <w:rsid w:val="00803214"/>
    <w:rsid w:val="00804DD4"/>
    <w:rsid w:val="00806D67"/>
    <w:rsid w:val="00815C6A"/>
    <w:rsid w:val="00825B5D"/>
    <w:rsid w:val="00832F67"/>
    <w:rsid w:val="00835203"/>
    <w:rsid w:val="008548E6"/>
    <w:rsid w:val="00857386"/>
    <w:rsid w:val="00870EBA"/>
    <w:rsid w:val="0087745A"/>
    <w:rsid w:val="008A74A9"/>
    <w:rsid w:val="008B49E3"/>
    <w:rsid w:val="008C38E4"/>
    <w:rsid w:val="008F7021"/>
    <w:rsid w:val="00911F23"/>
    <w:rsid w:val="00914E36"/>
    <w:rsid w:val="00930C7D"/>
    <w:rsid w:val="0093118D"/>
    <w:rsid w:val="00932DD1"/>
    <w:rsid w:val="00933E20"/>
    <w:rsid w:val="00937E54"/>
    <w:rsid w:val="009659BC"/>
    <w:rsid w:val="009665B7"/>
    <w:rsid w:val="00973108"/>
    <w:rsid w:val="00980C9B"/>
    <w:rsid w:val="009811FC"/>
    <w:rsid w:val="00993797"/>
    <w:rsid w:val="00997E90"/>
    <w:rsid w:val="009A02DF"/>
    <w:rsid w:val="009A62E6"/>
    <w:rsid w:val="009B274E"/>
    <w:rsid w:val="009E067E"/>
    <w:rsid w:val="00A02B17"/>
    <w:rsid w:val="00A123BB"/>
    <w:rsid w:val="00A2024D"/>
    <w:rsid w:val="00A27E2E"/>
    <w:rsid w:val="00A30F13"/>
    <w:rsid w:val="00A34DF9"/>
    <w:rsid w:val="00A34EAE"/>
    <w:rsid w:val="00A455EF"/>
    <w:rsid w:val="00A47845"/>
    <w:rsid w:val="00A5036C"/>
    <w:rsid w:val="00A50A9D"/>
    <w:rsid w:val="00A51D59"/>
    <w:rsid w:val="00A57045"/>
    <w:rsid w:val="00A7583C"/>
    <w:rsid w:val="00A77498"/>
    <w:rsid w:val="00A86727"/>
    <w:rsid w:val="00AA425C"/>
    <w:rsid w:val="00AD718A"/>
    <w:rsid w:val="00AE19AB"/>
    <w:rsid w:val="00AE5750"/>
    <w:rsid w:val="00AE7880"/>
    <w:rsid w:val="00AF034D"/>
    <w:rsid w:val="00B16C2D"/>
    <w:rsid w:val="00B20D9D"/>
    <w:rsid w:val="00B225C7"/>
    <w:rsid w:val="00B229DE"/>
    <w:rsid w:val="00B22C5E"/>
    <w:rsid w:val="00B24D6A"/>
    <w:rsid w:val="00B27006"/>
    <w:rsid w:val="00B3269F"/>
    <w:rsid w:val="00B347A7"/>
    <w:rsid w:val="00B3515F"/>
    <w:rsid w:val="00B510FC"/>
    <w:rsid w:val="00B65CF5"/>
    <w:rsid w:val="00B667E7"/>
    <w:rsid w:val="00B7257B"/>
    <w:rsid w:val="00B76535"/>
    <w:rsid w:val="00B76B7A"/>
    <w:rsid w:val="00B842CD"/>
    <w:rsid w:val="00B94BB2"/>
    <w:rsid w:val="00B963AE"/>
    <w:rsid w:val="00BA230A"/>
    <w:rsid w:val="00BA2CEE"/>
    <w:rsid w:val="00BC3937"/>
    <w:rsid w:val="00BD29FE"/>
    <w:rsid w:val="00BE3637"/>
    <w:rsid w:val="00BE7040"/>
    <w:rsid w:val="00BF2E61"/>
    <w:rsid w:val="00C15182"/>
    <w:rsid w:val="00C265B6"/>
    <w:rsid w:val="00C35045"/>
    <w:rsid w:val="00C41487"/>
    <w:rsid w:val="00C45BB6"/>
    <w:rsid w:val="00C463BC"/>
    <w:rsid w:val="00C5003E"/>
    <w:rsid w:val="00C50B50"/>
    <w:rsid w:val="00C57C02"/>
    <w:rsid w:val="00C77B5C"/>
    <w:rsid w:val="00C96DFD"/>
    <w:rsid w:val="00CA2A08"/>
    <w:rsid w:val="00CA3E4A"/>
    <w:rsid w:val="00CB501B"/>
    <w:rsid w:val="00CB7112"/>
    <w:rsid w:val="00CC4CC4"/>
    <w:rsid w:val="00CD3EBD"/>
    <w:rsid w:val="00CD6DF2"/>
    <w:rsid w:val="00CF2BAC"/>
    <w:rsid w:val="00CF49A1"/>
    <w:rsid w:val="00D32562"/>
    <w:rsid w:val="00D32C03"/>
    <w:rsid w:val="00D32E28"/>
    <w:rsid w:val="00D40F55"/>
    <w:rsid w:val="00D4129D"/>
    <w:rsid w:val="00D45D24"/>
    <w:rsid w:val="00D52701"/>
    <w:rsid w:val="00D55003"/>
    <w:rsid w:val="00D557E1"/>
    <w:rsid w:val="00D637EC"/>
    <w:rsid w:val="00D754FA"/>
    <w:rsid w:val="00D82BE2"/>
    <w:rsid w:val="00D920ED"/>
    <w:rsid w:val="00DC2990"/>
    <w:rsid w:val="00DE32B5"/>
    <w:rsid w:val="00DE3DBD"/>
    <w:rsid w:val="00DE67B5"/>
    <w:rsid w:val="00DE7EED"/>
    <w:rsid w:val="00E163E2"/>
    <w:rsid w:val="00E2027F"/>
    <w:rsid w:val="00E2103E"/>
    <w:rsid w:val="00E246A9"/>
    <w:rsid w:val="00E35381"/>
    <w:rsid w:val="00E50475"/>
    <w:rsid w:val="00E50533"/>
    <w:rsid w:val="00E51164"/>
    <w:rsid w:val="00E55252"/>
    <w:rsid w:val="00E56AE9"/>
    <w:rsid w:val="00E80B34"/>
    <w:rsid w:val="00E94B0D"/>
    <w:rsid w:val="00EC5DD3"/>
    <w:rsid w:val="00ED2B38"/>
    <w:rsid w:val="00ED2E13"/>
    <w:rsid w:val="00EE4C46"/>
    <w:rsid w:val="00EE6ACC"/>
    <w:rsid w:val="00EF161E"/>
    <w:rsid w:val="00EF6841"/>
    <w:rsid w:val="00F0345A"/>
    <w:rsid w:val="00F3798E"/>
    <w:rsid w:val="00F73917"/>
    <w:rsid w:val="00F755CC"/>
    <w:rsid w:val="00F77136"/>
    <w:rsid w:val="00F82EFF"/>
    <w:rsid w:val="00F94D3C"/>
    <w:rsid w:val="00F94EB1"/>
    <w:rsid w:val="00FB2854"/>
    <w:rsid w:val="00FC10EB"/>
    <w:rsid w:val="00FC737B"/>
    <w:rsid w:val="00FD0429"/>
    <w:rsid w:val="00FD06FD"/>
    <w:rsid w:val="00FD1A99"/>
    <w:rsid w:val="00FD2D1D"/>
    <w:rsid w:val="00FE3532"/>
    <w:rsid w:val="00FF72A7"/>
    <w:rsid w:val="03C34B60"/>
    <w:rsid w:val="0483120D"/>
    <w:rsid w:val="05AF97C4"/>
    <w:rsid w:val="0723B107"/>
    <w:rsid w:val="076E3B69"/>
    <w:rsid w:val="0A7BA6D5"/>
    <w:rsid w:val="0C821743"/>
    <w:rsid w:val="0CC902A6"/>
    <w:rsid w:val="0FBB26F5"/>
    <w:rsid w:val="1594B447"/>
    <w:rsid w:val="17408145"/>
    <w:rsid w:val="19F4CD11"/>
    <w:rsid w:val="1AE022B6"/>
    <w:rsid w:val="2C0FB707"/>
    <w:rsid w:val="2F7416A1"/>
    <w:rsid w:val="2FF67AA8"/>
    <w:rsid w:val="30358990"/>
    <w:rsid w:val="3628E854"/>
    <w:rsid w:val="3C952A45"/>
    <w:rsid w:val="3DA2F1DF"/>
    <w:rsid w:val="3E30B5BB"/>
    <w:rsid w:val="521DC06F"/>
    <w:rsid w:val="560A7670"/>
    <w:rsid w:val="5B91F881"/>
    <w:rsid w:val="5BAA77BD"/>
    <w:rsid w:val="5D3059B0"/>
    <w:rsid w:val="5E041609"/>
    <w:rsid w:val="5F4BC1B0"/>
    <w:rsid w:val="6109C750"/>
    <w:rsid w:val="612DE07E"/>
    <w:rsid w:val="61B43A28"/>
    <w:rsid w:val="6961233B"/>
    <w:rsid w:val="7452D7FB"/>
    <w:rsid w:val="754EFC58"/>
    <w:rsid w:val="78D26E15"/>
    <w:rsid w:val="7DE66B96"/>
    <w:rsid w:val="7FF5B2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1550"/>
  <w15:chartTrackingRefBased/>
  <w15:docId w15:val="{FF8F8698-A473-401B-96F0-16F4F699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9F"/>
    <w:pPr>
      <w:keepNext/>
      <w:numPr>
        <w:numId w:val="6"/>
      </w:numPr>
      <w:spacing w:before="360" w:after="360" w:line="360" w:lineRule="auto"/>
      <w:jc w:val="both"/>
      <w:outlineLvl w:val="0"/>
    </w:pPr>
    <w:rPr>
      <w:rFonts w:ascii="Times New Roman" w:eastAsia="Times New Roman" w:hAnsi="Times New Roman" w:cs="Arial"/>
      <w:b/>
      <w:bCs/>
      <w:kern w:val="32"/>
      <w:sz w:val="28"/>
      <w:szCs w:val="32"/>
      <w:lang w:val="en-US" w:eastAsia="de-DE"/>
    </w:rPr>
  </w:style>
  <w:style w:type="paragraph" w:styleId="Heading2">
    <w:name w:val="heading 2"/>
    <w:basedOn w:val="Normal"/>
    <w:next w:val="Normal"/>
    <w:link w:val="Heading2Char"/>
    <w:uiPriority w:val="9"/>
    <w:unhideWhenUsed/>
    <w:qFormat/>
    <w:rsid w:val="004F0109"/>
    <w:pPr>
      <w:keepNext/>
      <w:keepLines/>
      <w:numPr>
        <w:numId w:val="11"/>
      </w:numPr>
      <w:spacing w:before="40" w:after="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D754F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6AE9"/>
    <w:rPr>
      <w:color w:val="467886" w:themeColor="hyperlink"/>
      <w:u w:val="single"/>
    </w:rPr>
  </w:style>
  <w:style w:type="character" w:styleId="UnresolvedMention">
    <w:name w:val="Unresolved Mention"/>
    <w:basedOn w:val="DefaultParagraphFont"/>
    <w:uiPriority w:val="99"/>
    <w:semiHidden/>
    <w:unhideWhenUsed/>
    <w:rsid w:val="00E56AE9"/>
    <w:rPr>
      <w:color w:val="605E5C"/>
      <w:shd w:val="clear" w:color="auto" w:fill="E1DFDD"/>
    </w:rPr>
  </w:style>
  <w:style w:type="paragraph" w:styleId="ListParagraph">
    <w:name w:val="List Paragraph"/>
    <w:basedOn w:val="Normal"/>
    <w:uiPriority w:val="34"/>
    <w:qFormat/>
    <w:rsid w:val="00781992"/>
    <w:pPr>
      <w:spacing w:after="0" w:line="240" w:lineRule="auto"/>
      <w:ind w:left="720"/>
      <w:contextualSpacing/>
    </w:pPr>
    <w:rPr>
      <w:rFonts w:ascii="Times New Roman" w:eastAsia="Times New Roman" w:hAnsi="Times New Roman" w:cs="Times New Roman"/>
      <w:lang w:val="en-US" w:eastAsia="en-GB"/>
    </w:rPr>
  </w:style>
  <w:style w:type="paragraph" w:styleId="TableofFigures">
    <w:name w:val="table of figures"/>
    <w:basedOn w:val="Normal"/>
    <w:next w:val="Normal"/>
    <w:uiPriority w:val="99"/>
    <w:rsid w:val="00C45BB6"/>
    <w:pPr>
      <w:spacing w:before="120" w:after="120" w:line="360" w:lineRule="auto"/>
      <w:ind w:left="482" w:hanging="482"/>
      <w:jc w:val="both"/>
    </w:pPr>
    <w:rPr>
      <w:rFonts w:ascii="Times New Roman" w:eastAsia="Times New Roman" w:hAnsi="Times New Roman" w:cs="Times New Roman"/>
      <w:spacing w:val="-2"/>
      <w:lang w:val="en-US" w:eastAsia="de-DE"/>
    </w:rPr>
  </w:style>
  <w:style w:type="character" w:customStyle="1" w:styleId="Heading1Char">
    <w:name w:val="Heading 1 Char"/>
    <w:basedOn w:val="DefaultParagraphFont"/>
    <w:link w:val="Heading1"/>
    <w:uiPriority w:val="9"/>
    <w:rsid w:val="00031D9F"/>
    <w:rPr>
      <w:rFonts w:ascii="Times New Roman" w:eastAsia="Times New Roman" w:hAnsi="Times New Roman" w:cs="Arial"/>
      <w:b/>
      <w:bCs/>
      <w:kern w:val="32"/>
      <w:sz w:val="28"/>
      <w:szCs w:val="32"/>
      <w:lang w:val="en-US" w:eastAsia="de-DE"/>
    </w:rPr>
  </w:style>
  <w:style w:type="paragraph" w:styleId="TOC1">
    <w:name w:val="toc 1"/>
    <w:basedOn w:val="Normal"/>
    <w:next w:val="Normal"/>
    <w:autoRedefine/>
    <w:uiPriority w:val="39"/>
    <w:rsid w:val="00A86727"/>
    <w:pPr>
      <w:tabs>
        <w:tab w:val="left" w:pos="0"/>
        <w:tab w:val="left" w:pos="284"/>
        <w:tab w:val="right" w:leader="dot" w:pos="8504"/>
      </w:tabs>
      <w:spacing w:before="280" w:after="120" w:line="360" w:lineRule="auto"/>
      <w:jc w:val="both"/>
    </w:pPr>
    <w:rPr>
      <w:rFonts w:ascii="Times New Roman" w:eastAsia="Times New Roman" w:hAnsi="Times New Roman" w:cs="Times New Roman"/>
      <w:b/>
      <w:lang w:val="en-US" w:eastAsia="de-DE"/>
    </w:rPr>
  </w:style>
  <w:style w:type="paragraph" w:styleId="TOC2">
    <w:name w:val="toc 2"/>
    <w:basedOn w:val="Normal"/>
    <w:next w:val="Normal"/>
    <w:autoRedefine/>
    <w:uiPriority w:val="39"/>
    <w:rsid w:val="00A86727"/>
    <w:pPr>
      <w:tabs>
        <w:tab w:val="left" w:pos="709"/>
        <w:tab w:val="left" w:pos="1134"/>
        <w:tab w:val="right" w:leader="dot" w:pos="8504"/>
      </w:tabs>
      <w:spacing w:before="40" w:after="120" w:line="360" w:lineRule="auto"/>
      <w:ind w:left="482" w:hanging="198"/>
      <w:jc w:val="both"/>
    </w:pPr>
    <w:rPr>
      <w:rFonts w:ascii="Times New Roman" w:eastAsia="Times New Roman" w:hAnsi="Times New Roman" w:cs="Times New Roman"/>
      <w:lang w:val="en-US" w:eastAsia="de-DE"/>
    </w:rPr>
  </w:style>
  <w:style w:type="paragraph" w:styleId="TOC3">
    <w:name w:val="toc 3"/>
    <w:basedOn w:val="Normal"/>
    <w:next w:val="Normal"/>
    <w:autoRedefine/>
    <w:uiPriority w:val="39"/>
    <w:rsid w:val="00A86727"/>
    <w:pPr>
      <w:tabs>
        <w:tab w:val="left" w:pos="1701"/>
        <w:tab w:val="left" w:pos="2225"/>
        <w:tab w:val="right" w:leader="dot" w:pos="8504"/>
      </w:tabs>
      <w:spacing w:after="120" w:line="360" w:lineRule="auto"/>
      <w:ind w:left="1276" w:hanging="567"/>
      <w:jc w:val="both"/>
    </w:pPr>
    <w:rPr>
      <w:rFonts w:ascii="Times New Roman" w:eastAsia="Times New Roman" w:hAnsi="Times New Roman" w:cs="Times New Roman"/>
      <w:lang w:val="en-US" w:eastAsia="de-DE"/>
    </w:rPr>
  </w:style>
  <w:style w:type="paragraph" w:customStyle="1" w:styleId="Unsichtbareberschrift">
    <w:name w:val="Unsichtbare Überschrift"/>
    <w:basedOn w:val="Normal"/>
    <w:qFormat/>
    <w:rsid w:val="00A86727"/>
    <w:pPr>
      <w:spacing w:before="120" w:after="120" w:line="360" w:lineRule="auto"/>
      <w:jc w:val="both"/>
    </w:pPr>
    <w:rPr>
      <w:rFonts w:ascii="Times New Roman" w:eastAsia="Times New Roman" w:hAnsi="Times New Roman" w:cs="Arial"/>
      <w:b/>
      <w:bCs/>
      <w:kern w:val="32"/>
      <w:sz w:val="32"/>
      <w:szCs w:val="32"/>
      <w:lang w:val="en-US" w:eastAsia="de-DE"/>
    </w:rPr>
  </w:style>
  <w:style w:type="character" w:styleId="CommentReference">
    <w:name w:val="annotation reference"/>
    <w:basedOn w:val="DefaultParagraphFont"/>
    <w:uiPriority w:val="99"/>
    <w:semiHidden/>
    <w:unhideWhenUsed/>
    <w:rsid w:val="00BF2E61"/>
    <w:rPr>
      <w:sz w:val="16"/>
      <w:szCs w:val="16"/>
    </w:rPr>
  </w:style>
  <w:style w:type="paragraph" w:styleId="CommentText">
    <w:name w:val="annotation text"/>
    <w:basedOn w:val="Normal"/>
    <w:link w:val="CommentTextChar"/>
    <w:uiPriority w:val="99"/>
    <w:unhideWhenUsed/>
    <w:rsid w:val="00BF2E61"/>
    <w:pPr>
      <w:spacing w:line="240" w:lineRule="auto"/>
    </w:pPr>
    <w:rPr>
      <w:sz w:val="20"/>
      <w:szCs w:val="20"/>
    </w:rPr>
  </w:style>
  <w:style w:type="character" w:customStyle="1" w:styleId="CommentTextChar">
    <w:name w:val="Comment Text Char"/>
    <w:basedOn w:val="DefaultParagraphFont"/>
    <w:link w:val="CommentText"/>
    <w:uiPriority w:val="99"/>
    <w:rsid w:val="00BF2E61"/>
    <w:rPr>
      <w:sz w:val="20"/>
      <w:szCs w:val="20"/>
    </w:rPr>
  </w:style>
  <w:style w:type="paragraph" w:styleId="CommentSubject">
    <w:name w:val="annotation subject"/>
    <w:basedOn w:val="CommentText"/>
    <w:next w:val="CommentText"/>
    <w:link w:val="CommentSubjectChar"/>
    <w:uiPriority w:val="99"/>
    <w:semiHidden/>
    <w:unhideWhenUsed/>
    <w:rsid w:val="00BF2E61"/>
    <w:rPr>
      <w:b/>
      <w:bCs/>
    </w:rPr>
  </w:style>
  <w:style w:type="character" w:customStyle="1" w:styleId="CommentSubjectChar">
    <w:name w:val="Comment Subject Char"/>
    <w:basedOn w:val="CommentTextChar"/>
    <w:link w:val="CommentSubject"/>
    <w:uiPriority w:val="99"/>
    <w:semiHidden/>
    <w:rsid w:val="00BF2E61"/>
    <w:rPr>
      <w:b/>
      <w:bCs/>
      <w:sz w:val="20"/>
      <w:szCs w:val="20"/>
    </w:rPr>
  </w:style>
  <w:style w:type="character" w:customStyle="1" w:styleId="Heading2Char">
    <w:name w:val="Heading 2 Char"/>
    <w:basedOn w:val="DefaultParagraphFont"/>
    <w:link w:val="Heading2"/>
    <w:uiPriority w:val="9"/>
    <w:rsid w:val="004F0109"/>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semiHidden/>
    <w:rsid w:val="00D754FA"/>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E3E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12BB566EBD991428E7980F1E6942682" ma:contentTypeVersion="7" ma:contentTypeDescription="Criar um novo documento." ma:contentTypeScope="" ma:versionID="a85ca32d53d33f5fe36eee1030d43a8e">
  <xsd:schema xmlns:xsd="http://www.w3.org/2001/XMLSchema" xmlns:xs="http://www.w3.org/2001/XMLSchema" xmlns:p="http://schemas.microsoft.com/office/2006/metadata/properties" xmlns:ns2="7819a277-b60c-48a2-99f2-59ceb487b933" targetNamespace="http://schemas.microsoft.com/office/2006/metadata/properties" ma:root="true" ma:fieldsID="770bd22518bc1e4142f56832e7911f5e" ns2:_="">
    <xsd:import namespace="7819a277-b60c-48a2-99f2-59ceb487b9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9a277-b60c-48a2-99f2-59ceb487b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A3CFA8-E1F4-4FD5-A7F7-B5D69E6F0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9a277-b60c-48a2-99f2-59ceb487b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758B3-8F53-4F3A-8A79-E12D03A499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19A6DC-5E03-429C-BBC1-4D73D06059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4458</Words>
  <Characters>25411</Characters>
  <Application>Microsoft Office Word</Application>
  <DocSecurity>4</DocSecurity>
  <Lines>211</Lines>
  <Paragraphs>59</Paragraphs>
  <ScaleCrop>false</ScaleCrop>
  <Company/>
  <LinksUpToDate>false</LinksUpToDate>
  <CharactersWithSpaces>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Endreß</dc:creator>
  <cp:keywords/>
  <dc:description/>
  <cp:lastModifiedBy>Darius Richter</cp:lastModifiedBy>
  <cp:revision>44</cp:revision>
  <dcterms:created xsi:type="dcterms:W3CDTF">2026-02-10T03:29:00Z</dcterms:created>
  <dcterms:modified xsi:type="dcterms:W3CDTF">2026-02-28T15:30:00Z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0x010100212BB566EBD991428E7980F1E6942682</vt:lpwstr>
  </property>
</Properties>
</file>