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0E1E" w14:textId="13AC8819" w:rsidR="00980C9B" w:rsidRPr="0071219E" w:rsidRDefault="001F131F" w:rsidP="00F94EB1">
      <w:pPr>
        <w:spacing w:before="240" w:after="240" w:line="360" w:lineRule="auto"/>
        <w:jc w:val="center"/>
        <w:rPr>
          <w:rFonts w:ascii="Times New Roman" w:eastAsia="Times New Roman" w:hAnsi="Times New Roman" w:cs="Times New Roman"/>
          <w:b/>
          <w:bCs/>
          <w:sz w:val="36"/>
          <w:szCs w:val="36"/>
          <w:lang w:val="en-GB"/>
        </w:rPr>
      </w:pPr>
      <w:r w:rsidRPr="00DB1616">
        <w:rPr>
          <w:rFonts w:ascii="Times New Roman" w:hAnsi="Times New Roman" w:cs="Times New Roman"/>
          <w:lang w:val="en-GB"/>
        </w:rPr>
        <w:drawing>
          <wp:inline distT="0" distB="0" distL="0" distR="0" wp14:anchorId="6E91520E" wp14:editId="24C143F7">
            <wp:extent cx="2402840" cy="1701165"/>
            <wp:effectExtent l="0" t="0" r="0" b="0"/>
            <wp:docPr id="29133581" name="Picture 1" descr="Nova School of Business and Economics - Business school rankings from the  Financial Times - FT.com">
              <a:extLst xmlns:a="http://schemas.openxmlformats.org/drawingml/2006/main">
                <a:ext uri="{FF2B5EF4-FFF2-40B4-BE49-F238E27FC236}">
                  <a16:creationId xmlns:a16="http://schemas.microsoft.com/office/drawing/2014/main" id="{E5BA7281-5E54-494E-A456-265613FC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 School of Business and Economics - Business school rankings from the  Financial Times - FT.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2840" cy="1701165"/>
                    </a:xfrm>
                    <a:prstGeom prst="rect">
                      <a:avLst/>
                    </a:prstGeom>
                    <a:noFill/>
                    <a:ln>
                      <a:noFill/>
                    </a:ln>
                  </pic:spPr>
                </pic:pic>
              </a:graphicData>
            </a:graphic>
          </wp:inline>
        </w:drawing>
      </w:r>
    </w:p>
    <w:p w14:paraId="1DB897F9" w14:textId="45B4E97C" w:rsidR="00B963AE" w:rsidRDefault="5F4BC1B0" w:rsidP="00F94EB1">
      <w:pPr>
        <w:spacing w:before="240" w:after="240" w:line="360" w:lineRule="auto"/>
        <w:jc w:val="center"/>
        <w:rPr>
          <w:rFonts w:ascii="Times New Roman" w:eastAsia="Times New Roman" w:hAnsi="Times New Roman" w:cs="Times New Roman"/>
          <w:b/>
          <w:bCs/>
          <w:sz w:val="36"/>
          <w:szCs w:val="36"/>
          <w:lang w:val="en-GB"/>
        </w:rPr>
      </w:pPr>
      <w:r w:rsidRPr="0071219E">
        <w:rPr>
          <w:rFonts w:ascii="Times New Roman" w:eastAsia="Times New Roman" w:hAnsi="Times New Roman" w:cs="Times New Roman"/>
          <w:b/>
          <w:bCs/>
          <w:sz w:val="36"/>
          <w:szCs w:val="36"/>
          <w:lang w:val="en-GB"/>
        </w:rPr>
        <w:t>Nova School of Business &amp; Economics</w:t>
      </w:r>
    </w:p>
    <w:p w14:paraId="6212BDEE" w14:textId="77777777" w:rsidR="00BE7040" w:rsidRPr="00CC1B6F" w:rsidRDefault="00BE7040" w:rsidP="00F94EB1">
      <w:pPr>
        <w:spacing w:line="360" w:lineRule="auto"/>
        <w:rPr>
          <w:rFonts w:ascii="Times New Roman" w:hAnsi="Times New Roman" w:cs="Times New Roman"/>
          <w:highlight w:val="yellow"/>
          <w:lang w:val="en-GB" w:eastAsia="zh-CN"/>
        </w:rPr>
      </w:pPr>
      <w:r w:rsidRPr="00CC1B6F">
        <w:rPr>
          <w:rFonts w:ascii="Times New Roman" w:hAnsi="Times New Roman" w:cs="Times New Roman"/>
          <w:lang w:val="en-GB" w:eastAsia="zh-CN"/>
        </w:rPr>
        <w:fldChar w:fldCharType="begin"/>
      </w:r>
      <w:r w:rsidRPr="00CC1B6F">
        <w:rPr>
          <w:rFonts w:ascii="Times New Roman" w:hAnsi="Times New Roman" w:cs="Times New Roman"/>
          <w:lang w:val="en-GB" w:eastAsia="zh-CN"/>
        </w:rPr>
        <w:instrText xml:space="preserve"> INCLUDEPICTURE "/var/folders/2n/r9_894l11jbbcnbv4tn9__4c0000gn/T/com.microsoft.Word/WebArchiveCopyPasteTempFiles/page1image21449344" \* MERGEFORMATINET </w:instrText>
      </w:r>
      <w:r w:rsidRPr="00CC1B6F">
        <w:rPr>
          <w:rFonts w:ascii="Times New Roman" w:hAnsi="Times New Roman" w:cs="Times New Roman"/>
          <w:lang w:val="en-GB" w:eastAsia="zh-CN"/>
        </w:rPr>
        <w:fldChar w:fldCharType="separate"/>
      </w:r>
      <w:r w:rsidRPr="00EA32E2">
        <w:rPr>
          <w:rFonts w:ascii="Times New Roman" w:hAnsi="Times New Roman" w:cs="Times New Roman"/>
          <w:lang w:val="en-GB"/>
        </w:rPr>
        <w:drawing>
          <wp:inline distT="0" distB="0" distL="0" distR="0" wp14:anchorId="1B87520F" wp14:editId="3163C624">
            <wp:extent cx="5393690" cy="13335"/>
            <wp:effectExtent l="0" t="0" r="3810" b="0"/>
            <wp:docPr id="2" name="Grafik 2" descr="page1image21449344">
              <a:extLst xmlns:a="http://schemas.openxmlformats.org/drawingml/2006/main">
                <a:ext uri="{FF2B5EF4-FFF2-40B4-BE49-F238E27FC236}">
                  <a16:creationId xmlns:a16="http://schemas.microsoft.com/office/drawing/2014/main" id="{85D1163C-3A32-4391-9FA2-4A194CFCD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214493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sidRPr="00CC1B6F">
        <w:rPr>
          <w:rFonts w:ascii="Times New Roman" w:hAnsi="Times New Roman" w:cs="Times New Roman"/>
          <w:lang w:val="en-GB" w:eastAsia="zh-CN"/>
        </w:rPr>
        <w:fldChar w:fldCharType="end"/>
      </w:r>
    </w:p>
    <w:p w14:paraId="1282642F" w14:textId="1B02AD1A" w:rsidR="00037DB6" w:rsidRPr="00CC1B6F" w:rsidRDefault="00037DB6" w:rsidP="45058313">
      <w:pPr>
        <w:shd w:val="clear" w:color="auto" w:fill="FFFFFF" w:themeFill="background1"/>
        <w:spacing w:before="320" w:after="80" w:line="360" w:lineRule="auto"/>
        <w:jc w:val="center"/>
        <w:rPr>
          <w:rFonts w:ascii="Times New Roman" w:hAnsi="Times New Roman" w:cs="Times New Roman"/>
          <w:b/>
          <w:sz w:val="40"/>
          <w:szCs w:val="40"/>
          <w:highlight w:val="yellow"/>
          <w:lang w:val="en-GB" w:eastAsia="zh-CN"/>
        </w:rPr>
      </w:pPr>
      <w:commentRangeStart w:id="0"/>
      <w:r w:rsidRPr="00037DB6">
        <w:rPr>
          <w:rFonts w:ascii="Times New Roman" w:hAnsi="Times New Roman" w:cs="Times New Roman"/>
          <w:b/>
          <w:sz w:val="40"/>
          <w:szCs w:val="40"/>
          <w:lang w:val="en-GB" w:eastAsia="zh-CN"/>
        </w:rPr>
        <w:t>The Causal Effect of Minimum Tick Size Increases on Trading Volume</w:t>
      </w:r>
      <w:commentRangeEnd w:id="0"/>
      <w:r w:rsidRPr="00CC1B6F">
        <w:rPr>
          <w:rStyle w:val="CommentReference"/>
          <w:rFonts w:ascii="Times New Roman" w:hAnsi="Times New Roman" w:cs="Times New Roman"/>
          <w:b/>
          <w:sz w:val="40"/>
          <w:szCs w:val="40"/>
          <w:highlight w:val="yellow"/>
          <w:lang w:val="en-GB" w:eastAsia="zh-CN"/>
        </w:rPr>
        <w:commentReference w:id="0"/>
      </w:r>
    </w:p>
    <w:p w14:paraId="0A55E037" w14:textId="77777777" w:rsidR="00BE7040" w:rsidRPr="00CC1B6F" w:rsidRDefault="00BE7040" w:rsidP="00F94EB1">
      <w:pPr>
        <w:spacing w:line="360" w:lineRule="auto"/>
        <w:rPr>
          <w:rFonts w:ascii="Times New Roman" w:hAnsi="Times New Roman" w:cs="Times New Roman"/>
          <w:lang w:val="en-GB" w:eastAsia="zh-CN"/>
        </w:rPr>
      </w:pPr>
      <w:r w:rsidRPr="00CC1B6F">
        <w:rPr>
          <w:rFonts w:ascii="Times New Roman" w:hAnsi="Times New Roman" w:cs="Times New Roman"/>
          <w:lang w:val="en-GB" w:eastAsia="zh-CN"/>
        </w:rPr>
        <w:fldChar w:fldCharType="begin"/>
      </w:r>
      <w:r w:rsidRPr="00CC1B6F">
        <w:rPr>
          <w:rFonts w:ascii="Times New Roman" w:hAnsi="Times New Roman" w:cs="Times New Roman"/>
          <w:lang w:val="en-GB" w:eastAsia="zh-CN"/>
        </w:rPr>
        <w:instrText xml:space="preserve"> INCLUDEPICTURE "/var/folders/2n/r9_894l11jbbcnbv4tn9__4c0000gn/T/com.microsoft.Word/WebArchiveCopyPasteTempFiles/page1image21451264" \* MERGEFORMATINET </w:instrText>
      </w:r>
      <w:r w:rsidRPr="00CC1B6F">
        <w:rPr>
          <w:rFonts w:ascii="Times New Roman" w:hAnsi="Times New Roman" w:cs="Times New Roman"/>
          <w:lang w:val="en-GB" w:eastAsia="zh-CN"/>
        </w:rPr>
        <w:fldChar w:fldCharType="separate"/>
      </w:r>
      <w:r w:rsidRPr="00CC1B6F">
        <w:rPr>
          <w:rFonts w:ascii="Times New Roman" w:hAnsi="Times New Roman" w:cs="Times New Roman"/>
          <w:lang w:val="en-GB" w:eastAsia="zh-CN"/>
        </w:rPr>
        <w:drawing>
          <wp:inline distT="0" distB="0" distL="0" distR="0" wp14:anchorId="5BB531DC" wp14:editId="5146BC82">
            <wp:extent cx="5393690" cy="13335"/>
            <wp:effectExtent l="0" t="0" r="3810" b="0"/>
            <wp:docPr id="1" name="Grafik 1" descr="page1image21451264">
              <a:extLst xmlns:a="http://schemas.openxmlformats.org/drawingml/2006/main">
                <a:ext uri="{FF2B5EF4-FFF2-40B4-BE49-F238E27FC236}">
                  <a16:creationId xmlns:a16="http://schemas.microsoft.com/office/drawing/2014/main" id="{CBD39065-59B4-4657-8CB0-3E14C9BD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214512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sidRPr="00CC1B6F">
        <w:rPr>
          <w:rFonts w:ascii="Times New Roman" w:hAnsi="Times New Roman" w:cs="Times New Roman"/>
          <w:lang w:val="en-GB" w:eastAsia="zh-CN"/>
        </w:rPr>
        <w:fldChar w:fldCharType="end"/>
      </w:r>
    </w:p>
    <w:p w14:paraId="171F428D" w14:textId="77777777" w:rsidR="0022659F" w:rsidRPr="00DB1616" w:rsidRDefault="0022659F" w:rsidP="00F94EB1">
      <w:pPr>
        <w:spacing w:before="240" w:after="240" w:line="360" w:lineRule="auto"/>
        <w:jc w:val="center"/>
        <w:rPr>
          <w:rFonts w:ascii="Times New Roman" w:hAnsi="Times New Roman" w:cs="Times New Roman"/>
          <w:lang w:val="en-GB"/>
        </w:rPr>
      </w:pPr>
    </w:p>
    <w:p w14:paraId="2CD1A745" w14:textId="3AA74258" w:rsidR="00EF6841" w:rsidRPr="00DB1616" w:rsidRDefault="00EF6841" w:rsidP="00F94EB1">
      <w:pPr>
        <w:spacing w:before="240" w:after="240" w:line="360" w:lineRule="auto"/>
        <w:jc w:val="center"/>
        <w:rPr>
          <w:rFonts w:ascii="Times New Roman" w:hAnsi="Times New Roman" w:cs="Times New Roman"/>
          <w:lang w:val="en-GB"/>
        </w:rPr>
      </w:pPr>
      <w:r w:rsidRPr="00DB1616">
        <w:rPr>
          <w:rFonts w:ascii="Times New Roman" w:hAnsi="Times New Roman" w:cs="Times New Roman"/>
          <w:lang w:val="en-GB"/>
        </w:rPr>
        <w:t>Group Assignment Research Methods for Finance</w:t>
      </w:r>
    </w:p>
    <w:p w14:paraId="3B9A7CC7" w14:textId="4ECC8E64" w:rsidR="00EF6841" w:rsidRPr="00EA32E2" w:rsidRDefault="00EF6841" w:rsidP="00F94EB1">
      <w:pPr>
        <w:spacing w:before="240" w:after="240" w:line="360" w:lineRule="auto"/>
        <w:jc w:val="center"/>
        <w:rPr>
          <w:rFonts w:ascii="Times New Roman" w:hAnsi="Times New Roman" w:cs="Times New Roman"/>
          <w:lang w:val="en-GB"/>
        </w:rPr>
      </w:pPr>
      <w:r w:rsidRPr="00EA32E2">
        <w:rPr>
          <w:rFonts w:ascii="Times New Roman" w:hAnsi="Times New Roman" w:cs="Times New Roman"/>
          <w:lang w:val="en-GB"/>
        </w:rPr>
        <w:t>Spring Semester 2026</w:t>
      </w:r>
    </w:p>
    <w:p w14:paraId="5975A9C1" w14:textId="77777777" w:rsidR="0010759F" w:rsidRPr="00EA32E2" w:rsidRDefault="0010759F" w:rsidP="00F94EB1">
      <w:pPr>
        <w:spacing w:before="240" w:after="240" w:line="360" w:lineRule="auto"/>
        <w:jc w:val="center"/>
        <w:rPr>
          <w:rFonts w:ascii="Times New Roman" w:hAnsi="Times New Roman" w:cs="Times New Roman"/>
          <w:lang w:val="en-GB"/>
        </w:rPr>
      </w:pPr>
    </w:p>
    <w:p w14:paraId="2B5CB96C" w14:textId="64637C52" w:rsidR="005A3282" w:rsidRPr="00EA32E2" w:rsidRDefault="5F4BC1B0" w:rsidP="00F94EB1">
      <w:pPr>
        <w:spacing w:before="240" w:after="240" w:line="360" w:lineRule="auto"/>
        <w:ind w:left="3540" w:hanging="3540"/>
        <w:rPr>
          <w:rFonts w:ascii="Times New Roman" w:eastAsia="Times New Roman" w:hAnsi="Times New Roman" w:cs="Times New Roman"/>
          <w:lang w:val="en-GB"/>
        </w:rPr>
      </w:pPr>
      <w:r w:rsidRPr="00EA32E2">
        <w:rPr>
          <w:rFonts w:ascii="Times New Roman" w:eastAsia="Times New Roman" w:hAnsi="Times New Roman" w:cs="Times New Roman"/>
          <w:lang w:val="en-GB"/>
        </w:rPr>
        <w:t xml:space="preserve">Authors:                                             </w:t>
      </w:r>
      <w:r w:rsidR="00414B03" w:rsidRPr="00EA32E2">
        <w:rPr>
          <w:rFonts w:ascii="Times New Roman" w:eastAsia="Times New Roman" w:hAnsi="Times New Roman" w:cs="Times New Roman"/>
          <w:lang w:val="en-GB"/>
        </w:rPr>
        <w:t>Pietro De Bernardi</w:t>
      </w:r>
      <w:r w:rsidR="00764824" w:rsidRPr="00EA32E2">
        <w:rPr>
          <w:rFonts w:ascii="Times New Roman" w:eastAsia="Times New Roman" w:hAnsi="Times New Roman" w:cs="Times New Roman"/>
          <w:lang w:val="en-GB"/>
        </w:rPr>
        <w:t>,</w:t>
      </w:r>
      <w:r w:rsidR="003576FB" w:rsidRPr="00EA32E2">
        <w:rPr>
          <w:rFonts w:ascii="Times New Roman" w:eastAsia="Times New Roman" w:hAnsi="Times New Roman" w:cs="Times New Roman"/>
          <w:lang w:val="en-GB"/>
        </w:rPr>
        <w:t xml:space="preserve"> </w:t>
      </w:r>
      <w:r w:rsidR="00414B03" w:rsidRPr="00EA32E2">
        <w:rPr>
          <w:rFonts w:ascii="Times New Roman" w:eastAsia="Times New Roman" w:hAnsi="Times New Roman" w:cs="Times New Roman"/>
          <w:lang w:val="en-GB"/>
        </w:rPr>
        <w:t>Julian Endreß</w:t>
      </w:r>
      <w:r w:rsidR="009A62E6" w:rsidRPr="00EA32E2">
        <w:rPr>
          <w:rFonts w:ascii="Times New Roman" w:eastAsia="Times New Roman" w:hAnsi="Times New Roman" w:cs="Times New Roman"/>
          <w:lang w:val="en-GB"/>
        </w:rPr>
        <w:t xml:space="preserve">, </w:t>
      </w:r>
      <w:r w:rsidR="00414B03" w:rsidRPr="00EA32E2">
        <w:rPr>
          <w:rFonts w:ascii="Times New Roman" w:eastAsia="Times New Roman" w:hAnsi="Times New Roman" w:cs="Times New Roman"/>
          <w:lang w:val="en-GB"/>
        </w:rPr>
        <w:t>Darius Richter</w:t>
      </w:r>
      <w:r w:rsidR="0017173E" w:rsidRPr="00EA32E2">
        <w:rPr>
          <w:rFonts w:ascii="Times New Roman" w:eastAsia="Times New Roman" w:hAnsi="Times New Roman" w:cs="Times New Roman"/>
          <w:lang w:val="en-GB"/>
        </w:rPr>
        <w:t xml:space="preserve">, </w:t>
      </w:r>
      <w:r w:rsidR="00414B03" w:rsidRPr="00EA32E2">
        <w:rPr>
          <w:rFonts w:ascii="Times New Roman" w:eastAsia="Times New Roman" w:hAnsi="Times New Roman" w:cs="Times New Roman"/>
          <w:lang w:val="en-GB"/>
        </w:rPr>
        <w:t>Samia Snen</w:t>
      </w:r>
      <w:r w:rsidR="00835203" w:rsidRPr="00EA32E2">
        <w:rPr>
          <w:rFonts w:ascii="Times New Roman" w:eastAsia="Times New Roman" w:hAnsi="Times New Roman" w:cs="Times New Roman"/>
          <w:lang w:val="en-GB"/>
        </w:rPr>
        <w:t xml:space="preserve">, </w:t>
      </w:r>
      <w:r w:rsidR="00414B03" w:rsidRPr="00EA32E2">
        <w:rPr>
          <w:rFonts w:ascii="Times New Roman" w:eastAsia="Times New Roman" w:hAnsi="Times New Roman" w:cs="Times New Roman"/>
          <w:lang w:val="en-GB"/>
        </w:rPr>
        <w:t>António Vicente Gonçalves da Rocha</w:t>
      </w:r>
    </w:p>
    <w:p w14:paraId="7A396EF4" w14:textId="2902C126" w:rsidR="00B963AE" w:rsidRPr="00DB1616" w:rsidRDefault="5F4BC1B0" w:rsidP="00F94EB1">
      <w:pPr>
        <w:spacing w:before="240" w:after="240" w:line="360" w:lineRule="auto"/>
        <w:rPr>
          <w:rFonts w:ascii="Times New Roman" w:hAnsi="Times New Roman" w:cs="Times New Roman"/>
          <w:lang w:val="en-GB"/>
        </w:rPr>
      </w:pPr>
      <w:r w:rsidRPr="0071219E">
        <w:rPr>
          <w:rFonts w:ascii="Times New Roman" w:eastAsia="Times New Roman" w:hAnsi="Times New Roman" w:cs="Times New Roman"/>
          <w:lang w:val="en-GB"/>
        </w:rPr>
        <w:t>Immatriculation Numbers:</w:t>
      </w:r>
      <w:r w:rsidR="00753D4C" w:rsidRPr="00DB1616">
        <w:rPr>
          <w:rFonts w:ascii="Times New Roman" w:hAnsi="Times New Roman" w:cs="Times New Roman"/>
          <w:lang w:val="en-GB"/>
        </w:rPr>
        <w:tab/>
      </w:r>
      <w:r w:rsidR="00753D4C" w:rsidRPr="00DB1616">
        <w:rPr>
          <w:rFonts w:ascii="Times New Roman" w:hAnsi="Times New Roman" w:cs="Times New Roman"/>
          <w:lang w:val="en-GB"/>
        </w:rPr>
        <w:tab/>
      </w:r>
      <w:r w:rsidR="002D207B" w:rsidRPr="0071219E">
        <w:rPr>
          <w:rFonts w:ascii="Times New Roman" w:eastAsia="Times New Roman" w:hAnsi="Times New Roman" w:cs="Times New Roman"/>
          <w:lang w:val="en-GB"/>
        </w:rPr>
        <w:t>6</w:t>
      </w:r>
      <w:r w:rsidR="001131BA" w:rsidRPr="0071219E">
        <w:rPr>
          <w:rFonts w:ascii="Times New Roman" w:eastAsia="Times New Roman" w:hAnsi="Times New Roman" w:cs="Times New Roman"/>
          <w:lang w:val="en-GB"/>
        </w:rPr>
        <w:t>9</w:t>
      </w:r>
      <w:r w:rsidR="00C41487" w:rsidRPr="0071219E">
        <w:rPr>
          <w:rFonts w:ascii="Times New Roman" w:eastAsia="Times New Roman" w:hAnsi="Times New Roman" w:cs="Times New Roman"/>
          <w:lang w:val="en-GB"/>
        </w:rPr>
        <w:t>791</w:t>
      </w:r>
      <w:r w:rsidR="001112BC" w:rsidRPr="0071219E">
        <w:rPr>
          <w:rFonts w:ascii="Times New Roman" w:eastAsia="Times New Roman" w:hAnsi="Times New Roman" w:cs="Times New Roman"/>
          <w:lang w:val="en-GB"/>
        </w:rPr>
        <w:t>,</w:t>
      </w:r>
      <w:r w:rsidR="00A455EF" w:rsidRPr="0071219E">
        <w:rPr>
          <w:rFonts w:ascii="Times New Roman" w:eastAsia="Times New Roman" w:hAnsi="Times New Roman" w:cs="Times New Roman"/>
          <w:lang w:val="en-GB"/>
        </w:rPr>
        <w:t xml:space="preserve"> </w:t>
      </w:r>
      <w:r w:rsidR="00722B2E" w:rsidRPr="0071219E">
        <w:rPr>
          <w:rFonts w:ascii="Times New Roman" w:eastAsia="Times New Roman" w:hAnsi="Times New Roman" w:cs="Times New Roman"/>
          <w:lang w:val="en-GB"/>
        </w:rPr>
        <w:t>70474</w:t>
      </w:r>
      <w:r w:rsidR="00A2024D" w:rsidRPr="0071219E">
        <w:rPr>
          <w:rFonts w:ascii="Times New Roman" w:eastAsia="Times New Roman" w:hAnsi="Times New Roman" w:cs="Times New Roman"/>
          <w:lang w:val="en-GB"/>
        </w:rPr>
        <w:t xml:space="preserve">, </w:t>
      </w:r>
      <w:r w:rsidR="004B258C" w:rsidRPr="0071219E">
        <w:rPr>
          <w:rFonts w:ascii="Times New Roman" w:eastAsia="Times New Roman" w:hAnsi="Times New Roman" w:cs="Times New Roman"/>
          <w:lang w:val="en-GB"/>
        </w:rPr>
        <w:t>71</w:t>
      </w:r>
      <w:r w:rsidR="00B667E7" w:rsidRPr="0071219E">
        <w:rPr>
          <w:rFonts w:ascii="Times New Roman" w:eastAsia="Times New Roman" w:hAnsi="Times New Roman" w:cs="Times New Roman"/>
          <w:lang w:val="en-GB"/>
        </w:rPr>
        <w:t>362,</w:t>
      </w:r>
      <w:r w:rsidR="00803214" w:rsidRPr="0071219E">
        <w:rPr>
          <w:rFonts w:ascii="Times New Roman" w:eastAsia="Times New Roman" w:hAnsi="Times New Roman" w:cs="Times New Roman"/>
          <w:lang w:val="en-GB"/>
        </w:rPr>
        <w:t xml:space="preserve"> </w:t>
      </w:r>
      <w:r w:rsidR="000248EC" w:rsidRPr="0071219E">
        <w:rPr>
          <w:rFonts w:ascii="Times New Roman" w:eastAsia="Times New Roman" w:hAnsi="Times New Roman" w:cs="Times New Roman"/>
          <w:lang w:val="en-GB"/>
        </w:rPr>
        <w:t>7</w:t>
      </w:r>
      <w:r w:rsidR="00CD3EBD" w:rsidRPr="0071219E">
        <w:rPr>
          <w:rFonts w:ascii="Times New Roman" w:eastAsia="Times New Roman" w:hAnsi="Times New Roman" w:cs="Times New Roman"/>
          <w:lang w:val="en-GB"/>
        </w:rPr>
        <w:t>2</w:t>
      </w:r>
      <w:r w:rsidR="00043A19" w:rsidRPr="0071219E">
        <w:rPr>
          <w:rFonts w:ascii="Times New Roman" w:eastAsia="Times New Roman" w:hAnsi="Times New Roman" w:cs="Times New Roman"/>
          <w:lang w:val="en-GB"/>
        </w:rPr>
        <w:t>931</w:t>
      </w:r>
      <w:r w:rsidR="007F5905" w:rsidRPr="0071219E">
        <w:rPr>
          <w:rFonts w:ascii="Times New Roman" w:eastAsia="Times New Roman" w:hAnsi="Times New Roman" w:cs="Times New Roman"/>
          <w:lang w:val="en-GB"/>
        </w:rPr>
        <w:t xml:space="preserve">, </w:t>
      </w:r>
      <w:r w:rsidR="00C35045" w:rsidRPr="0071219E">
        <w:rPr>
          <w:rFonts w:ascii="Times New Roman" w:eastAsia="Times New Roman" w:hAnsi="Times New Roman" w:cs="Times New Roman"/>
          <w:lang w:val="en-GB"/>
        </w:rPr>
        <w:t>701</w:t>
      </w:r>
      <w:r w:rsidR="00857386" w:rsidRPr="0071219E">
        <w:rPr>
          <w:rFonts w:ascii="Times New Roman" w:eastAsia="Times New Roman" w:hAnsi="Times New Roman" w:cs="Times New Roman"/>
          <w:lang w:val="en-GB"/>
        </w:rPr>
        <w:t>91</w:t>
      </w:r>
    </w:p>
    <w:p w14:paraId="3B9874E4" w14:textId="28D3B861" w:rsidR="00B963AE" w:rsidRDefault="5F4BC1B0" w:rsidP="00F94EB1">
      <w:pPr>
        <w:spacing w:before="240" w:after="240" w:line="360" w:lineRule="auto"/>
        <w:rPr>
          <w:rFonts w:ascii="Times New Roman" w:eastAsia="Times New Roman" w:hAnsi="Times New Roman" w:cs="Times New Roman"/>
          <w:lang w:val="en-GB"/>
        </w:rPr>
      </w:pPr>
      <w:r w:rsidRPr="0071219E">
        <w:rPr>
          <w:rFonts w:ascii="Times New Roman" w:eastAsia="Times New Roman" w:hAnsi="Times New Roman" w:cs="Times New Roman"/>
          <w:lang w:val="en-GB"/>
        </w:rPr>
        <w:t>Group:</w:t>
      </w:r>
      <w:r w:rsidR="00753D4C" w:rsidRPr="00DB1616">
        <w:rPr>
          <w:rFonts w:ascii="Times New Roman" w:hAnsi="Times New Roman" w:cs="Times New Roman"/>
          <w:lang w:val="en-GB"/>
        </w:rPr>
        <w:tab/>
      </w:r>
      <w:r w:rsidR="00753D4C" w:rsidRPr="00DB1616">
        <w:rPr>
          <w:rFonts w:ascii="Times New Roman" w:hAnsi="Times New Roman" w:cs="Times New Roman"/>
          <w:lang w:val="en-GB"/>
        </w:rPr>
        <w:tab/>
      </w:r>
      <w:r w:rsidR="00753D4C" w:rsidRPr="00DB1616">
        <w:rPr>
          <w:rFonts w:ascii="Times New Roman" w:hAnsi="Times New Roman" w:cs="Times New Roman"/>
          <w:lang w:val="en-GB"/>
        </w:rPr>
        <w:tab/>
      </w:r>
      <w:r w:rsidR="00753D4C" w:rsidRPr="00DB1616">
        <w:rPr>
          <w:rFonts w:ascii="Times New Roman" w:hAnsi="Times New Roman" w:cs="Times New Roman"/>
          <w:lang w:val="en-GB"/>
        </w:rPr>
        <w:tab/>
      </w:r>
      <w:r w:rsidR="00753D4C" w:rsidRPr="00DB1616">
        <w:rPr>
          <w:rFonts w:ascii="Times New Roman" w:hAnsi="Times New Roman" w:cs="Times New Roman"/>
          <w:lang w:val="en-GB"/>
        </w:rPr>
        <w:tab/>
      </w:r>
      <w:r w:rsidR="00505817" w:rsidRPr="0071219E">
        <w:rPr>
          <w:rFonts w:ascii="Times New Roman" w:eastAsia="Times New Roman" w:hAnsi="Times New Roman" w:cs="Times New Roman"/>
          <w:lang w:val="en-GB"/>
        </w:rPr>
        <w:t>1</w:t>
      </w:r>
      <w:r w:rsidR="00DE7EED" w:rsidRPr="0071219E">
        <w:rPr>
          <w:rFonts w:ascii="Times New Roman" w:eastAsia="Times New Roman" w:hAnsi="Times New Roman" w:cs="Times New Roman"/>
          <w:lang w:val="en-GB"/>
        </w:rPr>
        <w:t>8</w:t>
      </w:r>
    </w:p>
    <w:p w14:paraId="65336845" w14:textId="5D85D332" w:rsidR="008B49E3" w:rsidRPr="008B49E3" w:rsidRDefault="008B49E3"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Subject:</w:t>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r>
      <w:r>
        <w:rPr>
          <w:rFonts w:ascii="Times New Roman" w:eastAsia="Times New Roman" w:hAnsi="Times New Roman" w:cs="Times New Roman"/>
          <w:lang w:val="en-GB"/>
        </w:rPr>
        <w:tab/>
        <w:t>Research Methods for Finance</w:t>
      </w:r>
    </w:p>
    <w:p w14:paraId="1E3463D9" w14:textId="4511917C" w:rsidR="00EF6841" w:rsidRPr="00EF6841" w:rsidRDefault="5F4BC1B0" w:rsidP="00F94EB1">
      <w:pPr>
        <w:spacing w:before="240" w:after="240" w:line="360" w:lineRule="auto"/>
        <w:rPr>
          <w:rFonts w:ascii="Times New Roman" w:eastAsia="Times New Roman" w:hAnsi="Times New Roman" w:cs="Times New Roman"/>
          <w:lang w:val="en-GB"/>
        </w:rPr>
      </w:pPr>
      <w:r w:rsidRPr="0071219E">
        <w:rPr>
          <w:rFonts w:ascii="Times New Roman" w:eastAsia="Times New Roman" w:hAnsi="Times New Roman" w:cs="Times New Roman"/>
          <w:lang w:val="en-GB"/>
        </w:rPr>
        <w:t>Supervisor:</w:t>
      </w:r>
      <w:r w:rsidR="00753D4C" w:rsidRPr="00EF6841">
        <w:rPr>
          <w:rFonts w:ascii="Times New Roman" w:eastAsia="Times New Roman" w:hAnsi="Times New Roman" w:cs="Times New Roman"/>
          <w:lang w:val="en-GB"/>
        </w:rPr>
        <w:tab/>
      </w:r>
      <w:r w:rsidR="00753D4C" w:rsidRPr="00EF6841">
        <w:rPr>
          <w:rFonts w:ascii="Times New Roman" w:eastAsia="Times New Roman" w:hAnsi="Times New Roman" w:cs="Times New Roman"/>
          <w:lang w:val="en-GB"/>
        </w:rPr>
        <w:tab/>
      </w:r>
      <w:r w:rsidR="00753D4C" w:rsidRPr="00EF6841">
        <w:rPr>
          <w:rFonts w:ascii="Times New Roman" w:eastAsia="Times New Roman" w:hAnsi="Times New Roman" w:cs="Times New Roman"/>
          <w:lang w:val="en-GB"/>
        </w:rPr>
        <w:tab/>
      </w:r>
      <w:r w:rsidR="00753D4C" w:rsidRPr="00EF6841">
        <w:rPr>
          <w:rFonts w:ascii="Times New Roman" w:eastAsia="Times New Roman" w:hAnsi="Times New Roman" w:cs="Times New Roman"/>
          <w:lang w:val="en-GB"/>
        </w:rPr>
        <w:tab/>
      </w:r>
      <w:r w:rsidR="00A51D59" w:rsidRPr="00EF6841">
        <w:rPr>
          <w:rFonts w:ascii="Times New Roman" w:eastAsia="Times New Roman" w:hAnsi="Times New Roman" w:cs="Times New Roman"/>
          <w:lang w:val="en-GB"/>
        </w:rPr>
        <w:t>Julio A. Crego</w:t>
      </w:r>
      <w:r w:rsidR="006705C8" w:rsidRPr="00EF6841">
        <w:rPr>
          <w:rFonts w:ascii="Times New Roman" w:eastAsia="Times New Roman" w:hAnsi="Times New Roman" w:cs="Times New Roman"/>
          <w:lang w:val="en-GB"/>
        </w:rPr>
        <w:t>, Fabian Waßmann</w:t>
      </w:r>
    </w:p>
    <w:p w14:paraId="45AF8FDD" w14:textId="3B46D29B" w:rsidR="00973108" w:rsidRDefault="5F4BC1B0" w:rsidP="00F94EB1">
      <w:pPr>
        <w:spacing w:line="360" w:lineRule="auto"/>
        <w:rPr>
          <w:rFonts w:ascii="Times New Roman" w:eastAsia="Times New Roman" w:hAnsi="Times New Roman" w:cs="Times New Roman"/>
          <w:lang w:val="en-GB"/>
        </w:rPr>
        <w:sectPr w:rsidR="00973108" w:rsidSect="00F71F20">
          <w:footerReference w:type="even" r:id="rId17"/>
          <w:footerReference w:type="default" r:id="rId18"/>
          <w:pgSz w:w="11906" w:h="16838"/>
          <w:pgMar w:top="1440" w:right="1440" w:bottom="1440" w:left="1440" w:header="720" w:footer="720" w:gutter="0"/>
          <w:cols w:space="720"/>
          <w:titlePg/>
          <w:docGrid w:linePitch="360"/>
        </w:sectPr>
      </w:pPr>
      <w:r w:rsidRPr="0071219E">
        <w:rPr>
          <w:rFonts w:ascii="Times New Roman" w:eastAsia="Times New Roman" w:hAnsi="Times New Roman" w:cs="Times New Roman"/>
          <w:lang w:val="en-GB"/>
        </w:rPr>
        <w:t xml:space="preserve">Date of submission:                           </w:t>
      </w:r>
      <w:r w:rsidR="00D557E1">
        <w:rPr>
          <w:rFonts w:ascii="Times New Roman" w:eastAsia="Times New Roman" w:hAnsi="Times New Roman" w:cs="Times New Roman"/>
          <w:lang w:val="en-GB"/>
        </w:rPr>
        <w:t>1</w:t>
      </w:r>
      <w:r w:rsidR="006705C8" w:rsidRPr="0071219E">
        <w:rPr>
          <w:rFonts w:ascii="Times New Roman" w:eastAsia="Times New Roman" w:hAnsi="Times New Roman" w:cs="Times New Roman"/>
          <w:lang w:val="en-GB"/>
        </w:rPr>
        <w:t>st</w:t>
      </w:r>
      <w:r w:rsidRPr="0071219E">
        <w:rPr>
          <w:rFonts w:ascii="Times New Roman" w:eastAsia="Times New Roman" w:hAnsi="Times New Roman" w:cs="Times New Roman"/>
          <w:lang w:val="en-GB"/>
        </w:rPr>
        <w:t xml:space="preserve"> </w:t>
      </w:r>
      <w:r w:rsidR="006705C8" w:rsidRPr="0071219E">
        <w:rPr>
          <w:rFonts w:ascii="Times New Roman" w:eastAsia="Times New Roman" w:hAnsi="Times New Roman" w:cs="Times New Roman"/>
          <w:lang w:val="en-GB"/>
        </w:rPr>
        <w:t>March</w:t>
      </w:r>
      <w:r w:rsidRPr="0071219E">
        <w:rPr>
          <w:rFonts w:ascii="Times New Roman" w:eastAsia="Times New Roman" w:hAnsi="Times New Roman" w:cs="Times New Roman"/>
          <w:lang w:val="en-GB"/>
        </w:rPr>
        <w:t xml:space="preserve"> 202</w:t>
      </w:r>
      <w:r w:rsidR="006705C8" w:rsidRPr="0071219E">
        <w:rPr>
          <w:rFonts w:ascii="Times New Roman" w:eastAsia="Times New Roman" w:hAnsi="Times New Roman" w:cs="Times New Roman"/>
          <w:lang w:val="en-GB"/>
        </w:rPr>
        <w:t>6</w:t>
      </w:r>
    </w:p>
    <w:p w14:paraId="77B6F607" w14:textId="77777777" w:rsidR="00A86727" w:rsidRPr="00CC1B6F" w:rsidRDefault="00A86727" w:rsidP="00F94EB1">
      <w:pPr>
        <w:pStyle w:val="Unsichtbareberschrift"/>
        <w:rPr>
          <w:rFonts w:cs="Times New Roman"/>
          <w:lang w:val="en-GB"/>
        </w:rPr>
      </w:pPr>
      <w:r w:rsidRPr="00CC1B6F">
        <w:rPr>
          <w:rFonts w:cs="Times New Roman"/>
          <w:lang w:val="en-GB"/>
        </w:rPr>
        <w:t>Table of Contents</w:t>
      </w:r>
    </w:p>
    <w:p w14:paraId="048C4BFF" w14:textId="5F031326" w:rsidR="00037DB6" w:rsidRDefault="00A86727">
      <w:pPr>
        <w:pStyle w:val="TOC1"/>
        <w:rPr>
          <w:rFonts w:asciiTheme="minorHAnsi" w:eastAsiaTheme="minorEastAsia" w:hAnsiTheme="minorHAnsi" w:cstheme="minorBidi"/>
          <w:b w:val="0"/>
          <w:noProof/>
          <w:kern w:val="2"/>
          <w:lang w:eastAsia="en-US"/>
          <w14:ligatures w14:val="standardContextual"/>
        </w:rPr>
      </w:pPr>
      <w:r w:rsidRPr="00CC1B6F">
        <w:rPr>
          <w:rFonts w:eastAsiaTheme="minorHAnsi"/>
          <w:lang w:val="en-GB"/>
        </w:rPr>
        <w:fldChar w:fldCharType="begin"/>
      </w:r>
      <w:r w:rsidRPr="00CC1B6F">
        <w:rPr>
          <w:lang w:val="en-GB"/>
        </w:rPr>
        <w:instrText xml:space="preserve"> TOC \o "1-3" \h \z \t "Zwischenverzeichnis;1" </w:instrText>
      </w:r>
      <w:r w:rsidRPr="00CC1B6F">
        <w:rPr>
          <w:rFonts w:eastAsiaTheme="minorHAnsi"/>
          <w:lang w:val="en-GB"/>
        </w:rPr>
        <w:fldChar w:fldCharType="separate"/>
      </w:r>
      <w:hyperlink w:anchor="_Toc223269516" w:history="1">
        <w:r w:rsidR="00037DB6" w:rsidRPr="00122235">
          <w:rPr>
            <w:rStyle w:val="Hyperlink"/>
            <w:noProof/>
            <w:lang w:val="en-GB"/>
          </w:rPr>
          <w:t>1</w:t>
        </w:r>
        <w:r w:rsidR="00037DB6">
          <w:rPr>
            <w:rFonts w:asciiTheme="minorHAnsi" w:eastAsiaTheme="minorEastAsia" w:hAnsiTheme="minorHAnsi" w:cstheme="minorBidi"/>
            <w:b w:val="0"/>
            <w:noProof/>
            <w:kern w:val="2"/>
            <w:lang w:eastAsia="en-US"/>
            <w14:ligatures w14:val="standardContextual"/>
          </w:rPr>
          <w:tab/>
        </w:r>
        <w:r w:rsidR="00037DB6" w:rsidRPr="00122235">
          <w:rPr>
            <w:rStyle w:val="Hyperlink"/>
            <w:noProof/>
            <w:lang w:val="en-GB"/>
          </w:rPr>
          <w:t>Hypotheses Development</w:t>
        </w:r>
        <w:r w:rsidR="00037DB6">
          <w:rPr>
            <w:noProof/>
            <w:webHidden/>
          </w:rPr>
          <w:tab/>
        </w:r>
        <w:r w:rsidR="00037DB6">
          <w:rPr>
            <w:noProof/>
            <w:webHidden/>
          </w:rPr>
          <w:fldChar w:fldCharType="begin"/>
        </w:r>
        <w:r w:rsidR="00037DB6">
          <w:rPr>
            <w:noProof/>
            <w:webHidden/>
          </w:rPr>
          <w:instrText xml:space="preserve"> PAGEREF _Toc223269516 \h </w:instrText>
        </w:r>
        <w:r w:rsidR="00037DB6">
          <w:rPr>
            <w:noProof/>
            <w:webHidden/>
          </w:rPr>
        </w:r>
        <w:r w:rsidR="00037DB6">
          <w:rPr>
            <w:noProof/>
            <w:webHidden/>
          </w:rPr>
          <w:fldChar w:fldCharType="separate"/>
        </w:r>
        <w:r w:rsidR="00037DB6">
          <w:rPr>
            <w:noProof/>
            <w:webHidden/>
          </w:rPr>
          <w:t>4</w:t>
        </w:r>
        <w:r w:rsidR="00037DB6">
          <w:rPr>
            <w:noProof/>
            <w:webHidden/>
          </w:rPr>
          <w:fldChar w:fldCharType="end"/>
        </w:r>
      </w:hyperlink>
    </w:p>
    <w:p w14:paraId="154C3B19" w14:textId="3D22F38B"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17" w:history="1">
        <w:r w:rsidRPr="00122235">
          <w:rPr>
            <w:rStyle w:val="Hyperlink"/>
            <w:noProof/>
            <w:lang w:val="en-GB"/>
          </w:rPr>
          <w:t>1.1</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Research Question</w:t>
        </w:r>
        <w:r>
          <w:rPr>
            <w:noProof/>
            <w:webHidden/>
          </w:rPr>
          <w:tab/>
        </w:r>
        <w:r>
          <w:rPr>
            <w:noProof/>
            <w:webHidden/>
          </w:rPr>
          <w:fldChar w:fldCharType="begin"/>
        </w:r>
        <w:r>
          <w:rPr>
            <w:noProof/>
            <w:webHidden/>
          </w:rPr>
          <w:instrText xml:space="preserve"> PAGEREF _Toc223269517 \h </w:instrText>
        </w:r>
        <w:r>
          <w:rPr>
            <w:noProof/>
            <w:webHidden/>
          </w:rPr>
        </w:r>
        <w:r>
          <w:rPr>
            <w:noProof/>
            <w:webHidden/>
          </w:rPr>
          <w:fldChar w:fldCharType="separate"/>
        </w:r>
        <w:r>
          <w:rPr>
            <w:noProof/>
            <w:webHidden/>
          </w:rPr>
          <w:t>4</w:t>
        </w:r>
        <w:r>
          <w:rPr>
            <w:noProof/>
            <w:webHidden/>
          </w:rPr>
          <w:fldChar w:fldCharType="end"/>
        </w:r>
      </w:hyperlink>
    </w:p>
    <w:p w14:paraId="2883F02C" w14:textId="128E6412"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18" w:history="1">
        <w:r w:rsidRPr="00122235">
          <w:rPr>
            <w:rStyle w:val="Hyperlink"/>
            <w:noProof/>
            <w:lang w:val="en-GB"/>
          </w:rPr>
          <w:t>1.2</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Economic Framework</w:t>
        </w:r>
        <w:r>
          <w:rPr>
            <w:noProof/>
            <w:webHidden/>
          </w:rPr>
          <w:tab/>
        </w:r>
        <w:r>
          <w:rPr>
            <w:noProof/>
            <w:webHidden/>
          </w:rPr>
          <w:fldChar w:fldCharType="begin"/>
        </w:r>
        <w:r>
          <w:rPr>
            <w:noProof/>
            <w:webHidden/>
          </w:rPr>
          <w:instrText xml:space="preserve"> PAGEREF _Toc223269518 \h </w:instrText>
        </w:r>
        <w:r>
          <w:rPr>
            <w:noProof/>
            <w:webHidden/>
          </w:rPr>
        </w:r>
        <w:r>
          <w:rPr>
            <w:noProof/>
            <w:webHidden/>
          </w:rPr>
          <w:fldChar w:fldCharType="separate"/>
        </w:r>
        <w:r>
          <w:rPr>
            <w:noProof/>
            <w:webHidden/>
          </w:rPr>
          <w:t>4</w:t>
        </w:r>
        <w:r>
          <w:rPr>
            <w:noProof/>
            <w:webHidden/>
          </w:rPr>
          <w:fldChar w:fldCharType="end"/>
        </w:r>
      </w:hyperlink>
    </w:p>
    <w:p w14:paraId="68A18366" w14:textId="075B7DC4"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19" w:history="1">
        <w:r w:rsidRPr="00122235">
          <w:rPr>
            <w:rStyle w:val="Hyperlink"/>
            <w:noProof/>
            <w:lang w:val="en-GB"/>
          </w:rPr>
          <w:t>1.3</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Hypothesis 1: Average Treatment Effect</w:t>
        </w:r>
        <w:r>
          <w:rPr>
            <w:noProof/>
            <w:webHidden/>
          </w:rPr>
          <w:tab/>
        </w:r>
        <w:r>
          <w:rPr>
            <w:noProof/>
            <w:webHidden/>
          </w:rPr>
          <w:fldChar w:fldCharType="begin"/>
        </w:r>
        <w:r>
          <w:rPr>
            <w:noProof/>
            <w:webHidden/>
          </w:rPr>
          <w:instrText xml:space="preserve"> PAGEREF _Toc223269519 \h </w:instrText>
        </w:r>
        <w:r>
          <w:rPr>
            <w:noProof/>
            <w:webHidden/>
          </w:rPr>
        </w:r>
        <w:r>
          <w:rPr>
            <w:noProof/>
            <w:webHidden/>
          </w:rPr>
          <w:fldChar w:fldCharType="separate"/>
        </w:r>
        <w:r>
          <w:rPr>
            <w:noProof/>
            <w:webHidden/>
          </w:rPr>
          <w:t>5</w:t>
        </w:r>
        <w:r>
          <w:rPr>
            <w:noProof/>
            <w:webHidden/>
          </w:rPr>
          <w:fldChar w:fldCharType="end"/>
        </w:r>
      </w:hyperlink>
    </w:p>
    <w:p w14:paraId="173AE1D5" w14:textId="4F393CDD"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0" w:history="1">
        <w:r w:rsidRPr="00122235">
          <w:rPr>
            <w:rStyle w:val="Hyperlink"/>
            <w:noProof/>
            <w:lang w:val="en-GB"/>
          </w:rPr>
          <w:t>1.4</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Hypothesis 2: Heterogeneous Effects by Pre-Pilot Spread Narrowness</w:t>
        </w:r>
        <w:r>
          <w:rPr>
            <w:noProof/>
            <w:webHidden/>
          </w:rPr>
          <w:tab/>
        </w:r>
        <w:r>
          <w:rPr>
            <w:noProof/>
            <w:webHidden/>
          </w:rPr>
          <w:fldChar w:fldCharType="begin"/>
        </w:r>
        <w:r>
          <w:rPr>
            <w:noProof/>
            <w:webHidden/>
          </w:rPr>
          <w:instrText xml:space="preserve"> PAGEREF _Toc223269520 \h </w:instrText>
        </w:r>
        <w:r>
          <w:rPr>
            <w:noProof/>
            <w:webHidden/>
          </w:rPr>
        </w:r>
        <w:r>
          <w:rPr>
            <w:noProof/>
            <w:webHidden/>
          </w:rPr>
          <w:fldChar w:fldCharType="separate"/>
        </w:r>
        <w:r>
          <w:rPr>
            <w:noProof/>
            <w:webHidden/>
          </w:rPr>
          <w:t>5</w:t>
        </w:r>
        <w:r>
          <w:rPr>
            <w:noProof/>
            <w:webHidden/>
          </w:rPr>
          <w:fldChar w:fldCharType="end"/>
        </w:r>
      </w:hyperlink>
    </w:p>
    <w:p w14:paraId="48F672EF" w14:textId="060D5A18" w:rsidR="00037DB6" w:rsidRDefault="00037DB6">
      <w:pPr>
        <w:pStyle w:val="TOC1"/>
        <w:rPr>
          <w:rFonts w:asciiTheme="minorHAnsi" w:eastAsiaTheme="minorEastAsia" w:hAnsiTheme="minorHAnsi" w:cstheme="minorBidi"/>
          <w:b w:val="0"/>
          <w:noProof/>
          <w:kern w:val="2"/>
          <w:lang w:eastAsia="en-US"/>
          <w14:ligatures w14:val="standardContextual"/>
        </w:rPr>
      </w:pPr>
      <w:hyperlink w:anchor="_Toc223269521" w:history="1">
        <w:r w:rsidRPr="00122235">
          <w:rPr>
            <w:rStyle w:val="Hyperlink"/>
            <w:noProof/>
            <w:lang w:val="en-GB"/>
          </w:rPr>
          <w:t>2</w:t>
        </w:r>
        <w:r>
          <w:rPr>
            <w:rFonts w:asciiTheme="minorHAnsi" w:eastAsiaTheme="minorEastAsia" w:hAnsiTheme="minorHAnsi" w:cstheme="minorBidi"/>
            <w:b w:val="0"/>
            <w:noProof/>
            <w:kern w:val="2"/>
            <w:lang w:eastAsia="en-US"/>
            <w14:ligatures w14:val="standardContextual"/>
          </w:rPr>
          <w:tab/>
        </w:r>
        <w:r w:rsidRPr="00122235">
          <w:rPr>
            <w:rStyle w:val="Hyperlink"/>
            <w:noProof/>
            <w:lang w:val="en-GB"/>
          </w:rPr>
          <w:t>Empirical Methodology</w:t>
        </w:r>
        <w:r>
          <w:rPr>
            <w:noProof/>
            <w:webHidden/>
          </w:rPr>
          <w:tab/>
        </w:r>
        <w:r>
          <w:rPr>
            <w:noProof/>
            <w:webHidden/>
          </w:rPr>
          <w:fldChar w:fldCharType="begin"/>
        </w:r>
        <w:r>
          <w:rPr>
            <w:noProof/>
            <w:webHidden/>
          </w:rPr>
          <w:instrText xml:space="preserve"> PAGEREF _Toc223269521 \h </w:instrText>
        </w:r>
        <w:r>
          <w:rPr>
            <w:noProof/>
            <w:webHidden/>
          </w:rPr>
        </w:r>
        <w:r>
          <w:rPr>
            <w:noProof/>
            <w:webHidden/>
          </w:rPr>
          <w:fldChar w:fldCharType="separate"/>
        </w:r>
        <w:r>
          <w:rPr>
            <w:noProof/>
            <w:webHidden/>
          </w:rPr>
          <w:t>6</w:t>
        </w:r>
        <w:r>
          <w:rPr>
            <w:noProof/>
            <w:webHidden/>
          </w:rPr>
          <w:fldChar w:fldCharType="end"/>
        </w:r>
      </w:hyperlink>
    </w:p>
    <w:p w14:paraId="31A40A66" w14:textId="1EE4C270"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2" w:history="1">
        <w:r w:rsidRPr="00122235">
          <w:rPr>
            <w:rStyle w:val="Hyperlink"/>
            <w:noProof/>
          </w:rPr>
          <w:t>2.1</w:t>
        </w:r>
        <w:r>
          <w:rPr>
            <w:rFonts w:asciiTheme="minorHAnsi" w:eastAsiaTheme="minorEastAsia" w:hAnsiTheme="minorHAnsi" w:cstheme="minorBidi"/>
            <w:noProof/>
            <w:kern w:val="2"/>
            <w:lang w:eastAsia="en-US"/>
            <w14:ligatures w14:val="standardContextual"/>
          </w:rPr>
          <w:tab/>
        </w:r>
        <w:r w:rsidRPr="00122235">
          <w:rPr>
            <w:rStyle w:val="Hyperlink"/>
            <w:noProof/>
          </w:rPr>
          <w:t>Identification Strategy</w:t>
        </w:r>
        <w:r>
          <w:rPr>
            <w:noProof/>
            <w:webHidden/>
          </w:rPr>
          <w:tab/>
        </w:r>
        <w:r>
          <w:rPr>
            <w:noProof/>
            <w:webHidden/>
          </w:rPr>
          <w:fldChar w:fldCharType="begin"/>
        </w:r>
        <w:r>
          <w:rPr>
            <w:noProof/>
            <w:webHidden/>
          </w:rPr>
          <w:instrText xml:space="preserve"> PAGEREF _Toc223269522 \h </w:instrText>
        </w:r>
        <w:r>
          <w:rPr>
            <w:noProof/>
            <w:webHidden/>
          </w:rPr>
        </w:r>
        <w:r>
          <w:rPr>
            <w:noProof/>
            <w:webHidden/>
          </w:rPr>
          <w:fldChar w:fldCharType="separate"/>
        </w:r>
        <w:r>
          <w:rPr>
            <w:noProof/>
            <w:webHidden/>
          </w:rPr>
          <w:t>6</w:t>
        </w:r>
        <w:r>
          <w:rPr>
            <w:noProof/>
            <w:webHidden/>
          </w:rPr>
          <w:fldChar w:fldCharType="end"/>
        </w:r>
      </w:hyperlink>
    </w:p>
    <w:p w14:paraId="7D2FC125" w14:textId="3D0F40FE"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3" w:history="1">
        <w:r w:rsidRPr="00122235">
          <w:rPr>
            <w:rStyle w:val="Hyperlink"/>
            <w:noProof/>
            <w:lang w:val="en-GB"/>
          </w:rPr>
          <w:t>2.2</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Baseline Specification</w:t>
        </w:r>
        <w:r>
          <w:rPr>
            <w:noProof/>
            <w:webHidden/>
          </w:rPr>
          <w:tab/>
        </w:r>
        <w:r>
          <w:rPr>
            <w:noProof/>
            <w:webHidden/>
          </w:rPr>
          <w:fldChar w:fldCharType="begin"/>
        </w:r>
        <w:r>
          <w:rPr>
            <w:noProof/>
            <w:webHidden/>
          </w:rPr>
          <w:instrText xml:space="preserve"> PAGEREF _Toc223269523 \h </w:instrText>
        </w:r>
        <w:r>
          <w:rPr>
            <w:noProof/>
            <w:webHidden/>
          </w:rPr>
        </w:r>
        <w:r>
          <w:rPr>
            <w:noProof/>
            <w:webHidden/>
          </w:rPr>
          <w:fldChar w:fldCharType="separate"/>
        </w:r>
        <w:r>
          <w:rPr>
            <w:noProof/>
            <w:webHidden/>
          </w:rPr>
          <w:t>6</w:t>
        </w:r>
        <w:r>
          <w:rPr>
            <w:noProof/>
            <w:webHidden/>
          </w:rPr>
          <w:fldChar w:fldCharType="end"/>
        </w:r>
      </w:hyperlink>
    </w:p>
    <w:p w14:paraId="2C119D55" w14:textId="7DBC3542"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4" w:history="1">
        <w:r w:rsidRPr="00122235">
          <w:rPr>
            <w:rStyle w:val="Hyperlink"/>
            <w:noProof/>
            <w:lang w:val="en-GB"/>
          </w:rPr>
          <w:t>2.3</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Extended Specification</w:t>
        </w:r>
        <w:r>
          <w:rPr>
            <w:noProof/>
            <w:webHidden/>
          </w:rPr>
          <w:tab/>
        </w:r>
        <w:r>
          <w:rPr>
            <w:noProof/>
            <w:webHidden/>
          </w:rPr>
          <w:fldChar w:fldCharType="begin"/>
        </w:r>
        <w:r>
          <w:rPr>
            <w:noProof/>
            <w:webHidden/>
          </w:rPr>
          <w:instrText xml:space="preserve"> PAGEREF _Toc223269524 \h </w:instrText>
        </w:r>
        <w:r>
          <w:rPr>
            <w:noProof/>
            <w:webHidden/>
          </w:rPr>
        </w:r>
        <w:r>
          <w:rPr>
            <w:noProof/>
            <w:webHidden/>
          </w:rPr>
          <w:fldChar w:fldCharType="separate"/>
        </w:r>
        <w:r>
          <w:rPr>
            <w:noProof/>
            <w:webHidden/>
          </w:rPr>
          <w:t>7</w:t>
        </w:r>
        <w:r>
          <w:rPr>
            <w:noProof/>
            <w:webHidden/>
          </w:rPr>
          <w:fldChar w:fldCharType="end"/>
        </w:r>
      </w:hyperlink>
    </w:p>
    <w:p w14:paraId="3ACD8724" w14:textId="0C4EC80D"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5" w:history="1">
        <w:r w:rsidRPr="00122235">
          <w:rPr>
            <w:rStyle w:val="Hyperlink"/>
            <w:noProof/>
            <w:lang w:val="en-GB"/>
          </w:rPr>
          <w:t>2.4</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Control Variables</w:t>
        </w:r>
        <w:r>
          <w:rPr>
            <w:noProof/>
            <w:webHidden/>
          </w:rPr>
          <w:tab/>
        </w:r>
        <w:r>
          <w:rPr>
            <w:noProof/>
            <w:webHidden/>
          </w:rPr>
          <w:fldChar w:fldCharType="begin"/>
        </w:r>
        <w:r>
          <w:rPr>
            <w:noProof/>
            <w:webHidden/>
          </w:rPr>
          <w:instrText xml:space="preserve"> PAGEREF _Toc223269525 \h </w:instrText>
        </w:r>
        <w:r>
          <w:rPr>
            <w:noProof/>
            <w:webHidden/>
          </w:rPr>
        </w:r>
        <w:r>
          <w:rPr>
            <w:noProof/>
            <w:webHidden/>
          </w:rPr>
          <w:fldChar w:fldCharType="separate"/>
        </w:r>
        <w:r>
          <w:rPr>
            <w:noProof/>
            <w:webHidden/>
          </w:rPr>
          <w:t>7</w:t>
        </w:r>
        <w:r>
          <w:rPr>
            <w:noProof/>
            <w:webHidden/>
          </w:rPr>
          <w:fldChar w:fldCharType="end"/>
        </w:r>
      </w:hyperlink>
    </w:p>
    <w:p w14:paraId="79C651EE" w14:textId="28EF5C4B" w:rsidR="00037DB6" w:rsidRDefault="00037DB6">
      <w:pPr>
        <w:pStyle w:val="TOC1"/>
        <w:rPr>
          <w:rFonts w:asciiTheme="minorHAnsi" w:eastAsiaTheme="minorEastAsia" w:hAnsiTheme="minorHAnsi" w:cstheme="minorBidi"/>
          <w:b w:val="0"/>
          <w:noProof/>
          <w:kern w:val="2"/>
          <w:lang w:eastAsia="en-US"/>
          <w14:ligatures w14:val="standardContextual"/>
        </w:rPr>
      </w:pPr>
      <w:hyperlink w:anchor="_Toc223269526" w:history="1">
        <w:r w:rsidRPr="00122235">
          <w:rPr>
            <w:rStyle w:val="Hyperlink"/>
            <w:noProof/>
            <w:lang w:val="en-GB"/>
          </w:rPr>
          <w:t>3.</w:t>
        </w:r>
        <w:r>
          <w:rPr>
            <w:rFonts w:asciiTheme="minorHAnsi" w:eastAsiaTheme="minorEastAsia" w:hAnsiTheme="minorHAnsi" w:cstheme="minorBidi"/>
            <w:b w:val="0"/>
            <w:noProof/>
            <w:kern w:val="2"/>
            <w:lang w:eastAsia="en-US"/>
            <w14:ligatures w14:val="standardContextual"/>
          </w:rPr>
          <w:tab/>
        </w:r>
        <w:r w:rsidRPr="00122235">
          <w:rPr>
            <w:rStyle w:val="Hyperlink"/>
            <w:noProof/>
            <w:lang w:val="en-GB"/>
          </w:rPr>
          <w:t>Data</w:t>
        </w:r>
        <w:r>
          <w:rPr>
            <w:noProof/>
            <w:webHidden/>
          </w:rPr>
          <w:tab/>
        </w:r>
        <w:r>
          <w:rPr>
            <w:noProof/>
            <w:webHidden/>
          </w:rPr>
          <w:fldChar w:fldCharType="begin"/>
        </w:r>
        <w:r>
          <w:rPr>
            <w:noProof/>
            <w:webHidden/>
          </w:rPr>
          <w:instrText xml:space="preserve"> PAGEREF _Toc223269526 \h </w:instrText>
        </w:r>
        <w:r>
          <w:rPr>
            <w:noProof/>
            <w:webHidden/>
          </w:rPr>
        </w:r>
        <w:r>
          <w:rPr>
            <w:noProof/>
            <w:webHidden/>
          </w:rPr>
          <w:fldChar w:fldCharType="separate"/>
        </w:r>
        <w:r>
          <w:rPr>
            <w:noProof/>
            <w:webHidden/>
          </w:rPr>
          <w:t>9</w:t>
        </w:r>
        <w:r>
          <w:rPr>
            <w:noProof/>
            <w:webHidden/>
          </w:rPr>
          <w:fldChar w:fldCharType="end"/>
        </w:r>
      </w:hyperlink>
    </w:p>
    <w:p w14:paraId="48422034" w14:textId="03CB238A"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7" w:history="1">
        <w:r w:rsidRPr="00122235">
          <w:rPr>
            <w:rStyle w:val="Hyperlink"/>
            <w:noProof/>
            <w:lang w:val="en-GB"/>
          </w:rPr>
          <w:t>3.1</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Data Construction and Sample Selection</w:t>
        </w:r>
        <w:r>
          <w:rPr>
            <w:noProof/>
            <w:webHidden/>
          </w:rPr>
          <w:tab/>
        </w:r>
        <w:r>
          <w:rPr>
            <w:noProof/>
            <w:webHidden/>
          </w:rPr>
          <w:fldChar w:fldCharType="begin"/>
        </w:r>
        <w:r>
          <w:rPr>
            <w:noProof/>
            <w:webHidden/>
          </w:rPr>
          <w:instrText xml:space="preserve"> PAGEREF _Toc223269527 \h </w:instrText>
        </w:r>
        <w:r>
          <w:rPr>
            <w:noProof/>
            <w:webHidden/>
          </w:rPr>
        </w:r>
        <w:r>
          <w:rPr>
            <w:noProof/>
            <w:webHidden/>
          </w:rPr>
          <w:fldChar w:fldCharType="separate"/>
        </w:r>
        <w:r>
          <w:rPr>
            <w:noProof/>
            <w:webHidden/>
          </w:rPr>
          <w:t>9</w:t>
        </w:r>
        <w:r>
          <w:rPr>
            <w:noProof/>
            <w:webHidden/>
          </w:rPr>
          <w:fldChar w:fldCharType="end"/>
        </w:r>
      </w:hyperlink>
    </w:p>
    <w:p w14:paraId="2BDA57C3" w14:textId="7CF70AB4"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8" w:history="1">
        <w:r w:rsidRPr="00122235">
          <w:rPr>
            <w:rStyle w:val="Hyperlink"/>
            <w:noProof/>
            <w:lang w:val="en-GB"/>
          </w:rPr>
          <w:t xml:space="preserve">3.2 </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Variable Construction</w:t>
        </w:r>
        <w:r>
          <w:rPr>
            <w:noProof/>
            <w:webHidden/>
          </w:rPr>
          <w:tab/>
        </w:r>
        <w:r>
          <w:rPr>
            <w:noProof/>
            <w:webHidden/>
          </w:rPr>
          <w:fldChar w:fldCharType="begin"/>
        </w:r>
        <w:r>
          <w:rPr>
            <w:noProof/>
            <w:webHidden/>
          </w:rPr>
          <w:instrText xml:space="preserve"> PAGEREF _Toc223269528 \h </w:instrText>
        </w:r>
        <w:r>
          <w:rPr>
            <w:noProof/>
            <w:webHidden/>
          </w:rPr>
        </w:r>
        <w:r>
          <w:rPr>
            <w:noProof/>
            <w:webHidden/>
          </w:rPr>
          <w:fldChar w:fldCharType="separate"/>
        </w:r>
        <w:r>
          <w:rPr>
            <w:noProof/>
            <w:webHidden/>
          </w:rPr>
          <w:t>10</w:t>
        </w:r>
        <w:r>
          <w:rPr>
            <w:noProof/>
            <w:webHidden/>
          </w:rPr>
          <w:fldChar w:fldCharType="end"/>
        </w:r>
      </w:hyperlink>
    </w:p>
    <w:p w14:paraId="7265AAC1" w14:textId="5B69F559"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29" w:history="1">
        <w:r w:rsidRPr="00122235">
          <w:rPr>
            <w:rStyle w:val="Hyperlink"/>
            <w:noProof/>
            <w:lang w:val="en-GB"/>
          </w:rPr>
          <w:t xml:space="preserve">3.3 </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Summary Statistics</w:t>
        </w:r>
        <w:r>
          <w:rPr>
            <w:noProof/>
            <w:webHidden/>
          </w:rPr>
          <w:tab/>
        </w:r>
        <w:r>
          <w:rPr>
            <w:noProof/>
            <w:webHidden/>
          </w:rPr>
          <w:fldChar w:fldCharType="begin"/>
        </w:r>
        <w:r>
          <w:rPr>
            <w:noProof/>
            <w:webHidden/>
          </w:rPr>
          <w:instrText xml:space="preserve"> PAGEREF _Toc223269529 \h </w:instrText>
        </w:r>
        <w:r>
          <w:rPr>
            <w:noProof/>
            <w:webHidden/>
          </w:rPr>
        </w:r>
        <w:r>
          <w:rPr>
            <w:noProof/>
            <w:webHidden/>
          </w:rPr>
          <w:fldChar w:fldCharType="separate"/>
        </w:r>
        <w:r>
          <w:rPr>
            <w:noProof/>
            <w:webHidden/>
          </w:rPr>
          <w:t>11</w:t>
        </w:r>
        <w:r>
          <w:rPr>
            <w:noProof/>
            <w:webHidden/>
          </w:rPr>
          <w:fldChar w:fldCharType="end"/>
        </w:r>
      </w:hyperlink>
    </w:p>
    <w:p w14:paraId="4154A2ED" w14:textId="24C2F463" w:rsidR="00037DB6" w:rsidRDefault="00037DB6">
      <w:pPr>
        <w:pStyle w:val="TOC1"/>
        <w:rPr>
          <w:rFonts w:asciiTheme="minorHAnsi" w:eastAsiaTheme="minorEastAsia" w:hAnsiTheme="minorHAnsi" w:cstheme="minorBidi"/>
          <w:b w:val="0"/>
          <w:noProof/>
          <w:kern w:val="2"/>
          <w:lang w:eastAsia="en-US"/>
          <w14:ligatures w14:val="standardContextual"/>
        </w:rPr>
      </w:pPr>
      <w:hyperlink w:anchor="_Toc223269530" w:history="1">
        <w:r w:rsidRPr="00122235">
          <w:rPr>
            <w:rStyle w:val="Hyperlink"/>
            <w:noProof/>
          </w:rPr>
          <w:t>4</w:t>
        </w:r>
        <w:r>
          <w:rPr>
            <w:rFonts w:asciiTheme="minorHAnsi" w:eastAsiaTheme="minorEastAsia" w:hAnsiTheme="minorHAnsi" w:cstheme="minorBidi"/>
            <w:b w:val="0"/>
            <w:noProof/>
            <w:kern w:val="2"/>
            <w:lang w:eastAsia="en-US"/>
            <w14:ligatures w14:val="standardContextual"/>
          </w:rPr>
          <w:tab/>
        </w:r>
        <w:r w:rsidRPr="00122235">
          <w:rPr>
            <w:rStyle w:val="Hyperlink"/>
            <w:noProof/>
          </w:rPr>
          <w:t>Results</w:t>
        </w:r>
        <w:r>
          <w:rPr>
            <w:noProof/>
            <w:webHidden/>
          </w:rPr>
          <w:tab/>
        </w:r>
        <w:r>
          <w:rPr>
            <w:noProof/>
            <w:webHidden/>
          </w:rPr>
          <w:fldChar w:fldCharType="begin"/>
        </w:r>
        <w:r>
          <w:rPr>
            <w:noProof/>
            <w:webHidden/>
          </w:rPr>
          <w:instrText xml:space="preserve"> PAGEREF _Toc223269530 \h </w:instrText>
        </w:r>
        <w:r>
          <w:rPr>
            <w:noProof/>
            <w:webHidden/>
          </w:rPr>
        </w:r>
        <w:r>
          <w:rPr>
            <w:noProof/>
            <w:webHidden/>
          </w:rPr>
          <w:fldChar w:fldCharType="separate"/>
        </w:r>
        <w:r>
          <w:rPr>
            <w:noProof/>
            <w:webHidden/>
          </w:rPr>
          <w:t>14</w:t>
        </w:r>
        <w:r>
          <w:rPr>
            <w:noProof/>
            <w:webHidden/>
          </w:rPr>
          <w:fldChar w:fldCharType="end"/>
        </w:r>
      </w:hyperlink>
    </w:p>
    <w:p w14:paraId="66FB3ED4" w14:textId="64A99731"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31" w:history="1">
        <w:r w:rsidRPr="00122235">
          <w:rPr>
            <w:rStyle w:val="Hyperlink"/>
            <w:noProof/>
            <w:lang w:val="en-GB"/>
          </w:rPr>
          <w:t>4.1</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Result Explanation</w:t>
        </w:r>
        <w:r>
          <w:rPr>
            <w:noProof/>
            <w:webHidden/>
          </w:rPr>
          <w:tab/>
        </w:r>
        <w:r>
          <w:rPr>
            <w:noProof/>
            <w:webHidden/>
          </w:rPr>
          <w:fldChar w:fldCharType="begin"/>
        </w:r>
        <w:r>
          <w:rPr>
            <w:noProof/>
            <w:webHidden/>
          </w:rPr>
          <w:instrText xml:space="preserve"> PAGEREF _Toc223269531 \h </w:instrText>
        </w:r>
        <w:r>
          <w:rPr>
            <w:noProof/>
            <w:webHidden/>
          </w:rPr>
        </w:r>
        <w:r>
          <w:rPr>
            <w:noProof/>
            <w:webHidden/>
          </w:rPr>
          <w:fldChar w:fldCharType="separate"/>
        </w:r>
        <w:r>
          <w:rPr>
            <w:noProof/>
            <w:webHidden/>
          </w:rPr>
          <w:t>14</w:t>
        </w:r>
        <w:r>
          <w:rPr>
            <w:noProof/>
            <w:webHidden/>
          </w:rPr>
          <w:fldChar w:fldCharType="end"/>
        </w:r>
      </w:hyperlink>
    </w:p>
    <w:p w14:paraId="4FA637F6" w14:textId="59270CF2" w:rsidR="00037DB6" w:rsidRDefault="00037DB6">
      <w:pPr>
        <w:pStyle w:val="TOC3"/>
        <w:rPr>
          <w:rFonts w:asciiTheme="minorHAnsi" w:eastAsiaTheme="minorEastAsia" w:hAnsiTheme="minorHAnsi" w:cstheme="minorBidi"/>
          <w:noProof/>
          <w:kern w:val="2"/>
          <w:lang w:eastAsia="en-US"/>
          <w14:ligatures w14:val="standardContextual"/>
        </w:rPr>
      </w:pPr>
      <w:hyperlink w:anchor="_Toc223269532" w:history="1">
        <w:r w:rsidRPr="00122235">
          <w:rPr>
            <w:rStyle w:val="Hyperlink"/>
            <w:b/>
            <w:noProof/>
            <w:lang w:val="en-GB"/>
          </w:rPr>
          <w:t>4.1.1</w:t>
        </w:r>
        <w:r>
          <w:rPr>
            <w:rFonts w:asciiTheme="minorHAnsi" w:eastAsiaTheme="minorEastAsia" w:hAnsiTheme="minorHAnsi" w:cstheme="minorBidi"/>
            <w:noProof/>
            <w:kern w:val="2"/>
            <w:lang w:eastAsia="en-US"/>
            <w14:ligatures w14:val="standardContextual"/>
          </w:rPr>
          <w:tab/>
        </w:r>
        <w:r w:rsidRPr="00122235">
          <w:rPr>
            <w:rStyle w:val="Hyperlink"/>
            <w:b/>
            <w:noProof/>
            <w:lang w:val="en-GB"/>
          </w:rPr>
          <w:t>Average Treatment Effect</w:t>
        </w:r>
        <w:r>
          <w:rPr>
            <w:noProof/>
            <w:webHidden/>
          </w:rPr>
          <w:tab/>
        </w:r>
        <w:r>
          <w:rPr>
            <w:noProof/>
            <w:webHidden/>
          </w:rPr>
          <w:fldChar w:fldCharType="begin"/>
        </w:r>
        <w:r>
          <w:rPr>
            <w:noProof/>
            <w:webHidden/>
          </w:rPr>
          <w:instrText xml:space="preserve"> PAGEREF _Toc223269532 \h </w:instrText>
        </w:r>
        <w:r>
          <w:rPr>
            <w:noProof/>
            <w:webHidden/>
          </w:rPr>
        </w:r>
        <w:r>
          <w:rPr>
            <w:noProof/>
            <w:webHidden/>
          </w:rPr>
          <w:fldChar w:fldCharType="separate"/>
        </w:r>
        <w:r>
          <w:rPr>
            <w:noProof/>
            <w:webHidden/>
          </w:rPr>
          <w:t>14</w:t>
        </w:r>
        <w:r>
          <w:rPr>
            <w:noProof/>
            <w:webHidden/>
          </w:rPr>
          <w:fldChar w:fldCharType="end"/>
        </w:r>
      </w:hyperlink>
    </w:p>
    <w:p w14:paraId="36BDB641" w14:textId="0E88CAA4" w:rsidR="00037DB6" w:rsidRDefault="00037DB6">
      <w:pPr>
        <w:pStyle w:val="TOC3"/>
        <w:rPr>
          <w:rFonts w:asciiTheme="minorHAnsi" w:eastAsiaTheme="minorEastAsia" w:hAnsiTheme="minorHAnsi" w:cstheme="minorBidi"/>
          <w:noProof/>
          <w:kern w:val="2"/>
          <w:lang w:eastAsia="en-US"/>
          <w14:ligatures w14:val="standardContextual"/>
        </w:rPr>
      </w:pPr>
      <w:hyperlink w:anchor="_Toc223269533" w:history="1">
        <w:r w:rsidRPr="00122235">
          <w:rPr>
            <w:rStyle w:val="Hyperlink"/>
            <w:b/>
            <w:noProof/>
            <w:lang w:val="en-GB"/>
          </w:rPr>
          <w:t>4.1.2</w:t>
        </w:r>
        <w:r>
          <w:rPr>
            <w:rFonts w:asciiTheme="minorHAnsi" w:eastAsiaTheme="minorEastAsia" w:hAnsiTheme="minorHAnsi" w:cstheme="minorBidi"/>
            <w:noProof/>
            <w:kern w:val="2"/>
            <w:lang w:eastAsia="en-US"/>
            <w14:ligatures w14:val="standardContextual"/>
          </w:rPr>
          <w:tab/>
        </w:r>
        <w:r w:rsidRPr="00122235">
          <w:rPr>
            <w:rStyle w:val="Hyperlink"/>
            <w:b/>
            <w:noProof/>
            <w:lang w:val="en-GB"/>
          </w:rPr>
          <w:t>Heterogeneous Effects by Pre-Treatment Spread</w:t>
        </w:r>
        <w:r>
          <w:rPr>
            <w:noProof/>
            <w:webHidden/>
          </w:rPr>
          <w:tab/>
        </w:r>
        <w:r>
          <w:rPr>
            <w:noProof/>
            <w:webHidden/>
          </w:rPr>
          <w:fldChar w:fldCharType="begin"/>
        </w:r>
        <w:r>
          <w:rPr>
            <w:noProof/>
            <w:webHidden/>
          </w:rPr>
          <w:instrText xml:space="preserve"> PAGEREF _Toc223269533 \h </w:instrText>
        </w:r>
        <w:r>
          <w:rPr>
            <w:noProof/>
            <w:webHidden/>
          </w:rPr>
        </w:r>
        <w:r>
          <w:rPr>
            <w:noProof/>
            <w:webHidden/>
          </w:rPr>
          <w:fldChar w:fldCharType="separate"/>
        </w:r>
        <w:r>
          <w:rPr>
            <w:noProof/>
            <w:webHidden/>
          </w:rPr>
          <w:t>15</w:t>
        </w:r>
        <w:r>
          <w:rPr>
            <w:noProof/>
            <w:webHidden/>
          </w:rPr>
          <w:fldChar w:fldCharType="end"/>
        </w:r>
      </w:hyperlink>
    </w:p>
    <w:p w14:paraId="2705A5F2" w14:textId="1DF12125" w:rsidR="00037DB6" w:rsidRDefault="00037DB6">
      <w:pPr>
        <w:pStyle w:val="TOC2"/>
        <w:rPr>
          <w:rFonts w:asciiTheme="minorHAnsi" w:eastAsiaTheme="minorEastAsia" w:hAnsiTheme="minorHAnsi" w:cstheme="minorBidi"/>
          <w:noProof/>
          <w:kern w:val="2"/>
          <w:lang w:eastAsia="en-US"/>
          <w14:ligatures w14:val="standardContextual"/>
        </w:rPr>
      </w:pPr>
      <w:hyperlink w:anchor="_Toc223269534" w:history="1">
        <w:r w:rsidRPr="00122235">
          <w:rPr>
            <w:rStyle w:val="Hyperlink"/>
            <w:noProof/>
            <w:lang w:val="en-GB"/>
          </w:rPr>
          <w:t>4.2</w:t>
        </w:r>
        <w:r>
          <w:rPr>
            <w:rFonts w:asciiTheme="minorHAnsi" w:eastAsiaTheme="minorEastAsia" w:hAnsiTheme="minorHAnsi" w:cstheme="minorBidi"/>
            <w:noProof/>
            <w:kern w:val="2"/>
            <w:lang w:eastAsia="en-US"/>
            <w14:ligatures w14:val="standardContextual"/>
          </w:rPr>
          <w:tab/>
        </w:r>
        <w:r w:rsidRPr="00122235">
          <w:rPr>
            <w:rStyle w:val="Hyperlink"/>
            <w:noProof/>
            <w:lang w:val="en-GB"/>
          </w:rPr>
          <w:t>Economic Interpretation and Implications</w:t>
        </w:r>
        <w:r>
          <w:rPr>
            <w:noProof/>
            <w:webHidden/>
          </w:rPr>
          <w:tab/>
        </w:r>
        <w:r>
          <w:rPr>
            <w:noProof/>
            <w:webHidden/>
          </w:rPr>
          <w:fldChar w:fldCharType="begin"/>
        </w:r>
        <w:r>
          <w:rPr>
            <w:noProof/>
            <w:webHidden/>
          </w:rPr>
          <w:instrText xml:space="preserve"> PAGEREF _Toc223269534 \h </w:instrText>
        </w:r>
        <w:r>
          <w:rPr>
            <w:noProof/>
            <w:webHidden/>
          </w:rPr>
        </w:r>
        <w:r>
          <w:rPr>
            <w:noProof/>
            <w:webHidden/>
          </w:rPr>
          <w:fldChar w:fldCharType="separate"/>
        </w:r>
        <w:r>
          <w:rPr>
            <w:noProof/>
            <w:webHidden/>
          </w:rPr>
          <w:t>16</w:t>
        </w:r>
        <w:r>
          <w:rPr>
            <w:noProof/>
            <w:webHidden/>
          </w:rPr>
          <w:fldChar w:fldCharType="end"/>
        </w:r>
      </w:hyperlink>
    </w:p>
    <w:p w14:paraId="204498F7" w14:textId="1EBBEF96" w:rsidR="0014407E" w:rsidRPr="0071219E" w:rsidRDefault="00A86727" w:rsidP="00721084">
      <w:pPr>
        <w:spacing w:line="240" w:lineRule="auto"/>
        <w:rPr>
          <w:rFonts w:ascii="Times New Roman" w:hAnsi="Times New Roman" w:cs="Times New Roman"/>
          <w:b/>
          <w:sz w:val="32"/>
          <w:szCs w:val="32"/>
          <w:lang w:val="en-GB"/>
        </w:rPr>
      </w:pPr>
      <w:r w:rsidRPr="00CC1B6F">
        <w:rPr>
          <w:rFonts w:ascii="Times New Roman" w:hAnsi="Times New Roman" w:cs="Times New Roman"/>
          <w:lang w:val="en-GB"/>
        </w:rPr>
        <w:fldChar w:fldCharType="end"/>
      </w:r>
      <w:r w:rsidR="0014407E" w:rsidRPr="0071219E">
        <w:rPr>
          <w:rFonts w:ascii="Times New Roman" w:hAnsi="Times New Roman" w:cs="Times New Roman"/>
          <w:b/>
          <w:sz w:val="32"/>
          <w:szCs w:val="32"/>
          <w:lang w:val="en-GB"/>
        </w:rPr>
        <w:br w:type="page"/>
      </w:r>
    </w:p>
    <w:p w14:paraId="32DC8D7D" w14:textId="77777777" w:rsidR="00C45BB6" w:rsidRPr="00DB1616" w:rsidRDefault="00C45BB6" w:rsidP="00F94EB1">
      <w:pPr>
        <w:spacing w:after="60" w:line="360" w:lineRule="auto"/>
        <w:rPr>
          <w:rFonts w:ascii="Times New Roman" w:hAnsi="Times New Roman" w:cs="Times New Roman"/>
          <w:b/>
          <w:sz w:val="32"/>
          <w:szCs w:val="32"/>
          <w:lang w:val="en-GB"/>
        </w:rPr>
      </w:pPr>
      <w:r w:rsidRPr="00DB1616">
        <w:rPr>
          <w:rFonts w:ascii="Times New Roman" w:hAnsi="Times New Roman" w:cs="Times New Roman"/>
          <w:b/>
          <w:sz w:val="32"/>
          <w:szCs w:val="32"/>
          <w:lang w:val="en-GB"/>
        </w:rPr>
        <w:t>List of Figures</w:t>
      </w:r>
    </w:p>
    <w:p w14:paraId="028D137A" w14:textId="41DFBEED" w:rsidR="0071219E" w:rsidRPr="00DB1616" w:rsidRDefault="1CB213CD" w:rsidP="00F94EB1">
      <w:pPr>
        <w:spacing w:after="60" w:line="360" w:lineRule="auto"/>
        <w:rPr>
          <w:rFonts w:ascii="Times New Roman" w:hAnsi="Times New Roman" w:cs="Times New Roman"/>
          <w:lang w:val="en-GB"/>
        </w:rPr>
      </w:pPr>
      <w:r w:rsidRPr="5FFDB27A">
        <w:rPr>
          <w:rFonts w:ascii="Times New Roman" w:hAnsi="Times New Roman" w:cs="Times New Roman"/>
          <w:lang w:val="en-GB"/>
        </w:rPr>
        <w:t>Figure</w:t>
      </w:r>
      <w:r w:rsidR="2FB417CC" w:rsidRPr="5FFDB27A">
        <w:rPr>
          <w:rFonts w:ascii="Times New Roman" w:hAnsi="Times New Roman" w:cs="Times New Roman"/>
          <w:lang w:val="en-GB"/>
        </w:rPr>
        <w:t xml:space="preserve"> 1: </w:t>
      </w:r>
      <w:r w:rsidR="09F2F7D8" w:rsidRPr="5FFDB27A">
        <w:rPr>
          <w:rFonts w:ascii="Times New Roman" w:hAnsi="Times New Roman" w:cs="Times New Roman"/>
          <w:lang w:val="en-GB"/>
        </w:rPr>
        <w:t>Monthly Average Log Turnover by Group</w:t>
      </w:r>
    </w:p>
    <w:p w14:paraId="1C4D57A8" w14:textId="6A689161" w:rsidR="0071219E" w:rsidRPr="00DB1616" w:rsidRDefault="09F2F7D8"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Figure 2: Pa</w:t>
      </w:r>
      <w:r w:rsidR="5F48FC8B" w:rsidRPr="5FFDB27A">
        <w:rPr>
          <w:rFonts w:ascii="Times New Roman" w:hAnsi="Times New Roman" w:cs="Times New Roman"/>
          <w:lang w:val="en-GB"/>
        </w:rPr>
        <w:t>rallel Trends – Pre-Treatment Period</w:t>
      </w:r>
    </w:p>
    <w:p w14:paraId="78CA8503" w14:textId="08ACAC01" w:rsidR="0071219E" w:rsidRPr="00DB1616" w:rsidRDefault="5F48FC8B"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Figure 3: Mean Log Turnover by Group and Period</w:t>
      </w:r>
    </w:p>
    <w:p w14:paraId="101D7D9A" w14:textId="11348647" w:rsidR="0071219E" w:rsidRPr="00DB1616" w:rsidRDefault="5F48FC8B"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Figure 4: Pre-Treatment Spread Distribution by Group</w:t>
      </w:r>
    </w:p>
    <w:p w14:paraId="0C281E0E" w14:textId="0D19D2FF" w:rsidR="0071219E" w:rsidRPr="00DB1616" w:rsidRDefault="5F48FC8B"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Figure 5: Binding Constraint Heterogeneity</w:t>
      </w:r>
    </w:p>
    <w:p w14:paraId="02775C17" w14:textId="42C583C1" w:rsidR="0071219E" w:rsidRPr="00DB1616" w:rsidRDefault="5F48FC8B"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Figure 6: Log Turnover Distribution – Pre vs During Pilot</w:t>
      </w:r>
    </w:p>
    <w:p w14:paraId="36F05A68" w14:textId="63A00095" w:rsidR="0071219E" w:rsidRPr="00DB1616" w:rsidRDefault="5F48FC8B"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Figure 7: Average Treatment Effect (H1 Model)</w:t>
      </w:r>
    </w:p>
    <w:p w14:paraId="62F543BB" w14:textId="67FEEEE3" w:rsidR="0071219E" w:rsidRPr="00DB1616" w:rsidRDefault="5F48FC8B" w:rsidP="00F94EB1">
      <w:pPr>
        <w:spacing w:after="60" w:line="360" w:lineRule="auto"/>
        <w:rPr>
          <w:rFonts w:ascii="Times New Roman" w:hAnsi="Times New Roman" w:cs="Times New Roman"/>
          <w:lang w:val="en-GB"/>
        </w:rPr>
      </w:pPr>
      <w:r w:rsidRPr="5FFDB27A">
        <w:rPr>
          <w:rFonts w:ascii="Times New Roman" w:hAnsi="Times New Roman" w:cs="Times New Roman"/>
          <w:lang w:val="en-GB"/>
        </w:rPr>
        <w:t>Figure 8: Heterogeneous Treatment Effects (H2 Model)</w:t>
      </w:r>
    </w:p>
    <w:p w14:paraId="3343EC4E" w14:textId="75E42310" w:rsidR="5FFDB27A" w:rsidRDefault="5FFDB27A" w:rsidP="5FFDB27A">
      <w:pPr>
        <w:spacing w:after="60" w:line="360" w:lineRule="auto"/>
        <w:rPr>
          <w:rFonts w:ascii="Times New Roman" w:hAnsi="Times New Roman" w:cs="Times New Roman"/>
          <w:lang w:val="en-GB"/>
        </w:rPr>
      </w:pPr>
    </w:p>
    <w:p w14:paraId="1CED89F0" w14:textId="41B8B0B7" w:rsidR="009665B7" w:rsidRPr="00DB1616" w:rsidRDefault="00C45BB6" w:rsidP="00F94EB1">
      <w:pPr>
        <w:spacing w:after="60" w:line="360" w:lineRule="auto"/>
        <w:rPr>
          <w:rFonts w:ascii="Times New Roman" w:eastAsia="Times New Roman" w:hAnsi="Times New Roman" w:cs="Times New Roman"/>
          <w:spacing w:val="-2"/>
          <w:lang w:val="en-GB" w:eastAsia="de-DE"/>
        </w:rPr>
      </w:pPr>
      <w:r w:rsidRPr="00DB1616">
        <w:rPr>
          <w:rFonts w:ascii="Times New Roman" w:hAnsi="Times New Roman" w:cs="Times New Roman"/>
          <w:b/>
          <w:sz w:val="32"/>
          <w:szCs w:val="32"/>
          <w:lang w:val="en-GB"/>
        </w:rPr>
        <w:t>List of Tables</w:t>
      </w:r>
    </w:p>
    <w:p w14:paraId="4ACE7E6A" w14:textId="6909AB02" w:rsidR="009665B7" w:rsidRPr="0071219E" w:rsidRDefault="2FB417CC" w:rsidP="00F94EB1">
      <w:pPr>
        <w:spacing w:after="60" w:line="360" w:lineRule="auto"/>
        <w:rPr>
          <w:rFonts w:ascii="Times New Roman" w:hAnsi="Times New Roman" w:cs="Times New Roman"/>
          <w:bCs/>
          <w:sz w:val="32"/>
          <w:szCs w:val="32"/>
          <w:lang w:val="en-GB"/>
        </w:rPr>
      </w:pPr>
      <w:r w:rsidRPr="5FFDB27A">
        <w:rPr>
          <w:rFonts w:ascii="Times New Roman" w:hAnsi="Times New Roman" w:cs="Times New Roman"/>
          <w:lang w:val="en-GB"/>
        </w:rPr>
        <w:t xml:space="preserve">Table 1: </w:t>
      </w:r>
      <w:r w:rsidR="6D937DB3" w:rsidRPr="5FFDB27A">
        <w:rPr>
          <w:rFonts w:ascii="Times New Roman" w:hAnsi="Times New Roman" w:cs="Times New Roman"/>
          <w:lang w:val="en-GB"/>
        </w:rPr>
        <w:t>Pre-Treatment Summary Statistics</w:t>
      </w:r>
    </w:p>
    <w:p w14:paraId="3AFFECF9" w14:textId="7862BF95" w:rsidR="001D670D" w:rsidRPr="00DB1616" w:rsidRDefault="6D937DB3"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Table 2: Impact of the Tick Size Increase on Trading Turnover</w:t>
      </w:r>
    </w:p>
    <w:p w14:paraId="1B6C1B39" w14:textId="5AA677D9" w:rsidR="001D670D" w:rsidRPr="00DB1616" w:rsidRDefault="001D670D" w:rsidP="00F94EB1">
      <w:pPr>
        <w:spacing w:after="60" w:line="360" w:lineRule="auto"/>
        <w:rPr>
          <w:rFonts w:ascii="Times New Roman" w:hAnsi="Times New Roman" w:cs="Times New Roman"/>
          <w:lang w:val="en-GB"/>
        </w:rPr>
      </w:pPr>
    </w:p>
    <w:p w14:paraId="0674E7A7" w14:textId="3EDC105A" w:rsidR="00781992" w:rsidRPr="0071219E" w:rsidRDefault="00781992" w:rsidP="00F94EB1">
      <w:pPr>
        <w:spacing w:after="60" w:line="360" w:lineRule="auto"/>
        <w:rPr>
          <w:rFonts w:ascii="Times New Roman" w:hAnsi="Times New Roman" w:cs="Times New Roman"/>
          <w:b/>
          <w:sz w:val="32"/>
          <w:szCs w:val="32"/>
          <w:lang w:val="en-GB"/>
        </w:rPr>
      </w:pPr>
      <w:r w:rsidRPr="0071219E">
        <w:rPr>
          <w:rFonts w:ascii="Times New Roman" w:hAnsi="Times New Roman" w:cs="Times New Roman"/>
          <w:b/>
          <w:sz w:val="32"/>
          <w:szCs w:val="32"/>
          <w:lang w:val="en-GB"/>
        </w:rPr>
        <w:t>List of Abbreviations</w:t>
      </w:r>
    </w:p>
    <w:p w14:paraId="4052588C" w14:textId="33707744" w:rsidR="00135E7B" w:rsidRPr="00DB1616" w:rsidRDefault="0A482ADA" w:rsidP="5FFDB27A">
      <w:pPr>
        <w:spacing w:after="60" w:line="360" w:lineRule="auto"/>
        <w:rPr>
          <w:rFonts w:ascii="Times New Roman" w:hAnsi="Times New Roman" w:cs="Times New Roman"/>
          <w:lang w:val="en-GB"/>
        </w:rPr>
      </w:pPr>
      <w:r w:rsidRPr="5FFDB27A">
        <w:rPr>
          <w:rFonts w:ascii="Times New Roman" w:hAnsi="Times New Roman" w:cs="Times New Roman"/>
          <w:lang w:val="en-GB"/>
        </w:rPr>
        <w:t>CRSP – Center for Research in Security Prices</w:t>
      </w:r>
      <w:r w:rsidR="00135E7B" w:rsidRPr="00EA32E2">
        <w:rPr>
          <w:rFonts w:ascii="Times New Roman" w:hAnsi="Times New Roman" w:cs="Times New Roman"/>
          <w:lang w:val="en-GB"/>
        </w:rPr>
        <w:br/>
      </w:r>
      <w:r w:rsidRPr="5FFDB27A">
        <w:rPr>
          <w:rFonts w:ascii="Times New Roman" w:hAnsi="Times New Roman" w:cs="Times New Roman"/>
          <w:lang w:val="en-GB"/>
        </w:rPr>
        <w:t>DiD – Difference-in-Differences</w:t>
      </w:r>
      <w:r w:rsidR="00135E7B" w:rsidRPr="00EA32E2">
        <w:rPr>
          <w:rFonts w:ascii="Times New Roman" w:hAnsi="Times New Roman" w:cs="Times New Roman"/>
          <w:lang w:val="en-GB"/>
        </w:rPr>
        <w:br/>
      </w:r>
      <w:r w:rsidRPr="5FFDB27A">
        <w:rPr>
          <w:rFonts w:ascii="Times New Roman" w:hAnsi="Times New Roman" w:cs="Times New Roman"/>
          <w:lang w:val="en-GB"/>
        </w:rPr>
        <w:t>Inv_Price – Inverse of Midpoint Price</w:t>
      </w:r>
      <w:r w:rsidR="00135E7B" w:rsidRPr="00EA32E2">
        <w:rPr>
          <w:rFonts w:ascii="Times New Roman" w:hAnsi="Times New Roman" w:cs="Times New Roman"/>
          <w:lang w:val="en-GB"/>
        </w:rPr>
        <w:br/>
      </w:r>
      <w:r w:rsidRPr="5FFDB27A">
        <w:rPr>
          <w:rFonts w:ascii="Times New Roman" w:hAnsi="Times New Roman" w:cs="Times New Roman"/>
          <w:lang w:val="en-GB"/>
        </w:rPr>
        <w:t>SEC – Securities and Exchange Commission</w:t>
      </w:r>
      <w:r w:rsidR="00135E7B" w:rsidRPr="00EA32E2">
        <w:rPr>
          <w:rFonts w:ascii="Times New Roman" w:hAnsi="Times New Roman" w:cs="Times New Roman"/>
          <w:lang w:val="en-GB"/>
        </w:rPr>
        <w:br/>
      </w:r>
      <w:r w:rsidRPr="5FFDB27A">
        <w:rPr>
          <w:rFonts w:ascii="Times New Roman" w:hAnsi="Times New Roman" w:cs="Times New Roman"/>
          <w:lang w:val="en-GB"/>
        </w:rPr>
        <w:t>G1 – Pilot Group 1</w:t>
      </w:r>
      <w:r w:rsidR="00135E7B" w:rsidRPr="00EA32E2">
        <w:rPr>
          <w:rFonts w:ascii="Times New Roman" w:hAnsi="Times New Roman" w:cs="Times New Roman"/>
          <w:lang w:val="en-GB"/>
        </w:rPr>
        <w:br/>
      </w:r>
      <w:r w:rsidRPr="5FFDB27A">
        <w:rPr>
          <w:rFonts w:ascii="Times New Roman" w:hAnsi="Times New Roman" w:cs="Times New Roman"/>
          <w:lang w:val="en-GB"/>
        </w:rPr>
        <w:t>G2 – Pilot Group 2</w:t>
      </w:r>
      <w:r w:rsidR="00135E7B" w:rsidRPr="00EA32E2">
        <w:rPr>
          <w:rFonts w:ascii="Times New Roman" w:hAnsi="Times New Roman" w:cs="Times New Roman"/>
          <w:lang w:val="en-GB"/>
        </w:rPr>
        <w:br/>
      </w:r>
      <w:r w:rsidRPr="5FFDB27A">
        <w:rPr>
          <w:rFonts w:ascii="Times New Roman" w:hAnsi="Times New Roman" w:cs="Times New Roman"/>
          <w:lang w:val="en-GB"/>
        </w:rPr>
        <w:t>G3 – Pilot Group 3</w:t>
      </w:r>
    </w:p>
    <w:p w14:paraId="702409DE" w14:textId="230D4629" w:rsidR="00135E7B" w:rsidRPr="00DB1616" w:rsidRDefault="00135E7B" w:rsidP="5FFDB27A">
      <w:pPr>
        <w:spacing w:before="120" w:after="60" w:line="360" w:lineRule="auto"/>
        <w:rPr>
          <w:rFonts w:ascii="Times New Roman" w:hAnsi="Times New Roman" w:cs="Times New Roman"/>
          <w:b/>
          <w:sz w:val="32"/>
          <w:szCs w:val="32"/>
          <w:lang w:val="en-GB"/>
        </w:rPr>
        <w:sectPr w:rsidR="00135E7B" w:rsidRPr="00DB1616">
          <w:pgSz w:w="11906" w:h="16838"/>
          <w:pgMar w:top="1440" w:right="1440" w:bottom="1440" w:left="1440" w:header="720" w:footer="720" w:gutter="0"/>
          <w:cols w:space="720"/>
          <w:docGrid w:linePitch="360"/>
        </w:sectPr>
      </w:pPr>
    </w:p>
    <w:p w14:paraId="4531F081" w14:textId="3C60C7FB" w:rsidR="00E56AE9" w:rsidRPr="00CC1B6F" w:rsidRDefault="00EF6841" w:rsidP="00EC3CCC">
      <w:pPr>
        <w:pStyle w:val="Heading1"/>
        <w:numPr>
          <w:ilvl w:val="0"/>
          <w:numId w:val="37"/>
        </w:numPr>
        <w:spacing w:before="0" w:after="200"/>
        <w:rPr>
          <w:rFonts w:cs="Times New Roman"/>
          <w:lang w:val="en-GB"/>
        </w:rPr>
      </w:pPr>
      <w:bookmarkStart w:id="1" w:name="_Toc223269516"/>
      <w:r w:rsidRPr="00CC1B6F">
        <w:rPr>
          <w:rFonts w:cs="Times New Roman"/>
          <w:lang w:val="en-GB"/>
        </w:rPr>
        <w:t>Hyp</w:t>
      </w:r>
      <w:r w:rsidR="006C0A4B" w:rsidRPr="00CC1B6F">
        <w:rPr>
          <w:rFonts w:cs="Times New Roman"/>
          <w:lang w:val="en-GB"/>
        </w:rPr>
        <w:t>otheses Development</w:t>
      </w:r>
      <w:bookmarkEnd w:id="1"/>
      <w:r w:rsidR="004F0109" w:rsidRPr="00CC1B6F">
        <w:rPr>
          <w:rFonts w:cs="Times New Roman"/>
          <w:lang w:val="en-GB"/>
        </w:rPr>
        <w:t xml:space="preserve"> </w:t>
      </w:r>
    </w:p>
    <w:p w14:paraId="2AD8C3F6" w14:textId="77BF8BF6" w:rsidR="00B229DE" w:rsidRPr="00DB1616" w:rsidRDefault="00717CB8" w:rsidP="00B229DE">
      <w:pPr>
        <w:spacing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This section develops the theoretical framework guiding the empirical analysis of the SEC Tick Size Pilot Program. Building on market microstructure theory, testable predictions are formulated regarding the effect of an exogenous tick size increase </w:t>
      </w:r>
      <w:commentRangeStart w:id="2"/>
      <w:r w:rsidRPr="00DB1616">
        <w:rPr>
          <w:rFonts w:ascii="Times New Roman" w:eastAsia="Aptos" w:hAnsi="Times New Roman" w:cs="Times New Roman"/>
          <w:sz w:val="22"/>
          <w:szCs w:val="22"/>
          <w:lang w:val="en-GB"/>
        </w:rPr>
        <w:t xml:space="preserve">on trading volume. </w:t>
      </w:r>
      <w:commentRangeEnd w:id="2"/>
      <w:r w:rsidR="003967AA" w:rsidRPr="584DBFE9">
        <w:rPr>
          <w:rStyle w:val="CommentReference"/>
          <w:rFonts w:ascii="Times New Roman" w:eastAsia="Aptos" w:hAnsi="Times New Roman" w:cs="Times New Roman"/>
          <w:sz w:val="22"/>
          <w:szCs w:val="22"/>
          <w:lang w:val="en-GB"/>
        </w:rPr>
        <w:commentReference w:id="2"/>
      </w:r>
      <w:r w:rsidR="447E52C3" w:rsidRPr="584DBFE9">
        <w:rPr>
          <w:rFonts w:ascii="Times New Roman" w:eastAsia="Aptos" w:hAnsi="Times New Roman" w:cs="Times New Roman"/>
          <w:sz w:val="22"/>
          <w:szCs w:val="22"/>
          <w:lang w:val="en-GB"/>
        </w:rPr>
        <w:t xml:space="preserve">In the empirical analysis, trading activity is measured by daily share turnover, defined as share volume scaled by shares outstanding. </w:t>
      </w:r>
      <w:r w:rsidRPr="00DB1616">
        <w:rPr>
          <w:rFonts w:ascii="Times New Roman" w:eastAsia="Aptos" w:hAnsi="Times New Roman" w:cs="Times New Roman"/>
          <w:sz w:val="22"/>
          <w:szCs w:val="22"/>
          <w:lang w:val="en-GB"/>
        </w:rPr>
        <w:t>The analysis considers both the average treatment effect and potential heterogeneity arising from pre-treatment spread differences.</w:t>
      </w:r>
    </w:p>
    <w:p w14:paraId="29176FCF" w14:textId="02CA8C54" w:rsidR="006652C3" w:rsidRPr="00EA32E2" w:rsidRDefault="006652C3" w:rsidP="00EC3CCC">
      <w:pPr>
        <w:pStyle w:val="Heading2"/>
        <w:rPr>
          <w:rFonts w:ascii="Times New Roman" w:hAnsi="Times New Roman" w:cs="Times New Roman"/>
          <w:lang w:val="en-GB"/>
        </w:rPr>
      </w:pPr>
      <w:bookmarkStart w:id="3" w:name="_Toc223269517"/>
      <w:r w:rsidRPr="00EA32E2">
        <w:rPr>
          <w:rFonts w:ascii="Times New Roman" w:hAnsi="Times New Roman" w:cs="Times New Roman"/>
          <w:lang w:val="en-GB"/>
        </w:rPr>
        <w:t>Research Question</w:t>
      </w:r>
      <w:bookmarkEnd w:id="3"/>
    </w:p>
    <w:p w14:paraId="0239528C" w14:textId="37793A03" w:rsidR="006652C3" w:rsidRPr="00DB1616" w:rsidRDefault="00ED2B38"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This paper examines the causal effect of a minimum tick size increase on equity trading volume. The SEC Tick Size Pilot Program, implemented </w:t>
      </w:r>
      <w:r w:rsidR="000507B8" w:rsidRPr="00DB1616">
        <w:rPr>
          <w:rFonts w:ascii="Times New Roman" w:eastAsia="Aptos" w:hAnsi="Times New Roman" w:cs="Times New Roman"/>
          <w:sz w:val="22"/>
          <w:szCs w:val="22"/>
          <w:lang w:val="en-GB"/>
        </w:rPr>
        <w:t>over the course of</w:t>
      </w:r>
      <w:r w:rsidRPr="00DB1616">
        <w:rPr>
          <w:rFonts w:ascii="Times New Roman" w:eastAsia="Aptos" w:hAnsi="Times New Roman" w:cs="Times New Roman"/>
          <w:sz w:val="22"/>
          <w:szCs w:val="22"/>
          <w:lang w:val="en-GB"/>
        </w:rPr>
        <w:t xml:space="preserve"> October 2016, raised the minimum quoting increment from $0.01 to $0.05 for </w:t>
      </w:r>
      <w:commentRangeStart w:id="4"/>
      <w:commentRangeStart w:id="5"/>
      <w:r w:rsidRPr="00DB1616">
        <w:rPr>
          <w:rFonts w:ascii="Times New Roman" w:eastAsia="Aptos" w:hAnsi="Times New Roman" w:cs="Times New Roman"/>
          <w:sz w:val="22"/>
          <w:szCs w:val="22"/>
          <w:lang w:val="en-GB"/>
        </w:rPr>
        <w:t>approximately 1,200 randomly selected small-capitalization stocks</w:t>
      </w:r>
      <w:commentRangeEnd w:id="4"/>
      <w:r w:rsidR="00721084" w:rsidRPr="00DB1616" w:rsidDel="00425DA2">
        <w:rPr>
          <w:rStyle w:val="CommentReference"/>
          <w:rFonts w:ascii="Times New Roman" w:eastAsia="Aptos" w:hAnsi="Times New Roman" w:cs="Times New Roman"/>
          <w:sz w:val="22"/>
          <w:szCs w:val="22"/>
          <w:lang w:val="en-GB"/>
        </w:rPr>
        <w:commentReference w:id="4"/>
      </w:r>
      <w:commentRangeEnd w:id="5"/>
      <w:r w:rsidR="00B62D44" w:rsidRPr="00DB1616" w:rsidDel="00425DA2">
        <w:rPr>
          <w:rStyle w:val="CommentReference"/>
          <w:rFonts w:ascii="Times New Roman" w:eastAsia="Aptos" w:hAnsi="Times New Roman" w:cs="Times New Roman"/>
          <w:sz w:val="22"/>
          <w:szCs w:val="22"/>
          <w:lang w:val="en-GB"/>
        </w:rPr>
        <w:commentReference w:id="5"/>
      </w:r>
      <w:r w:rsidRPr="00DB1616">
        <w:rPr>
          <w:rFonts w:ascii="Times New Roman" w:eastAsia="Aptos" w:hAnsi="Times New Roman" w:cs="Times New Roman"/>
          <w:sz w:val="22"/>
          <w:szCs w:val="22"/>
          <w:lang w:val="en-GB"/>
        </w:rPr>
        <w:t xml:space="preserve">, while a control group continued trading under the existing $0.01 regime (Albuquerque et al., 2020). Treated stocks were assigned to three pilot groups. Group 1 stocks were required to quote in $0.05 increments but could continue to execute trades at finer increments. Group 2 stocks faced both the $0.05 quoting and trading requirement, eliminating sub-increment execution. Group 3 stocks were subject to all requirements imposed on Group 2 and additionally to a trade-at prohibition, which prevents dark venues from executing orders at the protected displayed quote unless they offer a price improvement of at least $0.05, raising the cost of off-exchange trading. The stratified random assignment provides a natural experiment supporting causal identification within a difference-in-differences framework. Two central research questions are examined. First, does the tick size increase reduce trading volume across treatment groups relative to the control group, and do the effects differ across groups with escalating regulatory requirements? </w:t>
      </w:r>
      <w:r w:rsidR="61136677" w:rsidRPr="00EA32E2">
        <w:rPr>
          <w:rFonts w:ascii="Times New Roman" w:hAnsi="Times New Roman" w:cs="Times New Roman"/>
          <w:lang w:val="en-GB"/>
        </w:rPr>
        <w:t>Second, is the decline in trading activity concentrated among stocks whose pre-treatment spreads were narrower than $0.05, meaning that the new tick size forces their spreads to widen?</w:t>
      </w:r>
    </w:p>
    <w:p w14:paraId="4019DF3D" w14:textId="74803D56" w:rsidR="007D7C44" w:rsidRPr="00EA32E2" w:rsidRDefault="007D7C44" w:rsidP="00EC3CCC">
      <w:pPr>
        <w:pStyle w:val="Heading2"/>
        <w:rPr>
          <w:rFonts w:ascii="Times New Roman" w:hAnsi="Times New Roman" w:cs="Times New Roman"/>
          <w:lang w:val="en-GB"/>
        </w:rPr>
      </w:pPr>
      <w:bookmarkStart w:id="6" w:name="_Toc223269518"/>
      <w:r w:rsidRPr="00EA32E2">
        <w:rPr>
          <w:rFonts w:ascii="Times New Roman" w:hAnsi="Times New Roman" w:cs="Times New Roman"/>
          <w:lang w:val="en-GB"/>
        </w:rPr>
        <w:t>Economic Framework</w:t>
      </w:r>
      <w:bookmarkEnd w:id="6"/>
    </w:p>
    <w:p w14:paraId="571AA749"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The following premises underpin our hypotheses.</w:t>
      </w:r>
    </w:p>
    <w:p w14:paraId="2701246E" w14:textId="3B925A18"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P1. </w:t>
      </w:r>
      <w:r w:rsidR="00997E90" w:rsidRPr="00DB1616">
        <w:rPr>
          <w:rFonts w:ascii="Times New Roman" w:eastAsia="Aptos" w:hAnsi="Times New Roman" w:cs="Times New Roman"/>
          <w:sz w:val="22"/>
          <w:szCs w:val="22"/>
          <w:lang w:val="en-GB"/>
        </w:rPr>
        <w:t>Trading volume reflects investors’ willingness to transact and is negatively related to transaction costs. Higher bid</w:t>
      </w:r>
      <w:r w:rsidR="006A3BB6">
        <w:rPr>
          <w:rFonts w:ascii="Times New Roman" w:eastAsia="Aptos" w:hAnsi="Times New Roman" w:cs="Times New Roman"/>
          <w:sz w:val="22"/>
          <w:szCs w:val="22"/>
          <w:lang w:val="en-GB"/>
        </w:rPr>
        <w:t>-</w:t>
      </w:r>
      <w:r w:rsidR="00997E90" w:rsidRPr="00DB1616">
        <w:rPr>
          <w:rFonts w:ascii="Times New Roman" w:eastAsia="Aptos" w:hAnsi="Times New Roman" w:cs="Times New Roman"/>
          <w:sz w:val="22"/>
          <w:szCs w:val="22"/>
          <w:lang w:val="en-GB"/>
        </w:rPr>
        <w:t>ask spreads reduce expected net gains from trade and eliminate marginal transactions, lowering turnover (Amihud and Mendelson, 1986; Chordia, Roll, and Subrahmanyam, 2001).</w:t>
      </w:r>
    </w:p>
    <w:p w14:paraId="1F10BB81" w14:textId="6324E97E"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P2. </w:t>
      </w:r>
      <w:r w:rsidR="00EC5DD3" w:rsidRPr="00DB1616">
        <w:rPr>
          <w:rFonts w:ascii="Times New Roman" w:eastAsia="Aptos" w:hAnsi="Times New Roman" w:cs="Times New Roman"/>
          <w:sz w:val="22"/>
          <w:szCs w:val="22"/>
          <w:lang w:val="en-GB"/>
        </w:rPr>
        <w:t>The minimum tick size imposes a regulatory lower bound on quoted spreads. Because prices cannot be improved by less than one tick, a wider tick restricts price competition in the limit order book and prevents spreads from falling below the floor (Harris, 1994). Evidence from decimalization shows that reducing the tick compresses spreads, confirming that it can bind in equilibrium (Bessembinder, 2003).</w:t>
      </w:r>
    </w:p>
    <w:p w14:paraId="7EECDEEC" w14:textId="11C5EE14"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P3. </w:t>
      </w:r>
      <w:r w:rsidR="004F081A" w:rsidRPr="00DB1616">
        <w:rPr>
          <w:rFonts w:ascii="Times New Roman" w:eastAsia="Aptos" w:hAnsi="Times New Roman" w:cs="Times New Roman"/>
          <w:sz w:val="22"/>
          <w:szCs w:val="22"/>
          <w:lang w:val="en-GB"/>
        </w:rPr>
        <w:t>Investors trade only when expected gains exceed round-trip transaction costs. An increase in the spread floor therefore renders previously profitable trades unviable, reducing observed trading volume.</w:t>
      </w:r>
    </w:p>
    <w:p w14:paraId="53821F28" w14:textId="5EFFE6B2"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P4. </w:t>
      </w:r>
      <w:r w:rsidR="00261C10" w:rsidRPr="00DB1616">
        <w:rPr>
          <w:rFonts w:ascii="Times New Roman" w:eastAsia="Aptos" w:hAnsi="Times New Roman" w:cs="Times New Roman"/>
          <w:sz w:val="22"/>
          <w:szCs w:val="22"/>
          <w:lang w:val="en-GB"/>
        </w:rPr>
        <w:t>The $0.05 minimum tick binds only for stocks whose pre-treatment spreads were below $0.05. For these stocks, the regulation forces spreads above prior equilibrium levels; for stocks already quoting above $0.05, the constraint is non</w:t>
      </w:r>
      <w:r w:rsidR="005654F0" w:rsidRPr="00DB1616">
        <w:rPr>
          <w:rFonts w:ascii="Times New Roman" w:eastAsia="Aptos" w:hAnsi="Times New Roman" w:cs="Times New Roman"/>
          <w:sz w:val="22"/>
          <w:szCs w:val="22"/>
          <w:lang w:val="en-GB"/>
        </w:rPr>
        <w:t>-</w:t>
      </w:r>
      <w:r w:rsidR="00261C10" w:rsidRPr="00DB1616">
        <w:rPr>
          <w:rFonts w:ascii="Times New Roman" w:eastAsia="Aptos" w:hAnsi="Times New Roman" w:cs="Times New Roman"/>
          <w:sz w:val="22"/>
          <w:szCs w:val="22"/>
          <w:lang w:val="en-GB"/>
        </w:rPr>
        <w:t>binding and spreads remain unchanged (Albuquerque et al., 2020).</w:t>
      </w:r>
    </w:p>
    <w:p w14:paraId="3FC74301"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The following assumptions are required for causal interpretation.</w:t>
      </w:r>
    </w:p>
    <w:p w14:paraId="0711A815"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A1 (Exogeneity). Treatment assignment was determined by the SEC’s stratified random sampling procedure and is therefore exogenous to contemporaneous firm fundamentals. Balance tests in Albuquerque et al. (2020) confirm comparability between treated and control stocks prior to implementation. Firm fixed effects absorb any remaining time-invariant heterogeneity.</w:t>
      </w:r>
    </w:p>
    <w:p w14:paraId="36D9A6E6"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A2 (Parallel Trends). In the absence of the pilot, treated and control stocks would have followed parallel trends in trading volume. The difference-in-differences estimator attributes post-pilot divergence to the treatment; we assess this assumption through pre-trend tests.</w:t>
      </w:r>
    </w:p>
    <w:p w14:paraId="0C5DBA67" w14:textId="17BEA5AA" w:rsidR="007D7C44" w:rsidRPr="00DB1616" w:rsidRDefault="007D7C44"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A3 (Predetermined Bindingness). Pre-treatment average quoted spreads provide a valid proxy for whether the $0.05 floor is binding and are not materially distorted by anticipation effects. Any measurement error in this proxy would attenuate our heterogeneous treatment estimates toward zero, implying that statistically significant effects are conservative.</w:t>
      </w:r>
    </w:p>
    <w:p w14:paraId="1EA363F8" w14:textId="1E6E34BE" w:rsidR="00A50A9D" w:rsidRPr="00EA32E2" w:rsidRDefault="00A50A9D" w:rsidP="00EC3CCC">
      <w:pPr>
        <w:pStyle w:val="Heading2"/>
        <w:rPr>
          <w:rFonts w:ascii="Times New Roman" w:hAnsi="Times New Roman" w:cs="Times New Roman"/>
          <w:lang w:val="en-GB"/>
        </w:rPr>
      </w:pPr>
      <w:bookmarkStart w:id="7" w:name="_Toc223269519"/>
      <w:r w:rsidRPr="00EA32E2">
        <w:rPr>
          <w:rFonts w:ascii="Times New Roman" w:hAnsi="Times New Roman" w:cs="Times New Roman"/>
          <w:lang w:val="en-GB"/>
        </w:rPr>
        <w:t>Hypothesis 1: Average Treatment Effect</w:t>
      </w:r>
      <w:bookmarkEnd w:id="7"/>
      <w:r w:rsidRPr="00EA32E2">
        <w:rPr>
          <w:rFonts w:ascii="Times New Roman" w:hAnsi="Times New Roman" w:cs="Times New Roman"/>
          <w:lang w:val="en-GB"/>
        </w:rPr>
        <w:t> </w:t>
      </w:r>
    </w:p>
    <w:p w14:paraId="7D3ED59D" w14:textId="77777777" w:rsidR="00A50A9D" w:rsidRPr="00DB1616" w:rsidRDefault="00A50A9D"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If the friction channel dominates the liquidity-supply channel, treated stocks should experience lower trading volume relative to control stocks in the post-pilot period, despite the intended benefits of greater market maker participation. </w:t>
      </w:r>
    </w:p>
    <w:p w14:paraId="6E95F4E6" w14:textId="77777777" w:rsidR="00A50A9D" w:rsidRPr="00DB1616" w:rsidRDefault="00A50A9D"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H1: The regulatory increase in the minimum tick size from $0.01 to $0.05 reduces trading volume for treated firms relative to control firms. </w:t>
      </w:r>
    </w:p>
    <w:p w14:paraId="09E107FB" w14:textId="3FB6ED3E" w:rsidR="00A50A9D" w:rsidRPr="00DB1616" w:rsidRDefault="00A50A9D"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The corresponding null hypothesis is that the tick size increase </w:t>
      </w:r>
      <w:r w:rsidR="00EC3CCC">
        <w:rPr>
          <w:rFonts w:ascii="Times New Roman" w:eastAsia="Aptos" w:hAnsi="Times New Roman" w:cs="Times New Roman"/>
          <w:sz w:val="22"/>
          <w:szCs w:val="22"/>
          <w:lang w:val="en-GB"/>
        </w:rPr>
        <w:t>does</w:t>
      </w:r>
      <w:r w:rsidRPr="00DB1616">
        <w:rPr>
          <w:rFonts w:ascii="Times New Roman" w:eastAsia="Aptos" w:hAnsi="Times New Roman" w:cs="Times New Roman"/>
          <w:sz w:val="22"/>
          <w:szCs w:val="22"/>
          <w:lang w:val="en-GB"/>
        </w:rPr>
        <w:t xml:space="preserve"> </w:t>
      </w:r>
      <w:r w:rsidR="00EC3CCC">
        <w:rPr>
          <w:rFonts w:ascii="Times New Roman" w:eastAsia="Aptos" w:hAnsi="Times New Roman" w:cs="Times New Roman"/>
          <w:sz w:val="22"/>
          <w:szCs w:val="22"/>
          <w:lang w:val="en-GB"/>
        </w:rPr>
        <w:t>no</w:t>
      </w:r>
      <w:r w:rsidRPr="00DB1616">
        <w:rPr>
          <w:rFonts w:ascii="Times New Roman" w:eastAsia="Aptos" w:hAnsi="Times New Roman" w:cs="Times New Roman"/>
          <w:sz w:val="22"/>
          <w:szCs w:val="22"/>
          <w:lang w:val="en-GB"/>
        </w:rPr>
        <w:t xml:space="preserve">t </w:t>
      </w:r>
      <w:r w:rsidR="00EC3CCC">
        <w:rPr>
          <w:rFonts w:ascii="Times New Roman" w:eastAsia="Aptos" w:hAnsi="Times New Roman" w:cs="Times New Roman"/>
          <w:sz w:val="22"/>
          <w:szCs w:val="22"/>
          <w:lang w:val="en-GB"/>
        </w:rPr>
        <w:t>affect</w:t>
      </w:r>
      <w:r w:rsidRPr="00DB1616">
        <w:rPr>
          <w:rFonts w:ascii="Times New Roman" w:eastAsia="Aptos" w:hAnsi="Times New Roman" w:cs="Times New Roman"/>
          <w:sz w:val="22"/>
          <w:szCs w:val="22"/>
          <w:lang w:val="en-GB"/>
        </w:rPr>
        <w:t xml:space="preserve"> trading volume. </w:t>
      </w:r>
    </w:p>
    <w:p w14:paraId="18FBD55E" w14:textId="36CF7746" w:rsidR="00A50A9D" w:rsidRPr="00EA32E2" w:rsidRDefault="00A50A9D" w:rsidP="00EC3CCC">
      <w:pPr>
        <w:pStyle w:val="Heading2"/>
        <w:rPr>
          <w:rFonts w:ascii="Times New Roman" w:hAnsi="Times New Roman" w:cs="Times New Roman"/>
          <w:lang w:val="en-GB"/>
        </w:rPr>
      </w:pPr>
      <w:bookmarkStart w:id="8" w:name="_Toc223269520"/>
      <w:r w:rsidRPr="00EA32E2">
        <w:rPr>
          <w:rFonts w:ascii="Times New Roman" w:hAnsi="Times New Roman" w:cs="Times New Roman"/>
          <w:lang w:val="en-GB"/>
        </w:rPr>
        <w:t>Hypothesis 2: Heterogeneous Effects by Pre-Pilot Spread Narrowness</w:t>
      </w:r>
      <w:bookmarkEnd w:id="8"/>
      <w:r w:rsidRPr="00EA32E2">
        <w:rPr>
          <w:rFonts w:ascii="Times New Roman" w:hAnsi="Times New Roman" w:cs="Times New Roman"/>
          <w:lang w:val="en-GB"/>
        </w:rPr>
        <w:t> </w:t>
      </w:r>
    </w:p>
    <w:p w14:paraId="10353EEF" w14:textId="298F9FE3" w:rsidR="00A50A9D" w:rsidRPr="00DB1616" w:rsidRDefault="004F5DB6"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The reduction in volume should not be uniform across treated stocks. Stocks that traded with narrow spreads before the pilot, that is, well below $0.05, are most exposed to the regulatory change because the new minimum tick forces a larger increase in transaction costs. Stocks already trading with spreads at or above $0.05 are largely unaffected, since the new tick does not require spreads to widen.</w:t>
      </w:r>
      <w:r w:rsidR="00A50A9D" w:rsidRPr="00DB1616">
        <w:rPr>
          <w:rFonts w:ascii="Times New Roman" w:eastAsia="Aptos" w:hAnsi="Times New Roman" w:cs="Times New Roman"/>
          <w:sz w:val="22"/>
          <w:szCs w:val="22"/>
          <w:lang w:val="en-GB"/>
        </w:rPr>
        <w:t> </w:t>
      </w:r>
    </w:p>
    <w:p w14:paraId="65BC0ABF" w14:textId="7A960EFB" w:rsidR="00A50A9D" w:rsidRPr="00DB1616" w:rsidRDefault="00A50A9D" w:rsidP="000A6384">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H2: The negative effect of the tick size increase on trading volume is larger for stocks whose pre-pilot quoted spreads were </w:t>
      </w:r>
      <w:r w:rsidR="721F7840" w:rsidRPr="584DBFE9">
        <w:rPr>
          <w:rFonts w:ascii="Times New Roman" w:eastAsia="Aptos" w:hAnsi="Times New Roman" w:cs="Times New Roman"/>
          <w:sz w:val="22"/>
          <w:szCs w:val="22"/>
          <w:lang w:val="en-GB"/>
        </w:rPr>
        <w:t>below</w:t>
      </w:r>
      <w:r w:rsidRPr="00DB1616">
        <w:rPr>
          <w:rFonts w:ascii="Times New Roman" w:eastAsia="Aptos" w:hAnsi="Times New Roman" w:cs="Times New Roman"/>
          <w:sz w:val="22"/>
          <w:szCs w:val="22"/>
          <w:lang w:val="en-GB"/>
        </w:rPr>
        <w:t xml:space="preserve"> $0.05</w:t>
      </w:r>
      <w:commentRangeStart w:id="9"/>
      <w:commentRangeStart w:id="10"/>
      <w:commentRangeEnd w:id="9"/>
      <w:r w:rsidR="00721084" w:rsidRPr="584DBFE9">
        <w:rPr>
          <w:rStyle w:val="CommentReference"/>
          <w:rFonts w:ascii="Times New Roman" w:eastAsia="Aptos" w:hAnsi="Times New Roman" w:cs="Times New Roman"/>
          <w:sz w:val="22"/>
          <w:szCs w:val="22"/>
          <w:lang w:val="en-GB"/>
        </w:rPr>
        <w:commentReference w:id="9"/>
      </w:r>
      <w:commentRangeEnd w:id="10"/>
      <w:r w:rsidR="00B0665F" w:rsidRPr="584DBFE9">
        <w:rPr>
          <w:rStyle w:val="CommentReference"/>
          <w:rFonts w:ascii="Times New Roman" w:eastAsia="Aptos" w:hAnsi="Times New Roman" w:cs="Times New Roman"/>
          <w:sz w:val="22"/>
          <w:szCs w:val="22"/>
          <w:lang w:val="en-GB"/>
        </w:rPr>
        <w:commentReference w:id="10"/>
      </w:r>
      <w:r w:rsidR="721F7840" w:rsidRPr="584DBFE9">
        <w:rPr>
          <w:rFonts w:ascii="Times New Roman" w:eastAsia="Aptos" w:hAnsi="Times New Roman" w:cs="Times New Roman"/>
          <w:sz w:val="22"/>
          <w:szCs w:val="22"/>
          <w:lang w:val="en-GB"/>
        </w:rPr>
        <w:t>.</w:t>
      </w:r>
    </w:p>
    <w:p w14:paraId="287EA5CD" w14:textId="37675A95" w:rsidR="007D7C44" w:rsidRPr="00DB1616" w:rsidRDefault="00A50A9D" w:rsidP="001A7B2D">
      <w:pPr>
        <w:spacing w:after="120" w:line="360" w:lineRule="auto"/>
        <w:jc w:val="both"/>
        <w:rPr>
          <w:rFonts w:ascii="Times New Roman" w:eastAsia="Aptos" w:hAnsi="Times New Roman" w:cs="Times New Roman"/>
          <w:lang w:val="en-GB"/>
        </w:rPr>
      </w:pPr>
      <w:r w:rsidRPr="00DB1616">
        <w:rPr>
          <w:rFonts w:ascii="Times New Roman" w:eastAsia="Aptos" w:hAnsi="Times New Roman" w:cs="Times New Roman"/>
          <w:sz w:val="22"/>
          <w:szCs w:val="22"/>
          <w:lang w:val="en-GB"/>
        </w:rPr>
        <w:t>The corresponding null hypothesis is that the effect of the tick size increase on volume does not vary with pre-pilot spread narrowness.</w:t>
      </w:r>
      <w:r w:rsidR="007D7C44" w:rsidRPr="00DB1616">
        <w:rPr>
          <w:rFonts w:ascii="Times New Roman" w:eastAsia="Aptos" w:hAnsi="Times New Roman" w:cs="Times New Roman"/>
          <w:lang w:val="en-GB"/>
        </w:rPr>
        <w:br w:type="page"/>
      </w:r>
    </w:p>
    <w:p w14:paraId="022F04D8" w14:textId="77777777" w:rsidR="00FC4CE5" w:rsidRPr="00211EB3" w:rsidRDefault="00FC4CE5" w:rsidP="00211EB3">
      <w:pPr>
        <w:pStyle w:val="Heading1"/>
        <w:numPr>
          <w:ilvl w:val="0"/>
          <w:numId w:val="37"/>
        </w:numPr>
        <w:spacing w:before="0" w:after="200"/>
        <w:rPr>
          <w:rFonts w:cs="Times New Roman"/>
          <w:lang w:val="en-GB"/>
        </w:rPr>
      </w:pPr>
      <w:bookmarkStart w:id="11" w:name="_Toc223269521"/>
      <w:r w:rsidRPr="00211EB3">
        <w:rPr>
          <w:rFonts w:cs="Times New Roman"/>
          <w:lang w:val="en-GB"/>
        </w:rPr>
        <w:t>Empirical Methodology</w:t>
      </w:r>
      <w:bookmarkEnd w:id="11"/>
    </w:p>
    <w:p w14:paraId="783F32DC" w14:textId="06EE1E06" w:rsidR="003F1841" w:rsidRPr="003F1841" w:rsidRDefault="6C264CB3" w:rsidP="003F1841">
      <w:pPr>
        <w:spacing w:after="120" w:line="360" w:lineRule="auto"/>
        <w:jc w:val="both"/>
        <w:rPr>
          <w:rFonts w:ascii="Times New Roman" w:eastAsia="Aptos" w:hAnsi="Times New Roman" w:cs="Times New Roman"/>
          <w:sz w:val="22"/>
          <w:szCs w:val="22"/>
          <w:lang w:val="en-GB"/>
        </w:rPr>
      </w:pPr>
      <w:commentRangeStart w:id="12"/>
      <w:r w:rsidRPr="584DBFE9">
        <w:rPr>
          <w:rFonts w:ascii="Times New Roman" w:eastAsia="Aptos" w:hAnsi="Times New Roman" w:cs="Times New Roman"/>
          <w:sz w:val="22"/>
          <w:szCs w:val="22"/>
          <w:lang w:val="en-GB"/>
        </w:rPr>
        <w:t>This section presents the empirical strategy used to estimate the causal impact of the SEC Tick Size Pilot Program on trading activity. The analysis employs a difference-in-differences framework with firm and time fixed effects to identify both the average treatment effect and heterogeneous effects based on pre-treatment spread constraints.</w:t>
      </w:r>
      <w:commentRangeEnd w:id="12"/>
      <w:r w:rsidR="003F1841" w:rsidRPr="003F1841">
        <w:rPr>
          <w:rStyle w:val="CommentReference"/>
          <w:rFonts w:ascii="Times New Roman" w:eastAsia="Aptos" w:hAnsi="Times New Roman" w:cs="Times New Roman"/>
          <w:sz w:val="22"/>
          <w:szCs w:val="22"/>
          <w:lang w:val="en-GB"/>
        </w:rPr>
        <w:commentReference w:id="12"/>
      </w:r>
    </w:p>
    <w:p w14:paraId="65407BEB" w14:textId="17AFA3FA" w:rsidR="00C15182" w:rsidRPr="00CC1B6F" w:rsidRDefault="00587471" w:rsidP="003F1841">
      <w:pPr>
        <w:pStyle w:val="Heading2"/>
        <w:numPr>
          <w:ilvl w:val="1"/>
          <w:numId w:val="37"/>
        </w:numPr>
      </w:pPr>
      <w:bookmarkStart w:id="13" w:name="_Toc223269522"/>
      <w:r w:rsidRPr="00CC1B6F">
        <w:t>Identification Strategy</w:t>
      </w:r>
      <w:bookmarkEnd w:id="13"/>
    </w:p>
    <w:p w14:paraId="1E13B539" w14:textId="561E562A" w:rsidR="007026FA" w:rsidRDefault="009E7821" w:rsidP="003E6F7C">
      <w:pPr>
        <w:spacing w:before="240" w:after="120" w:line="360" w:lineRule="auto"/>
        <w:jc w:val="both"/>
        <w:rPr>
          <w:rFonts w:ascii="Times New Roman" w:eastAsia="Aptos" w:hAnsi="Times New Roman" w:cs="Times New Roman"/>
          <w:sz w:val="22"/>
          <w:szCs w:val="22"/>
          <w:lang w:val="en-GB"/>
        </w:rPr>
      </w:pPr>
      <w:r w:rsidRPr="009E7821">
        <w:rPr>
          <w:rFonts w:ascii="Times New Roman" w:eastAsia="Aptos" w:hAnsi="Times New Roman" w:cs="Times New Roman"/>
          <w:sz w:val="22"/>
          <w:szCs w:val="22"/>
          <w:lang w:val="en-GB"/>
        </w:rPr>
        <w:t>The causal effect of the minimum tick size increase on trading volume is identified using a difference-in-differences framework, exploiting the exogenous variation generated by the SEC's stratified random assignment of eligible small-capitalization stocks into three treatment groups and a control group (Albuquerque et al., 2020). Because assignment was determined by regulatory procedure rather than firm choice, treatment status is orthogonal to contemporaneous firm fundamentals. The estimator compares changes in trading activity across three periods: a pre-treatment baseline (January 1, 2016 through October 16, 2016 for Groups 1 and 2, and January 1, 2016 through October 30, 2016 for Group 3), the active pilot (October 17, 2016 through September 28, 2018 for Groups 1 and 2, and October 31, 2016 through September 28, 2018 for Group 3), and a post-pilot window (September 29, 2018 through April 30, 2019) during which tick sizes reverted to $0.01. The validity of this approach rests on the parallel trends assumption, which is supported by the random assignment of stocks to groups. Separate treatment coefficients are estimated for each pilot group to test whether more binding regulatory constraints generate correspondingly larger reductions in trading activity. The post-pilot period is included to assess whether volume effects persist after the regulatory change is reversed, which would indicate lasting structural shifts in trading activity rather than a purely mechanical response to the tick size constraint.</w:t>
      </w:r>
    </w:p>
    <w:p w14:paraId="5B354955" w14:textId="3FFB3BB6" w:rsidR="00197A88" w:rsidRPr="00197A88" w:rsidRDefault="00FF72A7" w:rsidP="003F1841">
      <w:pPr>
        <w:pStyle w:val="Heading2"/>
        <w:numPr>
          <w:ilvl w:val="1"/>
          <w:numId w:val="37"/>
        </w:numPr>
        <w:rPr>
          <w:rFonts w:ascii="Times New Roman" w:hAnsi="Times New Roman" w:cs="Times New Roman"/>
          <w:lang w:val="en-GB"/>
        </w:rPr>
      </w:pPr>
      <w:bookmarkStart w:id="14" w:name="_Toc223269523"/>
      <w:r w:rsidRPr="00CC1B6F">
        <w:rPr>
          <w:rFonts w:ascii="Times New Roman" w:hAnsi="Times New Roman" w:cs="Times New Roman"/>
          <w:lang w:val="en-GB"/>
        </w:rPr>
        <w:t>Baseline Specification</w:t>
      </w:r>
      <w:bookmarkEnd w:id="14"/>
    </w:p>
    <w:p w14:paraId="26301708" w14:textId="33CC136E" w:rsidR="00197A88" w:rsidRPr="00DB1616" w:rsidRDefault="00197A88" w:rsidP="00A25E42">
      <w:pPr>
        <w:spacing w:before="240"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The baseline specification for Hypothesis 1 allows for a separate treatment effect in each pilot group</w:t>
      </w:r>
      <w:r w:rsidR="00380F79">
        <w:rPr>
          <w:rFonts w:ascii="Times New Roman" w:eastAsia="Aptos" w:hAnsi="Times New Roman" w:cs="Times New Roman"/>
          <w:sz w:val="22"/>
          <w:szCs w:val="22"/>
          <w:lang w:val="en-GB"/>
        </w:rPr>
        <w:t xml:space="preserve"> </w:t>
      </w:r>
      <w:r w:rsidR="00380F79" w:rsidRPr="00380F79">
        <w:rPr>
          <w:rFonts w:ascii="Times New Roman" w:eastAsia="Aptos" w:hAnsi="Times New Roman" w:cs="Times New Roman"/>
          <w:sz w:val="22"/>
          <w:szCs w:val="22"/>
          <w:lang w:val="en-US"/>
        </w:rPr>
        <w:t>across both the active pilot period and the post-pilot reversal period</w:t>
      </w:r>
      <w:r w:rsidRPr="00DB1616">
        <w:rPr>
          <w:rFonts w:ascii="Times New Roman" w:eastAsia="Aptos" w:hAnsi="Times New Roman" w:cs="Times New Roman"/>
          <w:sz w:val="22"/>
          <w:szCs w:val="22"/>
          <w:lang w:val="en-GB"/>
        </w:rPr>
        <w:t>:</w:t>
      </w:r>
    </w:p>
    <w:p w14:paraId="23E7AD27" w14:textId="610A7E30" w:rsidR="00915C34" w:rsidRPr="005A61D5" w:rsidRDefault="003825DC" w:rsidP="00197A88">
      <w:pPr>
        <w:spacing w:after="120" w:line="360" w:lineRule="auto"/>
        <w:jc w:val="both"/>
        <w:rPr>
          <w:rFonts w:ascii="Times New Roman" w:eastAsia="Aptos" w:hAnsi="Times New Roman" w:cs="Times New Roman"/>
          <w:i/>
          <w:sz w:val="22"/>
          <w:szCs w:val="22"/>
          <w:lang w:val="en-GB"/>
        </w:rPr>
      </w:pPr>
      <m:oMathPara>
        <m:oMath>
          <m:sSub>
            <m:sSubPr>
              <m:ctrlPr>
                <w:rPr>
                  <w:rFonts w:ascii="Cambria Math" w:eastAsia="Aptos" w:hAnsi="Cambria Math" w:cs="Times New Roman"/>
                  <w:i/>
                  <w:sz w:val="22"/>
                  <w:szCs w:val="22"/>
                  <w:lang w:val="en-GB"/>
                </w:rPr>
              </m:ctrlPr>
            </m:sSubPr>
            <m:e>
              <m:r>
                <m:rPr>
                  <m:nor/>
                </m:rPr>
                <w:rPr>
                  <w:rFonts w:ascii="Times New Roman" w:eastAsia="Aptos" w:hAnsi="Times New Roman" w:cs="Times New Roman"/>
                  <w:i/>
                  <w:sz w:val="22"/>
                  <w:szCs w:val="22"/>
                  <w:lang w:val="en-GB"/>
                </w:rPr>
                <m:t>Volume</m:t>
              </m:r>
            </m:e>
            <m:sub>
              <m:r>
                <w:rPr>
                  <w:rFonts w:ascii="Cambria Math" w:eastAsia="Aptos" w:hAnsi="Cambria Math" w:cs="Times New Roman"/>
                  <w:sz w:val="22"/>
                  <w:szCs w:val="22"/>
                  <w:lang w:val="en-GB"/>
                </w:rPr>
                <m:t>it</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α</m:t>
          </m:r>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d>
            <m:dPr>
              <m:ctrlPr>
                <w:rPr>
                  <w:rFonts w:ascii="Cambria Math" w:eastAsia="Aptos" w:hAnsi="Cambria Math" w:cs="Times New Roman"/>
                  <w:i/>
                  <w:sz w:val="22"/>
                  <w:szCs w:val="22"/>
                  <w:lang w:val="en-GB"/>
                </w:rPr>
              </m:ctrlPr>
            </m:dPr>
            <m:e>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1</m:t>
                  </m:r>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e>
          </m:d>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2</m:t>
              </m:r>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3</m:t>
              </m:r>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1</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1</m:t>
              </m:r>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Pos</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t</m:t>
              </m:r>
              <m:r>
                <w:rPr>
                  <w:rFonts w:ascii="Cambria Math" w:eastAsia="Aptos" w:hAnsi="Cambria Math" w:cs="Times New Roman"/>
                  <w:sz w:val="22"/>
                  <w:szCs w:val="22"/>
                  <w:lang w:val="en-GB"/>
                </w:rPr>
                <m:t>Pilot</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2</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2</m:t>
              </m:r>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Pos</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t</m:t>
              </m:r>
              <m:r>
                <w:rPr>
                  <w:rFonts w:ascii="Cambria Math" w:eastAsia="Aptos" w:hAnsi="Cambria Math" w:cs="Times New Roman"/>
                  <w:sz w:val="22"/>
                  <w:szCs w:val="22"/>
                  <w:lang w:val="en-GB"/>
                </w:rPr>
                <m:t>Pilot</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3</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3</m:t>
              </m:r>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Pos</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t</m:t>
              </m:r>
              <m:r>
                <w:rPr>
                  <w:rFonts w:ascii="Cambria Math" w:eastAsia="Aptos" w:hAnsi="Cambria Math" w:cs="Times New Roman"/>
                  <w:sz w:val="22"/>
                  <w:szCs w:val="22"/>
                  <w:lang w:val="en-GB"/>
                </w:rPr>
                <m:t>Pilot</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sSup>
            <m:sSupPr>
              <m:ctrlPr>
                <w:rPr>
                  <w:rFonts w:ascii="Cambria Math" w:eastAsia="Aptos" w:hAnsi="Cambria Math" w:cs="Times New Roman"/>
                  <w:i/>
                  <w:sz w:val="22"/>
                  <w:szCs w:val="22"/>
                  <w:lang w:val="en-GB"/>
                </w:rPr>
              </m:ctrlPr>
            </m:sSupPr>
            <m:e>
              <m:r>
                <w:rPr>
                  <w:rFonts w:ascii="Cambria Math" w:eastAsia="Aptos" w:hAnsi="Cambria Math" w:cs="Times New Roman"/>
                  <w:sz w:val="22"/>
                  <w:szCs w:val="22"/>
                  <w:lang w:val="en-GB"/>
                </w:rPr>
                <m:t>θ</m:t>
              </m:r>
            </m:e>
            <m:sup>
              <m:r>
                <w:rPr>
                  <w:rFonts w:ascii="Cambria Math" w:eastAsia="Aptos" w:hAnsi="Cambria Math" w:cs="Times New Roman"/>
                  <w:sz w:val="22"/>
                  <w:szCs w:val="22"/>
                  <w:lang w:val="en-GB"/>
                </w:rPr>
                <m:t>'</m:t>
              </m:r>
            </m:sup>
          </m:sSup>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X</m:t>
              </m:r>
            </m:e>
            <m:sub>
              <m:r>
                <w:rPr>
                  <w:rFonts w:ascii="Cambria Math" w:eastAsia="Aptos" w:hAnsi="Cambria Math" w:cs="Times New Roman"/>
                  <w:sz w:val="22"/>
                  <w:szCs w:val="22"/>
                  <w:lang w:val="en-GB"/>
                </w:rPr>
                <m:t>i</m:t>
              </m:r>
              <m:r>
                <w:rPr>
                  <w:rFonts w:ascii="Cambria Math" w:eastAsia="Aptos" w:hAnsi="Cambria Math" w:cs="Times New Roman"/>
                  <w:sz w:val="22"/>
                  <w:szCs w:val="22"/>
                  <w:lang w:val="en-GB"/>
                </w:rPr>
                <m:t>,</m:t>
              </m:r>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γ</m:t>
              </m:r>
            </m:e>
            <m:sub>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δ</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ε</m:t>
              </m:r>
            </m:e>
            <m:sub>
              <m:r>
                <w:rPr>
                  <w:rFonts w:ascii="Cambria Math" w:eastAsia="Aptos" w:hAnsi="Cambria Math" w:cs="Times New Roman"/>
                  <w:sz w:val="22"/>
                  <w:szCs w:val="22"/>
                  <w:lang w:val="en-GB"/>
                </w:rPr>
                <m:t>it</m:t>
              </m:r>
            </m:sub>
          </m:sSub>
        </m:oMath>
      </m:oMathPara>
    </w:p>
    <w:p w14:paraId="2555F2CE" w14:textId="5434DE75" w:rsidR="0092058D" w:rsidRPr="00197A88" w:rsidRDefault="00197A88" w:rsidP="00197A88">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where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Volume</m:t>
            </m:r>
          </m:e>
          <m:sub>
            <m:r>
              <w:rPr>
                <w:rFonts w:ascii="Cambria Math" w:eastAsia="Aptos" w:hAnsi="Cambria Math" w:cs="Times New Roman"/>
                <w:sz w:val="22"/>
                <w:szCs w:val="22"/>
                <w:lang w:val="en-GB"/>
              </w:rPr>
              <m:t>it</m:t>
            </m:r>
          </m:sub>
        </m:sSub>
      </m:oMath>
      <w:r w:rsidRPr="00DB1616">
        <w:rPr>
          <w:rFonts w:ascii="Times New Roman" w:eastAsia="Aptos" w:hAnsi="Times New Roman" w:cs="Times New Roman"/>
          <w:sz w:val="22"/>
          <w:szCs w:val="22"/>
          <w:lang w:val="en-GB"/>
        </w:rPr>
        <w:t xml:space="preserve"> </w:t>
      </w:r>
      <w:r w:rsidR="00286EA9" w:rsidRPr="00286EA9">
        <w:rPr>
          <w:rFonts w:ascii="Times New Roman" w:eastAsia="Aptos" w:hAnsi="Times New Roman" w:cs="Times New Roman"/>
          <w:sz w:val="22"/>
          <w:szCs w:val="22"/>
          <w:lang w:val="en-US"/>
        </w:rPr>
        <w:t>is the natural logarithm of daily share turnover for stock i on day t</w:t>
      </w:r>
      <w:r w:rsidR="00CA2616">
        <w:rPr>
          <w:rFonts w:ascii="Times New Roman" w:eastAsia="Aptos" w:hAnsi="Times New Roman" w:cs="Times New Roman"/>
          <w:sz w:val="22"/>
          <w:szCs w:val="22"/>
          <w:lang w:val="en-US"/>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1i</m:t>
            </m:r>
          </m:sub>
        </m:sSub>
      </m:oMath>
      <w:r w:rsidRPr="00DB1616">
        <w:rPr>
          <w:rFonts w:ascii="Times New Roman" w:eastAsia="Aptos" w:hAnsi="Times New Roman" w:cs="Times New Roman"/>
          <w:sz w:val="22"/>
          <w:szCs w:val="22"/>
          <w:lang w:val="en-GB"/>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2i</m:t>
            </m:r>
          </m:sub>
        </m:sSub>
      </m:oMath>
      <w:r w:rsidRPr="00DB1616">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3i</m:t>
            </m:r>
          </m:sub>
        </m:sSub>
      </m:oMath>
      <w:r w:rsidRPr="00DB1616">
        <w:rPr>
          <w:rFonts w:ascii="Times New Roman" w:eastAsia="Aptos" w:hAnsi="Times New Roman" w:cs="Times New Roman"/>
          <w:sz w:val="22"/>
          <w:szCs w:val="22"/>
          <w:lang w:val="en-GB"/>
        </w:rPr>
        <w:t xml:space="preserve"> are </w:t>
      </w:r>
      <w:r w:rsidR="001F1C6F" w:rsidRPr="001F1C6F">
        <w:rPr>
          <w:rFonts w:ascii="Times New Roman" w:eastAsia="Aptos" w:hAnsi="Times New Roman" w:cs="Times New Roman"/>
          <w:sz w:val="22"/>
          <w:szCs w:val="22"/>
          <w:lang w:val="en-US"/>
        </w:rPr>
        <w:t>are pilot group indicators;</w:t>
      </w:r>
      <w:r w:rsidR="00A05410" w:rsidRPr="00DB1616">
        <w:rPr>
          <w:rFonts w:ascii="Times New Roman" w:eastAsia="Aptos" w:hAnsi="Times New Roman" w:cs="Times New Roman"/>
          <w:sz w:val="22"/>
          <w:szCs w:val="22"/>
          <w:lang w:val="en-GB"/>
        </w:rPr>
        <w:t xml:space="preserve"> </w:t>
      </w:r>
      <m:oMath>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oMath>
      <w:r w:rsidR="00A05410" w:rsidRPr="00A05410">
        <w:rPr>
          <w:rFonts w:ascii="Times New Roman" w:eastAsia="Aptos" w:hAnsi="Times New Roman" w:cs="Times New Roman"/>
          <w:sz w:val="22"/>
          <w:szCs w:val="22"/>
          <w:lang w:val="en-GB"/>
        </w:rPr>
        <w:t xml:space="preserve"> </w:t>
      </w:r>
      <w:r w:rsidR="0029102B" w:rsidRPr="0029102B">
        <w:rPr>
          <w:rFonts w:ascii="Times New Roman" w:eastAsia="Aptos" w:hAnsi="Times New Roman" w:cs="Times New Roman"/>
          <w:sz w:val="22"/>
          <w:szCs w:val="22"/>
          <w:lang w:val="en-GB"/>
        </w:rPr>
        <w:t>equals one during the active pilot window with the pre-treatment period as the omitted baseline;</w:t>
      </w:r>
      <w:r w:rsidRPr="00DB1616">
        <w:rPr>
          <w:rFonts w:ascii="Times New Roman" w:eastAsia="Aptos" w:hAnsi="Times New Roman" w:cs="Times New Roman"/>
          <w:sz w:val="22"/>
          <w:szCs w:val="22"/>
          <w:lang w:val="en-GB"/>
        </w:rPr>
        <w:t xml:space="preserve"> </w:t>
      </w:r>
      <m:oMath>
        <m:r>
          <w:rPr>
            <w:rFonts w:ascii="Cambria Math" w:eastAsia="Aptos" w:hAnsi="Cambria Math" w:cs="Times New Roman"/>
            <w:sz w:val="22"/>
            <w:szCs w:val="22"/>
            <w:lang w:val="en-GB"/>
          </w:rPr>
          <m:t>Pos</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t</m:t>
            </m:r>
            <m:r>
              <w:rPr>
                <w:rFonts w:ascii="Cambria Math" w:eastAsia="Aptos" w:hAnsi="Cambria Math" w:cs="Times New Roman"/>
                <w:sz w:val="22"/>
                <w:szCs w:val="22"/>
                <w:lang w:val="en-GB"/>
              </w:rPr>
              <m:t>Pilot</m:t>
            </m:r>
          </m:e>
          <m:sub>
            <m:r>
              <w:rPr>
                <w:rFonts w:ascii="Cambria Math" w:eastAsia="Aptos" w:hAnsi="Cambria Math" w:cs="Times New Roman"/>
                <w:sz w:val="22"/>
                <w:szCs w:val="22"/>
                <w:lang w:val="en-GB"/>
              </w:rPr>
              <m:t>t</m:t>
            </m:r>
          </m:sub>
        </m:sSub>
      </m:oMath>
      <w:r w:rsidRPr="00DB1616">
        <w:rPr>
          <w:rFonts w:ascii="Times New Roman" w:eastAsia="Aptos" w:hAnsi="Times New Roman" w:cs="Times New Roman"/>
          <w:sz w:val="22"/>
          <w:szCs w:val="22"/>
          <w:lang w:val="en-GB"/>
        </w:rPr>
        <w:t xml:space="preserve"> </w:t>
      </w:r>
      <w:r w:rsidR="00C1563F" w:rsidRPr="00C1563F">
        <w:rPr>
          <w:rFonts w:ascii="Times New Roman" w:eastAsia="Aptos" w:hAnsi="Times New Roman" w:cs="Times New Roman"/>
          <w:sz w:val="22"/>
          <w:szCs w:val="22"/>
          <w:lang w:val="en-GB"/>
        </w:rPr>
        <w:t>equals one after September 28, 2018;</w:t>
      </w:r>
      <w:r w:rsidR="00C1563F">
        <w:rPr>
          <w:rFonts w:ascii="Times New Roman" w:eastAsia="Aptos" w:hAnsi="Times New Roman" w:cs="Times New Roman"/>
          <w:sz w:val="22"/>
          <w:szCs w:val="22"/>
          <w:lang w:val="en-GB"/>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γ</m:t>
            </m:r>
          </m:e>
          <m:sub>
            <m:r>
              <w:rPr>
                <w:rFonts w:ascii="Cambria Math" w:eastAsia="Aptos" w:hAnsi="Cambria Math" w:cs="Times New Roman"/>
                <w:sz w:val="22"/>
                <w:szCs w:val="22"/>
                <w:lang w:val="en-GB"/>
              </w:rPr>
              <m:t>i</m:t>
            </m:r>
          </m:sub>
        </m:sSub>
      </m:oMath>
      <w:r w:rsidRPr="00DB1616">
        <w:rPr>
          <w:rFonts w:ascii="Times New Roman" w:eastAsia="Aptos" w:hAnsi="Times New Roman" w:cs="Times New Roman"/>
          <w:sz w:val="22"/>
          <w:szCs w:val="22"/>
          <w:lang w:val="en-GB"/>
        </w:rPr>
        <w:t xml:space="preserve"> </w:t>
      </w:r>
      <w:r w:rsidR="001F5892">
        <w:rPr>
          <w:rFonts w:ascii="Times New Roman" w:eastAsia="Aptos" w:hAnsi="Times New Roman" w:cs="Times New Roman"/>
          <w:sz w:val="22"/>
          <w:szCs w:val="22"/>
          <w:lang w:val="en-GB"/>
        </w:rPr>
        <w:t xml:space="preserve">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δ</m:t>
            </m:r>
          </m:e>
          <m:sub>
            <m:r>
              <w:rPr>
                <w:rFonts w:ascii="Cambria Math" w:eastAsia="Aptos" w:hAnsi="Cambria Math" w:cs="Times New Roman"/>
                <w:sz w:val="22"/>
                <w:szCs w:val="22"/>
                <w:lang w:val="en-GB"/>
              </w:rPr>
              <m:t>t</m:t>
            </m:r>
          </m:sub>
        </m:sSub>
      </m:oMath>
      <w:r w:rsidR="001F5892">
        <w:rPr>
          <w:rFonts w:ascii="Times New Roman" w:eastAsia="Aptos" w:hAnsi="Times New Roman" w:cs="Times New Roman"/>
          <w:sz w:val="22"/>
          <w:szCs w:val="22"/>
          <w:lang w:val="en-GB"/>
        </w:rPr>
        <w:t xml:space="preserve"> </w:t>
      </w:r>
      <w:r w:rsidR="00FC773F" w:rsidRPr="00FC773F">
        <w:rPr>
          <w:rFonts w:ascii="Times New Roman" w:eastAsia="Aptos" w:hAnsi="Times New Roman" w:cs="Times New Roman"/>
          <w:sz w:val="22"/>
          <w:szCs w:val="22"/>
          <w:lang w:val="en-GB"/>
        </w:rPr>
        <w:t>denote firm and time fixed effects respectively</w:t>
      </w:r>
      <w:r w:rsidR="00FC773F">
        <w:rPr>
          <w:rFonts w:ascii="Times New Roman" w:eastAsia="Aptos" w:hAnsi="Times New Roman" w:cs="Times New Roman"/>
          <w:sz w:val="22"/>
          <w:szCs w:val="22"/>
          <w:lang w:val="en-GB"/>
        </w:rPr>
        <w:t>; and</w:t>
      </w:r>
      <w:r w:rsidRPr="00DB1616">
        <w:rPr>
          <w:rFonts w:ascii="Times New Roman" w:eastAsia="Aptos" w:hAnsi="Times New Roman" w:cs="Times New Roman"/>
          <w:sz w:val="22"/>
          <w:szCs w:val="22"/>
          <w:lang w:val="en-GB"/>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X</m:t>
            </m:r>
          </m:e>
          <m:sub>
            <m:r>
              <w:rPr>
                <w:rFonts w:ascii="Cambria Math" w:eastAsia="Aptos" w:hAnsi="Cambria Math" w:cs="Times New Roman"/>
                <w:sz w:val="22"/>
                <w:szCs w:val="22"/>
                <w:lang w:val="en-GB"/>
              </w:rPr>
              <m:t>i,t</m:t>
            </m:r>
          </m:sub>
        </m:sSub>
      </m:oMath>
      <w:r w:rsidRPr="00DB1616">
        <w:rPr>
          <w:rFonts w:ascii="Times New Roman" w:eastAsia="Aptos" w:hAnsi="Times New Roman" w:cs="Times New Roman"/>
          <w:sz w:val="22"/>
          <w:szCs w:val="22"/>
          <w:lang w:val="en-GB"/>
        </w:rPr>
        <w:t xml:space="preserve"> </w:t>
      </w:r>
      <w:r w:rsidR="00F42F6A" w:rsidRPr="00F42F6A">
        <w:rPr>
          <w:rFonts w:ascii="Times New Roman" w:eastAsia="Aptos" w:hAnsi="Times New Roman" w:cs="Times New Roman"/>
          <w:sz w:val="22"/>
          <w:szCs w:val="22"/>
          <w:lang w:val="en-GB"/>
        </w:rPr>
        <w:t xml:space="preserve"> is a vector of time-varying controls defined below.</w:t>
      </w:r>
      <w:r w:rsidR="00F42F6A">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 xml:space="preserve">Standard errors are clustered at the firm </w:t>
      </w:r>
      <w:r w:rsidRPr="00E42D44">
        <w:rPr>
          <w:rFonts w:ascii="Times New Roman" w:eastAsia="Aptos" w:hAnsi="Times New Roman" w:cs="Times New Roman"/>
          <w:sz w:val="22"/>
          <w:szCs w:val="22"/>
          <w:lang w:val="en-GB"/>
        </w:rPr>
        <w:t>level to account for serial correlation in residuals within stocks over time.</w:t>
      </w:r>
      <w:r w:rsidRPr="00DB1616">
        <w:rPr>
          <w:rFonts w:ascii="Times New Roman" w:eastAsia="Aptos" w:hAnsi="Times New Roman" w:cs="Times New Roman"/>
          <w:sz w:val="22"/>
          <w:szCs w:val="22"/>
          <w:lang w:val="en-GB"/>
        </w:rPr>
        <w:t xml:space="preserve"> The coefficients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oMath>
      <w:r w:rsidRPr="00DB1616">
        <w:rPr>
          <w:rFonts w:ascii="Times New Roman" w:eastAsia="Aptos" w:hAnsi="Times New Roman" w:cs="Times New Roman"/>
          <w:sz w:val="22"/>
          <w:szCs w:val="22"/>
          <w:lang w:val="en-GB"/>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oMath>
      <w:r w:rsidRPr="00DB1616">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oMath>
      <w:r w:rsidR="001362CE" w:rsidRPr="001362CE">
        <w:rPr>
          <w:rFonts w:ascii="Times New Roman" w:eastAsia="Aptos" w:hAnsi="Times New Roman" w:cs="Times New Roman"/>
          <w:sz w:val="22"/>
          <w:szCs w:val="22"/>
          <w:lang w:val="en-GB"/>
        </w:rPr>
        <w:t>capture the average volume change for each pilot group relative to control during the active pilot.</w:t>
      </w:r>
      <w:r w:rsidR="001362CE">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 xml:space="preserve">Under H1, we predict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r>
          <w:rPr>
            <w:rFonts w:ascii="Cambria Math" w:eastAsia="Aptos" w:hAnsi="Cambria Math" w:cs="Times New Roman"/>
            <w:sz w:val="22"/>
            <w:szCs w:val="22"/>
            <w:lang w:val="en-GB"/>
          </w:rPr>
          <m:t>&lt;0</m:t>
        </m:r>
      </m:oMath>
      <w:r w:rsidR="001362CE">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 xml:space="preserve">and </w:t>
      </w:r>
      <m:oMath>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r>
          <m:rPr>
            <m:sty m:val="p"/>
          </m:rP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r>
          <m:rPr>
            <m:sty m:val="p"/>
          </m:rPr>
          <w:rPr>
            <w:rFonts w:ascii="Cambria Math" w:eastAsia="Aptos" w:hAnsi="Cambria Math" w:cs="Times New Roman"/>
            <w:sz w:val="22"/>
            <w:szCs w:val="22"/>
            <w:lang w:val="en-GB"/>
          </w:rPr>
          <m:t>max</m:t>
        </m:r>
        <m:r>
          <w:rPr>
            <w:rFonts w:ascii="Cambria Math" w:eastAsia="Aptos" w:hAnsi="Cambria Math" w:cs="Times New Roman"/>
            <w:sz w:val="22"/>
            <w:szCs w:val="22"/>
            <w:lang w:val="en-GB"/>
          </w:rPr>
          <m:t>⁡(</m:t>
        </m:r>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r>
          <m:rPr>
            <m:sty m:val="p"/>
          </m:rP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r>
          <m:rPr>
            <m:sty m:val="p"/>
          </m:rP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oMath>
      <w:r w:rsidR="004C04DF">
        <w:rPr>
          <w:rFonts w:ascii="Times New Roman" w:eastAsia="Aptos" w:hAnsi="Times New Roman" w:cs="Times New Roman"/>
          <w:sz w:val="22"/>
          <w:szCs w:val="22"/>
          <w:lang w:val="en-GB"/>
        </w:rPr>
        <w:t>,</w:t>
      </w:r>
      <w:r w:rsidR="004C04DF" w:rsidRPr="004C04DF">
        <w:rPr>
          <w:rFonts w:ascii="Times New Roman" w:eastAsia="Aptos" w:hAnsi="Times New Roman" w:cs="Times New Roman"/>
          <w:sz w:val="22"/>
          <w:szCs w:val="22"/>
          <w:lang w:val="en-GB"/>
        </w:rPr>
        <w:t xml:space="preserve"> reflecting a dose-response relationship.</w:t>
      </w:r>
      <w:r w:rsidR="0092058D">
        <w:rPr>
          <w:rFonts w:ascii="Times New Roman" w:eastAsia="Aptos" w:hAnsi="Times New Roman" w:cs="Times New Roman"/>
          <w:sz w:val="22"/>
          <w:szCs w:val="22"/>
          <w:lang w:val="en-GB"/>
        </w:rPr>
        <w:t xml:space="preserve"> </w:t>
      </w:r>
      <w:r w:rsidR="0092058D" w:rsidRPr="0092058D">
        <w:rPr>
          <w:rFonts w:ascii="Times New Roman" w:eastAsia="Aptos" w:hAnsi="Times New Roman" w:cs="Times New Roman"/>
          <w:sz w:val="22"/>
          <w:szCs w:val="22"/>
          <w:lang w:val="en-GB"/>
        </w:rPr>
        <w:t xml:space="preserve">The post-pilot coefficients </w:t>
      </w:r>
      <m:oMath>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1</m:t>
            </m:r>
          </m:sub>
        </m:sSub>
      </m:oMath>
      <w:r w:rsidR="0092058D">
        <w:rPr>
          <w:rFonts w:ascii="Times New Roman" w:eastAsia="Aptos" w:hAnsi="Times New Roman" w:cs="Times New Roman"/>
          <w:sz w:val="22"/>
          <w:szCs w:val="22"/>
          <w:lang w:val="en-GB"/>
        </w:rPr>
        <w:t xml:space="preserve">, </w:t>
      </w:r>
      <m:oMath>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2</m:t>
            </m:r>
          </m:sub>
        </m:sSub>
      </m:oMath>
      <w:r w:rsidR="0092058D">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3</m:t>
            </m:r>
          </m:sub>
        </m:sSub>
      </m:oMath>
      <w:r w:rsidR="0092058D" w:rsidRPr="0092058D">
        <w:rPr>
          <w:rFonts w:ascii="Times New Roman" w:eastAsia="Aptos" w:hAnsi="Times New Roman" w:cs="Times New Roman"/>
          <w:sz w:val="22"/>
          <w:szCs w:val="22"/>
          <w:lang w:val="en-GB"/>
        </w:rPr>
        <w:t xml:space="preserve"> test for persistence of the volume effect; under full reversion, these should be statistically indistinguishable from zero.</w:t>
      </w:r>
    </w:p>
    <w:p w14:paraId="62EAF848" w14:textId="73650CD7" w:rsidR="00FF72A7" w:rsidRPr="00CC1B6F" w:rsidRDefault="00197A88" w:rsidP="003F1841">
      <w:pPr>
        <w:pStyle w:val="Heading2"/>
        <w:numPr>
          <w:ilvl w:val="1"/>
          <w:numId w:val="37"/>
        </w:numPr>
        <w:rPr>
          <w:rFonts w:ascii="Times New Roman" w:hAnsi="Times New Roman" w:cs="Times New Roman"/>
          <w:lang w:val="en-GB"/>
        </w:rPr>
      </w:pPr>
      <w:bookmarkStart w:id="15" w:name="_Toc223269524"/>
      <w:r w:rsidRPr="00CC1B6F">
        <w:rPr>
          <w:rFonts w:ascii="Times New Roman" w:hAnsi="Times New Roman" w:cs="Times New Roman"/>
          <w:lang w:val="en-GB"/>
        </w:rPr>
        <w:t>Extended Specification</w:t>
      </w:r>
      <w:bookmarkEnd w:id="15"/>
    </w:p>
    <w:p w14:paraId="2EA75363" w14:textId="4CE36651" w:rsidR="00295C95" w:rsidRPr="00DB1616" w:rsidRDefault="00BF4021" w:rsidP="00A25E42">
      <w:pPr>
        <w:spacing w:before="240" w:after="120" w:line="360" w:lineRule="auto"/>
        <w:jc w:val="both"/>
        <w:rPr>
          <w:rFonts w:ascii="Times New Roman" w:hAnsi="Times New Roman" w:cs="Times New Roman"/>
          <w:sz w:val="22"/>
          <w:szCs w:val="22"/>
          <w:lang w:val="en-GB"/>
        </w:rPr>
      </w:pPr>
      <w:r w:rsidRPr="00BF4021">
        <w:rPr>
          <w:rFonts w:ascii="Times New Roman" w:hAnsi="Times New Roman" w:cs="Times New Roman"/>
          <w:sz w:val="22"/>
          <w:szCs w:val="22"/>
          <w:lang w:val="en-GB"/>
        </w:rPr>
        <w:t>To test Hypothesis 2, the baseline specification is augmented with triple interaction terms for both the active pilot period and the post-pilot period:</w:t>
      </w:r>
    </w:p>
    <w:p w14:paraId="49441B87" w14:textId="68207B50" w:rsidR="0048166B" w:rsidRPr="00EA32E2" w:rsidRDefault="008F73D5" w:rsidP="00295C95">
      <w:pPr>
        <w:spacing w:after="120" w:line="360" w:lineRule="auto"/>
        <w:jc w:val="both"/>
        <w:rPr>
          <w:rFonts w:ascii="Times New Roman" w:hAnsi="Times New Roman" w:cs="Times New Roman"/>
          <w:sz w:val="21"/>
          <w:szCs w:val="21"/>
          <w:lang w:val="en-GB"/>
        </w:rPr>
      </w:pPr>
      <m:oMathPara>
        <m:oMath>
          <m:sSub>
            <m:sSubPr>
              <m:ctrlPr>
                <w:rPr>
                  <w:rFonts w:ascii="Cambria Math" w:hAnsi="Cambria Math" w:cs="Times New Roman"/>
                  <w:sz w:val="21"/>
                  <w:szCs w:val="21"/>
                  <w:lang w:val="en-GB"/>
                </w:rPr>
              </m:ctrlPr>
            </m:sSubPr>
            <m:e>
              <m:r>
                <m:rPr>
                  <m:nor/>
                </m:rPr>
                <w:rPr>
                  <w:rFonts w:ascii="Times New Roman" w:hAnsi="Times New Roman" w:cs="Times New Roman"/>
                  <w:sz w:val="21"/>
                  <w:szCs w:val="21"/>
                  <w:lang w:val="en-GB"/>
                </w:rPr>
                <m:t>Volume</m:t>
              </m:r>
            </m:e>
            <m:sub>
              <m:r>
                <w:rPr>
                  <w:rFonts w:ascii="Cambria Math" w:hAnsi="Cambria Math" w:cs="Times New Roman"/>
                  <w:sz w:val="21"/>
                  <w:szCs w:val="21"/>
                  <w:lang w:val="en-GB"/>
                </w:rPr>
                <m:t>it</m:t>
              </m:r>
            </m:sub>
          </m:sSub>
          <m:r>
            <w:rPr>
              <w:rFonts w:ascii="Cambria Math" w:hAnsi="Cambria Math" w:cs="Times New Roman"/>
              <w:sz w:val="21"/>
              <w:szCs w:val="21"/>
              <w:lang w:val="en-GB"/>
            </w:rPr>
            <m:t>=</m:t>
          </m:r>
          <m:r>
            <w:rPr>
              <w:rFonts w:ascii="Cambria Math" w:hAnsi="Cambria Math" w:cs="Times New Roman"/>
              <w:sz w:val="21"/>
              <w:szCs w:val="21"/>
              <w:lang w:val="en-GB"/>
            </w:rPr>
            <m:t>α</m:t>
          </m:r>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m:t>
              </m:r>
              <m:r>
                <w:rPr>
                  <w:rFonts w:ascii="Cambria Math" w:hAnsi="Cambria Math" w:cs="Times New Roman"/>
                  <w:sz w:val="21"/>
                  <w:szCs w:val="21"/>
                  <w:lang w:val="en-GB"/>
                </w:rPr>
                <m:t>=1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TreatmentPeriod</m:t>
              </m:r>
            </m:e>
            <m:sub>
              <m:r>
                <w:rPr>
                  <w:rFonts w:ascii="Cambria Math" w:hAnsi="Cambria Math" w:cs="Times New Roman"/>
                  <w:sz w:val="21"/>
                  <w:szCs w:val="21"/>
                  <w:lang w:val="en-GB"/>
                </w:rPr>
                <m:t>t</m:t>
              </m:r>
            </m:sub>
          </m:sSub>
          <m:r>
            <w:rPr>
              <w:rFonts w:ascii="Cambria Math" w:hAnsi="Cambria Math" w:cs="Times New Roman"/>
              <w:sz w:val="21"/>
              <w:szCs w:val="21"/>
              <w:lang w:val="en-GB"/>
            </w:rPr>
            <m:t>)</m:t>
          </m:r>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m:t>
              </m:r>
              <m:r>
                <w:rPr>
                  <w:rFonts w:ascii="Cambria Math" w:hAnsi="Cambria Math" w:cs="Times New Roman"/>
                  <w:sz w:val="21"/>
                  <w:szCs w:val="21"/>
                  <w:lang w:val="en-GB"/>
                </w:rPr>
                <m:t>=1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λ</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PostPilot</m:t>
              </m:r>
            </m:e>
            <m:sub>
              <m:r>
                <w:rPr>
                  <w:rFonts w:ascii="Cambria Math" w:hAnsi="Cambria Math" w:cs="Times New Roman"/>
                  <w:sz w:val="21"/>
                  <w:szCs w:val="21"/>
                  <w:lang w:val="en-GB"/>
                </w:rPr>
                <m:t>t</m:t>
              </m:r>
            </m:sub>
          </m:sSub>
          <m:r>
            <w:rPr>
              <w:rFonts w:ascii="Cambria Math" w:hAnsi="Cambria Math" w:cs="Times New Roman"/>
              <w:sz w:val="21"/>
              <w:szCs w:val="21"/>
              <w:lang w:val="en-GB"/>
            </w:rPr>
            <m:t>)</m:t>
          </m:r>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m:t>
              </m:r>
              <m:r>
                <w:rPr>
                  <w:rFonts w:ascii="Cambria Math" w:hAnsi="Cambria Math" w:cs="Times New Roman"/>
                  <w:sz w:val="21"/>
                  <w:szCs w:val="21"/>
                  <w:lang w:val="en-GB"/>
                </w:rPr>
                <m:t>=1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TreatmentPeriod</m:t>
              </m:r>
            </m:e>
            <m:sub>
              <m:r>
                <w:rPr>
                  <w:rFonts w:ascii="Cambria Math" w:hAnsi="Cambria Math" w:cs="Times New Roman"/>
                  <w:sz w:val="21"/>
                  <w:szCs w:val="21"/>
                  <w:lang w:val="en-GB"/>
                </w:rPr>
                <m:t>t</m:t>
              </m:r>
            </m:sub>
          </m:sSub>
          <m:r>
            <w:rPr>
              <w:rFonts w:ascii="Cambria Math" w:hAnsi="Cambria Math" w:cs="Times New Roman"/>
              <w:sz w:val="21"/>
              <w:szCs w:val="21"/>
              <w:lang w:val="en-GB"/>
            </w:rPr>
            <m:t>×</m:t>
          </m:r>
          <m:r>
            <w:rPr>
              <w:rFonts w:ascii="Cambria Math" w:hAnsi="Cambria Math" w:cs="Times New Roman"/>
              <w:sz w:val="21"/>
              <w:szCs w:val="21"/>
              <w:lang w:val="en-GB"/>
            </w:rPr>
            <m:t>SmallSprea</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d</m:t>
              </m:r>
            </m:e>
            <m:sub>
              <m:r>
                <w:rPr>
                  <w:rFonts w:ascii="Cambria Math" w:hAnsi="Cambria Math" w:cs="Times New Roman"/>
                  <w:sz w:val="21"/>
                  <w:szCs w:val="21"/>
                  <w:lang w:val="en-GB"/>
                </w:rPr>
                <m:t>i</m:t>
              </m:r>
            </m:sub>
          </m:sSub>
          <m:r>
            <w:rPr>
              <w:rFonts w:ascii="Cambria Math" w:hAnsi="Cambria Math" w:cs="Times New Roman"/>
              <w:sz w:val="21"/>
              <w:szCs w:val="21"/>
              <w:lang w:val="en-GB"/>
            </w:rPr>
            <m:t>)</m:t>
          </m:r>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m:t>
              </m:r>
              <m:r>
                <w:rPr>
                  <w:rFonts w:ascii="Cambria Math" w:hAnsi="Cambria Math" w:cs="Times New Roman"/>
                  <w:sz w:val="21"/>
                  <w:szCs w:val="21"/>
                  <w:lang w:val="en-GB"/>
                </w:rPr>
                <m:t>=1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ϕ</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PostPilot</m:t>
              </m:r>
            </m:e>
            <m:sub>
              <m:r>
                <w:rPr>
                  <w:rFonts w:ascii="Cambria Math" w:hAnsi="Cambria Math" w:cs="Times New Roman"/>
                  <w:sz w:val="21"/>
                  <w:szCs w:val="21"/>
                  <w:lang w:val="en-GB"/>
                </w:rPr>
                <m:t>t</m:t>
              </m:r>
            </m:sub>
          </m:sSub>
          <m:r>
            <w:rPr>
              <w:rFonts w:ascii="Cambria Math" w:hAnsi="Cambria Math" w:cs="Times New Roman"/>
              <w:sz w:val="21"/>
              <w:szCs w:val="21"/>
              <w:lang w:val="en-GB"/>
            </w:rPr>
            <m:t>×</m:t>
          </m:r>
          <m:r>
            <w:rPr>
              <w:rFonts w:ascii="Cambria Math" w:hAnsi="Cambria Math" w:cs="Times New Roman"/>
              <w:sz w:val="21"/>
              <w:szCs w:val="21"/>
              <w:lang w:val="en-GB"/>
            </w:rPr>
            <m:t>SmallSprea</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d</m:t>
              </m:r>
            </m:e>
            <m:sub>
              <m:r>
                <w:rPr>
                  <w:rFonts w:ascii="Cambria Math" w:hAnsi="Cambria Math" w:cs="Times New Roman"/>
                  <w:sz w:val="21"/>
                  <w:szCs w:val="21"/>
                  <w:lang w:val="en-GB"/>
                </w:rPr>
                <m:t>i</m:t>
              </m:r>
            </m:sub>
          </m:sSub>
          <m:r>
            <w:rPr>
              <w:rFonts w:ascii="Cambria Math" w:hAnsi="Cambria Math" w:cs="Times New Roman"/>
              <w:sz w:val="21"/>
              <w:szCs w:val="21"/>
              <w:lang w:val="en-GB"/>
            </w:rPr>
            <m:t>)+</m:t>
          </m:r>
          <m:sSup>
            <m:sSupPr>
              <m:ctrlPr>
                <w:rPr>
                  <w:rFonts w:ascii="Cambria Math" w:hAnsi="Cambria Math" w:cs="Times New Roman"/>
                  <w:sz w:val="21"/>
                  <w:szCs w:val="21"/>
                  <w:lang w:val="en-GB"/>
                </w:rPr>
              </m:ctrlPr>
            </m:sSupPr>
            <m:e>
              <m:r>
                <w:rPr>
                  <w:rFonts w:ascii="Cambria Math" w:hAnsi="Cambria Math" w:cs="Times New Roman"/>
                  <w:sz w:val="21"/>
                  <w:szCs w:val="21"/>
                  <w:lang w:val="en-GB"/>
                </w:rPr>
                <m:t>θ</m:t>
              </m:r>
            </m:e>
            <m:sup>
              <m:r>
                <m:rPr>
                  <m:sty m:val="p"/>
                </m:rPr>
                <w:rPr>
                  <w:rFonts w:ascii="Cambria Math" w:hAnsi="Cambria Math" w:cs="Times New Roman"/>
                  <w:sz w:val="21"/>
                  <w:szCs w:val="21"/>
                  <w:lang w:val="en-GB"/>
                </w:rPr>
                <m:t>'</m:t>
              </m:r>
            </m:sup>
          </m:sSup>
          <m:sSub>
            <m:sSubPr>
              <m:ctrlPr>
                <w:rPr>
                  <w:rFonts w:ascii="Cambria Math" w:hAnsi="Cambria Math" w:cs="Times New Roman"/>
                  <w:sz w:val="21"/>
                  <w:szCs w:val="21"/>
                  <w:lang w:val="en-GB"/>
                </w:rPr>
              </m:ctrlPr>
            </m:sSubPr>
            <m:e>
              <m:r>
                <w:rPr>
                  <w:rFonts w:ascii="Cambria Math" w:hAnsi="Cambria Math" w:cs="Times New Roman"/>
                  <w:sz w:val="21"/>
                  <w:szCs w:val="21"/>
                  <w:lang w:val="en-GB"/>
                </w:rPr>
                <m:t>X</m:t>
              </m:r>
            </m:e>
            <m:sub>
              <m:r>
                <w:rPr>
                  <w:rFonts w:ascii="Cambria Math" w:hAnsi="Cambria Math" w:cs="Times New Roman"/>
                  <w:sz w:val="21"/>
                  <w:szCs w:val="21"/>
                  <w:lang w:val="en-GB"/>
                </w:rPr>
                <m:t>it</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δ</m:t>
              </m:r>
            </m:e>
            <m:sub>
              <m:r>
                <w:rPr>
                  <w:rFonts w:ascii="Cambria Math" w:hAnsi="Cambria Math" w:cs="Times New Roman"/>
                  <w:sz w:val="21"/>
                  <w:szCs w:val="21"/>
                  <w:lang w:val="en-GB"/>
                </w:rPr>
                <m:t>t</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ε</m:t>
              </m:r>
            </m:e>
            <m:sub>
              <m:r>
                <w:rPr>
                  <w:rFonts w:ascii="Cambria Math" w:hAnsi="Cambria Math" w:cs="Times New Roman"/>
                  <w:sz w:val="21"/>
                  <w:szCs w:val="21"/>
                  <w:lang w:val="en-GB"/>
                </w:rPr>
                <m:t>it</m:t>
              </m:r>
            </m:sub>
          </m:sSub>
        </m:oMath>
      </m:oMathPara>
    </w:p>
    <w:p w14:paraId="6436C292" w14:textId="3083BF06" w:rsidR="00295C95" w:rsidRPr="00EA32E2" w:rsidRDefault="00295C95" w:rsidP="00295C95">
      <w:pPr>
        <w:spacing w:after="120" w:line="360" w:lineRule="auto"/>
        <w:jc w:val="both"/>
        <w:rPr>
          <w:rFonts w:ascii="Times New Roman" w:hAnsi="Times New Roman" w:cs="Times New Roman"/>
          <w:sz w:val="2"/>
          <w:szCs w:val="2"/>
          <w:lang w:val="en-GB"/>
        </w:rPr>
      </w:pPr>
    </w:p>
    <w:p w14:paraId="604EA969" w14:textId="5BEE4D95" w:rsidR="00407357" w:rsidRPr="00DB1616" w:rsidRDefault="00407357" w:rsidP="00295C95">
      <w:pPr>
        <w:spacing w:after="120" w:line="360" w:lineRule="auto"/>
        <w:jc w:val="both"/>
        <w:rPr>
          <w:rFonts w:ascii="Times New Roman" w:hAnsi="Times New Roman" w:cs="Times New Roman"/>
          <w:sz w:val="22"/>
          <w:szCs w:val="22"/>
          <w:lang w:val="en-GB"/>
        </w:rPr>
      </w:pPr>
      <w:r w:rsidRPr="00DB1616">
        <w:rPr>
          <w:rFonts w:ascii="Times New Roman" w:hAnsi="Times New Roman" w:cs="Times New Roman"/>
          <w:sz w:val="22"/>
          <w:szCs w:val="22"/>
          <w:lang w:val="en-GB"/>
        </w:rPr>
        <w:t xml:space="preserve">Here, </w:t>
      </w:r>
      <m:oMath>
        <m:r>
          <w:rPr>
            <w:rFonts w:ascii="Cambria Math" w:hAnsi="Cambria Math" w:cs="Times New Roman"/>
            <w:sz w:val="22"/>
            <w:szCs w:val="22"/>
            <w:lang w:val="en-GB"/>
          </w:rPr>
          <m:t>SmallSprea</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d</m:t>
            </m:r>
          </m:e>
          <m:sub>
            <m:r>
              <w:rPr>
                <w:rFonts w:ascii="Cambria Math" w:hAnsi="Cambria Math" w:cs="Times New Roman"/>
                <w:sz w:val="22"/>
                <w:szCs w:val="22"/>
                <w:lang w:val="en-GB"/>
              </w:rPr>
              <m:t>i</m:t>
            </m:r>
          </m:sub>
        </m:sSub>
      </m:oMath>
      <w:r w:rsidRPr="00DB1616">
        <w:rPr>
          <w:rFonts w:ascii="Times New Roman" w:eastAsiaTheme="minorEastAsia" w:hAnsi="Times New Roman" w:cs="Times New Roman"/>
          <w:sz w:val="22"/>
          <w:szCs w:val="22"/>
          <w:lang w:val="en-GB"/>
        </w:rPr>
        <w:t xml:space="preserve"> </w:t>
      </w:r>
      <w:r w:rsidRPr="00DB1616">
        <w:rPr>
          <w:rFonts w:ascii="Times New Roman" w:hAnsi="Times New Roman" w:cs="Times New Roman"/>
          <w:sz w:val="22"/>
          <w:szCs w:val="22"/>
          <w:lang w:val="en-GB"/>
        </w:rPr>
        <w:t>is a binary indicator equal to one for stocks whose pre-treatment average dollar quoted spread is strictly below $0.05.</w:t>
      </w:r>
      <w:r w:rsidRPr="00407357">
        <w:rPr>
          <w:rFonts w:ascii="Times New Roman" w:hAnsi="Times New Roman" w:cs="Times New Roman"/>
          <w:sz w:val="22"/>
          <w:szCs w:val="22"/>
          <w:lang w:val="en-GB"/>
        </w:rPr>
        <w:t xml:space="preserve">The coefficients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capture the volume change for unconstrained stocks in each pilot group relative to control during the active pilot, while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λ</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captures whether that effect persists in the post-pilot period. The coefficients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capture the additional differential effect for constrained stocks during the active pilot over and above</w:t>
      </w:r>
      <w:r>
        <w:rPr>
          <w:rFonts w:ascii="Times New Roman" w:hAnsi="Times New Roman" w:cs="Times New Roman"/>
          <w:sz w:val="22"/>
          <w:szCs w:val="22"/>
          <w:lang w:val="en-GB"/>
        </w:rPr>
        <w:t xml:space="preserv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and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ϕ</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analogously captures any differential persistence in the post-pilot period. The total treatment effect during the active pilot for a constrained stock in group k is therefore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while for an unconstrained stock it is simply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sidRPr="00407357">
        <w:rPr>
          <w:rFonts w:ascii="Times New Roman" w:hAnsi="Times New Roman" w:cs="Times New Roman"/>
          <w:sz w:val="22"/>
          <w:szCs w:val="22"/>
          <w:lang w:val="en-GB"/>
        </w:rPr>
        <w:t xml:space="preserve">. Under H2, the predicted </w:t>
      </w:r>
      <w:r w:rsidRPr="00DB1616">
        <w:rPr>
          <w:rFonts w:ascii="Times New Roman" w:hAnsi="Times New Roman" w:cs="Times New Roman"/>
          <w:sz w:val="22"/>
          <w:szCs w:val="22"/>
          <w:lang w:val="en-GB"/>
        </w:rPr>
        <w:t xml:space="preserve">signs are </w:t>
      </w: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γ</m:t>
            </m:r>
          </m:e>
          <m:sub>
            <m:r>
              <w:rPr>
                <w:rFonts w:ascii="Cambria Math" w:hAnsi="Cambria Math" w:cs="Times New Roman"/>
                <w:sz w:val="22"/>
                <w:szCs w:val="22"/>
                <w:lang w:val="en-GB"/>
              </w:rPr>
              <m:t>1</m:t>
            </m:r>
          </m:sub>
        </m:sSub>
        <m:r>
          <w:rPr>
            <w:rFonts w:ascii="Cambria Math" w:hAnsi="Cambria Math" w:cs="Times New Roman"/>
            <w:sz w:val="22"/>
            <w:szCs w:val="22"/>
            <w:lang w:val="en-GB"/>
          </w:rPr>
          <m:t>&lt;0</m:t>
        </m:r>
      </m:oMath>
      <w:r w:rsidRPr="00DB1616">
        <w:rPr>
          <w:rFonts w:ascii="Times New Roman" w:hAnsi="Times New Roman" w:cs="Times New Roman"/>
          <w:sz w:val="22"/>
          <w:szCs w:val="22"/>
          <w:lang w:val="en-GB"/>
        </w:rPr>
        <w:t xml:space="preserve">, </w:t>
      </w: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γ</m:t>
            </m:r>
          </m:e>
          <m:sub>
            <m:r>
              <w:rPr>
                <w:rFonts w:ascii="Cambria Math" w:hAnsi="Cambria Math" w:cs="Times New Roman"/>
                <w:sz w:val="22"/>
                <w:szCs w:val="22"/>
                <w:lang w:val="en-GB"/>
              </w:rPr>
              <m:t>2</m:t>
            </m:r>
          </m:sub>
        </m:sSub>
        <m:r>
          <w:rPr>
            <w:rFonts w:ascii="Cambria Math" w:hAnsi="Cambria Math" w:cs="Times New Roman"/>
            <w:sz w:val="22"/>
            <w:szCs w:val="22"/>
            <w:lang w:val="en-GB"/>
          </w:rPr>
          <m:t>&lt;0</m:t>
        </m:r>
      </m:oMath>
      <w:r w:rsidRPr="00DB1616">
        <w:rPr>
          <w:rFonts w:ascii="Times New Roman" w:hAnsi="Times New Roman" w:cs="Times New Roman"/>
          <w:sz w:val="22"/>
          <w:szCs w:val="22"/>
          <w:lang w:val="en-GB"/>
        </w:rPr>
        <w:t xml:space="preserve">, and </w:t>
      </w: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γ</m:t>
            </m:r>
          </m:e>
          <m:sub>
            <m:r>
              <w:rPr>
                <w:rFonts w:ascii="Cambria Math" w:hAnsi="Cambria Math" w:cs="Times New Roman"/>
                <w:sz w:val="22"/>
                <w:szCs w:val="22"/>
                <w:lang w:val="en-GB"/>
              </w:rPr>
              <m:t>3</m:t>
            </m:r>
          </m:sub>
        </m:sSub>
        <m:r>
          <w:rPr>
            <w:rFonts w:ascii="Cambria Math" w:hAnsi="Cambria Math" w:cs="Times New Roman"/>
            <w:sz w:val="22"/>
            <w:szCs w:val="22"/>
            <w:lang w:val="en-GB"/>
          </w:rPr>
          <m:t>&lt;0</m:t>
        </m:r>
      </m:oMath>
      <w:r w:rsidRPr="00407357">
        <w:rPr>
          <w:rFonts w:ascii="Times New Roman" w:hAnsi="Times New Roman" w:cs="Times New Roman"/>
          <w:sz w:val="22"/>
          <w:szCs w:val="22"/>
          <w:lang w:val="en-GB"/>
        </w:rPr>
        <w:t>. Stocks with pre-treatment spreads at or above $0.05 serve as an implicit placebo subgroup within each treated group, for which no additional differential volume effect is expected.</w:t>
      </w:r>
    </w:p>
    <w:p w14:paraId="652A54BC" w14:textId="7CE79C22" w:rsidR="00104332" w:rsidRDefault="00104332" w:rsidP="003F1841">
      <w:pPr>
        <w:pStyle w:val="Heading2"/>
        <w:numPr>
          <w:ilvl w:val="1"/>
          <w:numId w:val="37"/>
        </w:numPr>
        <w:rPr>
          <w:rFonts w:ascii="Times New Roman" w:hAnsi="Times New Roman" w:cs="Times New Roman"/>
          <w:lang w:val="en-GB"/>
        </w:rPr>
      </w:pPr>
      <w:bookmarkStart w:id="16" w:name="_Toc223269525"/>
      <w:r w:rsidRPr="00CC1B6F">
        <w:rPr>
          <w:rFonts w:ascii="Times New Roman" w:hAnsi="Times New Roman" w:cs="Times New Roman"/>
          <w:lang w:val="en-GB"/>
        </w:rPr>
        <w:t>Control Variables</w:t>
      </w:r>
      <w:bookmarkEnd w:id="16"/>
    </w:p>
    <w:p w14:paraId="2F264CBF" w14:textId="11D42FE9" w:rsidR="00B11B03" w:rsidRDefault="00B11B03" w:rsidP="00A25E42">
      <w:pPr>
        <w:spacing w:before="240" w:after="120" w:line="360" w:lineRule="auto"/>
        <w:jc w:val="both"/>
        <w:rPr>
          <w:rFonts w:ascii="Times New Roman" w:eastAsia="Aptos" w:hAnsi="Times New Roman" w:cs="Times New Roman"/>
          <w:sz w:val="22"/>
          <w:szCs w:val="22"/>
          <w:lang w:val="en-GB"/>
        </w:rPr>
      </w:pPr>
      <w:r w:rsidRPr="00B11B03">
        <w:rPr>
          <w:rFonts w:ascii="Times New Roman" w:eastAsia="Aptos" w:hAnsi="Times New Roman" w:cs="Times New Roman"/>
          <w:sz w:val="22"/>
          <w:szCs w:val="22"/>
          <w:lang w:val="en-GB"/>
        </w:rPr>
        <w:t>The inverse of the midpoint price (Inv_Price) is included as a time-varying control, capturing the mechanical relationship between price level and the relative size of the tick increment. Contemporaneous return volatility is excluded because the pilot directly widens spreads and thus affects short-term volatility, making it an endogenous outcome of the treatment</w:t>
      </w:r>
      <w:r w:rsidR="000D6199">
        <w:rPr>
          <w:rFonts w:ascii="Times New Roman" w:eastAsia="Aptos" w:hAnsi="Times New Roman" w:cs="Times New Roman"/>
          <w:sz w:val="22"/>
          <w:szCs w:val="22"/>
          <w:lang w:val="en-GB"/>
        </w:rPr>
        <w:t xml:space="preserve">, such that </w:t>
      </w:r>
      <w:r w:rsidRPr="00B11B03">
        <w:rPr>
          <w:rFonts w:ascii="Times New Roman" w:eastAsia="Aptos" w:hAnsi="Times New Roman" w:cs="Times New Roman"/>
          <w:sz w:val="22"/>
          <w:szCs w:val="22"/>
          <w:lang w:val="en-GB"/>
        </w:rPr>
        <w:t>including it would introduce bad-control bias. Instead, we include the one-day lagged absolute return (L_abs_ret), which is predetermined relative to contemporaneous volume and captures intertemporal volatility persistence without introducing endogeneity. Firm and time fixed effects absorb time-invariant cross-sectional heterogeneity and aggregate market-wide shocks respectively.</w:t>
      </w:r>
    </w:p>
    <w:p w14:paraId="0ECB23C9" w14:textId="5CF945C7" w:rsidR="000F516E" w:rsidRDefault="00FB507A" w:rsidP="00A25E42">
      <w:pPr>
        <w:spacing w:before="240" w:after="120" w:line="360" w:lineRule="auto"/>
        <w:jc w:val="both"/>
        <w:rPr>
          <w:rFonts w:ascii="Times New Roman" w:eastAsia="Aptos" w:hAnsi="Times New Roman" w:cs="Times New Roman"/>
          <w:sz w:val="22"/>
          <w:szCs w:val="22"/>
          <w:lang w:val="en-GB"/>
        </w:rPr>
      </w:pPr>
      <w:r w:rsidRPr="00E42D44">
        <w:rPr>
          <w:rFonts w:ascii="Times New Roman" w:eastAsia="Aptos" w:hAnsi="Times New Roman" w:cs="Times New Roman"/>
          <w:sz w:val="22"/>
          <w:szCs w:val="22"/>
          <w:highlight w:val="yellow"/>
          <w:lang w:val="en-GB"/>
        </w:rPr>
        <w:t>In our empirical specifications, the inverse of the midpoint price (Inv_Price) is included as a time-varying control variable. It captures the mechanical relationship between the price level and the relative size of the tick increment, as lower-priced stocks face a proportionally larger minimum spread floor. Crucially, we retain this control in the extended triple-interaction model (H2). While the SmallSpread indicator is a static pre-treatment classification identifying stocks historically constrained by the tick, Inv_Price captures contemporaneous daily price fluctuations. Including it ensures that the differential volume reduction hypothesized for constrained stocks is not confounded by time-varying price effects. Furthermore, contemporaneous stock return volatility is excluded despite its well-documented positive correlation with trading volume. Because the pilot widens the bid-ask spread, it directly affects short-term measured volatility, rendering contemporaneous volatility an endogenous outcome of the regulatory change. Including it would introduce bad-control bias by absorbing part of the treatment effect. Instead, firm fixed effects absorb time-invariant baseline volatility differences, and time fixed effects absorb aggregate market-wide shocks. However, to account for short-term intertemporal volatility persistence and investor attention, we introduce the one-day lagged absolute return (L_abs_ret). Because the lagged return is pre-determined relative to the contemporaneous trading volume, it mitigates endogeneity concerns while effectively capturing the tendency of turbulent trading days to be followed by elevated trading activity.</w:t>
      </w:r>
      <w:r w:rsidR="00E42D44">
        <w:rPr>
          <w:rFonts w:ascii="Times New Roman" w:eastAsia="Aptos" w:hAnsi="Times New Roman" w:cs="Times New Roman"/>
          <w:sz w:val="22"/>
          <w:szCs w:val="22"/>
          <w:lang w:val="en-GB"/>
        </w:rPr>
        <w:t xml:space="preserve"> </w:t>
      </w:r>
      <w:r w:rsidR="00E42D44" w:rsidRPr="00037DB6">
        <w:rPr>
          <w:rFonts w:ascii="Times New Roman" w:eastAsia="Aptos" w:hAnsi="Times New Roman" w:cs="Times New Roman"/>
          <w:b/>
          <w:bCs/>
          <w:sz w:val="22"/>
          <w:szCs w:val="22"/>
          <w:lang w:val="en-GB"/>
        </w:rPr>
        <w:t>[OLD, which is shortend above, so all can fit 2 pages]</w:t>
      </w:r>
    </w:p>
    <w:p w14:paraId="72736B83" w14:textId="77777777" w:rsidR="000F516E" w:rsidRDefault="000F516E">
      <w:pPr>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br w:type="page"/>
      </w:r>
    </w:p>
    <w:p w14:paraId="27AE561D" w14:textId="5B2ADEB9" w:rsidR="00AD718A" w:rsidRPr="00EA32E2" w:rsidRDefault="7EC9478A" w:rsidP="003F1841">
      <w:pPr>
        <w:pStyle w:val="Heading1"/>
        <w:numPr>
          <w:ilvl w:val="0"/>
          <w:numId w:val="39"/>
        </w:numPr>
        <w:rPr>
          <w:rFonts w:eastAsiaTheme="minorEastAsia" w:cs="Times New Roman"/>
          <w:lang w:val="en-GB"/>
        </w:rPr>
      </w:pPr>
      <w:bookmarkStart w:id="17" w:name="_Toc223269526"/>
      <w:r w:rsidRPr="00EA32E2">
        <w:rPr>
          <w:rFonts w:eastAsiaTheme="minorEastAsia" w:cs="Times New Roman"/>
          <w:lang w:val="en-GB"/>
        </w:rPr>
        <w:t>Data</w:t>
      </w:r>
      <w:bookmarkEnd w:id="17"/>
    </w:p>
    <w:p w14:paraId="43EB4D61" w14:textId="3E674AED" w:rsidR="7EC9478A" w:rsidRPr="00CC1B6F" w:rsidRDefault="7EC9478A" w:rsidP="584DBFE9">
      <w:pPr>
        <w:spacing w:after="120" w:line="360" w:lineRule="auto"/>
        <w:jc w:val="both"/>
        <w:rPr>
          <w:rFonts w:ascii="Times New Roman" w:hAnsi="Times New Roman" w:cs="Times New Roman"/>
          <w:lang w:val="en-GB" w:eastAsia="de-DE"/>
        </w:rPr>
      </w:pPr>
      <w:r w:rsidRPr="584DBFE9">
        <w:rPr>
          <w:rFonts w:ascii="Times New Roman" w:eastAsia="Aptos" w:hAnsi="Times New Roman" w:cs="Times New Roman"/>
          <w:sz w:val="22"/>
          <w:szCs w:val="22"/>
          <w:lang w:val="en-GB"/>
        </w:rPr>
        <w:t>This section describes the data sources, sample construction, and variable definitions underlying the empirical analysis. It outlines the filtering procedures implemented to ensure a clean identification of the regulatory shock and explains the construction of the key treatment and liquidity measures. The resulting dataset forms the foundation for the difference-in-differences estimations presented below.</w:t>
      </w:r>
    </w:p>
    <w:p w14:paraId="43843F6E" w14:textId="16DF01BA" w:rsidR="00CF49A1" w:rsidRPr="004F487D" w:rsidRDefault="009C761C" w:rsidP="009C761C">
      <w:pPr>
        <w:pStyle w:val="Heading2"/>
        <w:numPr>
          <w:ilvl w:val="0"/>
          <w:numId w:val="0"/>
        </w:numPr>
        <w:rPr>
          <w:rFonts w:ascii="Times New Roman" w:hAnsi="Times New Roman" w:cs="Times New Roman"/>
          <w:lang w:val="en-GB"/>
        </w:rPr>
      </w:pPr>
      <w:bookmarkStart w:id="18" w:name="_Toc223269527"/>
      <w:r>
        <w:rPr>
          <w:rFonts w:ascii="Times New Roman" w:hAnsi="Times New Roman" w:cs="Times New Roman"/>
          <w:lang w:val="en-GB"/>
        </w:rPr>
        <w:t>3.1</w:t>
      </w:r>
      <w:r>
        <w:rPr>
          <w:rFonts w:ascii="Times New Roman" w:hAnsi="Times New Roman" w:cs="Times New Roman"/>
          <w:lang w:val="en-GB"/>
        </w:rPr>
        <w:tab/>
      </w:r>
      <w:r w:rsidR="00CF49A1" w:rsidRPr="00CC1B6F">
        <w:rPr>
          <w:rFonts w:ascii="Times New Roman" w:hAnsi="Times New Roman" w:cs="Times New Roman"/>
          <w:lang w:val="en-GB"/>
        </w:rPr>
        <w:t>Data Construction and Sample Selection</w:t>
      </w:r>
      <w:bookmarkEnd w:id="18"/>
    </w:p>
    <w:p w14:paraId="043EFC3E" w14:textId="6EEC75B5" w:rsidR="004E3F59" w:rsidRPr="00DB1616" w:rsidRDefault="004E3F59" w:rsidP="00A25E42">
      <w:pPr>
        <w:spacing w:before="240"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We use daily stock-level data from the Center for Research in Security Prices (CRSP) over the period January 1, 2016 to April 30, 2019, consistent with Albuquerque et al. (2020). Stocks are identified using the CRSP PERMNO and merged with the SEC Tick Size Pilot treatment-control assignment list. The final sample consists exclusively of firms included in the SEC experiment.</w:t>
      </w:r>
    </w:p>
    <w:p w14:paraId="51C2ACB0" w14:textId="77777777" w:rsidR="004E3F59" w:rsidRPr="00DB1616" w:rsidRDefault="004E3F59" w:rsidP="004E3F59">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To ensure that the analysis isolates the causal impact of the tick size increase rather than confounding corporate events, several filters are applied.</w:t>
      </w:r>
      <w:r w:rsidR="00E263F6" w:rsidRPr="00DB1616">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 xml:space="preserve">Firms that undergo mergers or acquisitions during the sample period are fully excluded, as such events generate abnormal trading activity that could bias estimated treatment effects. </w:t>
      </w:r>
      <w:r w:rsidR="004F487D" w:rsidRPr="004F487D">
        <w:rPr>
          <w:rFonts w:ascii="Times New Roman" w:eastAsia="Aptos" w:hAnsi="Times New Roman" w:cs="Times New Roman"/>
          <w:sz w:val="22"/>
          <w:szCs w:val="22"/>
          <w:lang w:val="en-GB"/>
        </w:rPr>
        <w:t>Observations associated with delistings (delisting codes between 400 and 599) are removed to mitigate distortions arising from terminal trading behavior. Additionally, only ordinary common shares with share codes of 10 or 11 are retained</w:t>
      </w:r>
      <w:r w:rsidRPr="00DB1616">
        <w:rPr>
          <w:rFonts w:ascii="Times New Roman" w:eastAsia="Aptos" w:hAnsi="Times New Roman" w:cs="Times New Roman"/>
          <w:sz w:val="22"/>
          <w:szCs w:val="22"/>
          <w:lang w:val="en-GB"/>
        </w:rPr>
        <w:t>.</w:t>
      </w:r>
    </w:p>
    <w:p w14:paraId="1D76102A" w14:textId="46A195E3" w:rsidR="004F487D" w:rsidRPr="004F487D" w:rsidRDefault="004F487D" w:rsidP="004F487D">
      <w:pPr>
        <w:spacing w:after="120" w:line="360" w:lineRule="auto"/>
        <w:jc w:val="both"/>
        <w:rPr>
          <w:rFonts w:ascii="Times New Roman" w:eastAsia="Aptos" w:hAnsi="Times New Roman" w:cs="Times New Roman"/>
          <w:sz w:val="22"/>
          <w:szCs w:val="22"/>
          <w:lang w:val="en-GB"/>
        </w:rPr>
      </w:pPr>
      <w:r w:rsidRPr="004F487D">
        <w:rPr>
          <w:rFonts w:ascii="Times New Roman" w:eastAsia="Aptos" w:hAnsi="Times New Roman" w:cs="Times New Roman"/>
          <w:sz w:val="22"/>
          <w:szCs w:val="22"/>
          <w:lang w:val="en-GB"/>
        </w:rPr>
        <w:t>Regarding penny stocks, we deliberately depart from applying a strict firm-level exclusion for stocks that ever drop below an absolute price of $1 during the pilot. Instead, we exclude only the specific daily observations where the absolute price falls below $1. Removing an entire firm from the panel simply because its price temporarily breaches this threshold introduces severe selection bias. Because the tick size increase inherently exerts downward pressure on stock prices, dropping entire firms would systematically eliminate the very stocks most adversely affected by the treatment. This violates the Intention-To-Treat (ITT) principle and compromises the exogeneity of the SEC’s randomized assignment. Furthermore, applying an ex-post firm-level filter unnecessarily deletes nearly 100,000 valid observations</w:t>
      </w:r>
      <w:r w:rsidR="00C70F2D">
        <w:rPr>
          <w:rFonts w:ascii="Times New Roman" w:eastAsia="Aptos" w:hAnsi="Times New Roman" w:cs="Times New Roman"/>
          <w:sz w:val="22"/>
          <w:szCs w:val="22"/>
          <w:lang w:val="en-GB"/>
        </w:rPr>
        <w:t xml:space="preserve">, </w:t>
      </w:r>
      <w:r w:rsidRPr="004F487D">
        <w:rPr>
          <w:rFonts w:ascii="Times New Roman" w:eastAsia="Aptos" w:hAnsi="Times New Roman" w:cs="Times New Roman"/>
          <w:sz w:val="22"/>
          <w:szCs w:val="22"/>
          <w:lang w:val="en-GB"/>
        </w:rPr>
        <w:t xml:space="preserve">specifically the low-priced, constrained stocks that are crucial for our heterogeneous analysis. Empirically, this selection bias artificially diminishes the statistical power of our second hypothesis: when enforcing the firm-level drop, the triple-interaction coefficients for constrained stocks lose conventional significance (e.g., Group 1: -0.120, p = 0.124; Group 3: -0.171, p </w:t>
      </w:r>
      <w:r>
        <w:rPr>
          <w:rFonts w:ascii="Times New Roman" w:eastAsia="Aptos" w:hAnsi="Times New Roman" w:cs="Times New Roman"/>
          <w:sz w:val="22"/>
          <w:szCs w:val="22"/>
          <w:lang w:val="en-GB"/>
        </w:rPr>
        <w:t>=</w:t>
      </w:r>
      <w:r w:rsidRPr="004F487D">
        <w:rPr>
          <w:rFonts w:ascii="Times New Roman" w:eastAsia="Aptos" w:hAnsi="Times New Roman" w:cs="Times New Roman"/>
          <w:sz w:val="22"/>
          <w:szCs w:val="22"/>
          <w:lang w:val="en-GB"/>
        </w:rPr>
        <w:t xml:space="preserve"> 0.053). Conversely, by employing the daily-level ITT approach, we effectively filter out extreme microstructure noise while preserving the sample's vital variance, yielding strong and statistically significant heterogeneous effects (Group 1: -0.169, p = 0.031; Group 3: -0.192, p = 0.048).</w:t>
      </w:r>
    </w:p>
    <w:p w14:paraId="3428FA08" w14:textId="42D20A19" w:rsidR="004F487D" w:rsidRPr="00DB1616" w:rsidRDefault="004F487D" w:rsidP="004E3F59">
      <w:pPr>
        <w:spacing w:after="120" w:line="360" w:lineRule="auto"/>
        <w:jc w:val="both"/>
        <w:rPr>
          <w:rFonts w:ascii="Times New Roman" w:eastAsia="Aptos" w:hAnsi="Times New Roman" w:cs="Times New Roman"/>
          <w:sz w:val="22"/>
          <w:szCs w:val="22"/>
          <w:lang w:val="en-GB"/>
        </w:rPr>
      </w:pPr>
      <w:r w:rsidRPr="004F487D">
        <w:rPr>
          <w:rFonts w:ascii="Times New Roman" w:eastAsia="Aptos" w:hAnsi="Times New Roman" w:cs="Times New Roman"/>
          <w:sz w:val="22"/>
          <w:szCs w:val="22"/>
          <w:lang w:val="en-GB"/>
        </w:rPr>
        <w:t>Continuous trading variables are further cleaned by removing observations with non-positive volume or shares outstanding, as well as cases in which the quoted ask does not exceed the bid. To limit the influence of extreme outliers, turnover, volume, spreads, and price-based controls are winsorized at the 1st and 99th percentiles. Finally, to construct the SmallSpread indicator used in the heterogeneous analysis, each stock’s average dollar quoted spread is computed over the six-month pre-implementation window corresponding to its activation date. Stocks with an average spread strictly below $0.05 are classified as constrained, consistent with the binding-threshold definition in Albuquerque et al. (2020).</w:t>
      </w:r>
    </w:p>
    <w:p w14:paraId="33EDE717" w14:textId="77B90405" w:rsidR="00B27006" w:rsidRPr="00CC1B6F" w:rsidRDefault="009C761C" w:rsidP="009C761C">
      <w:pPr>
        <w:pStyle w:val="Heading2"/>
        <w:numPr>
          <w:ilvl w:val="0"/>
          <w:numId w:val="0"/>
        </w:numPr>
        <w:rPr>
          <w:rFonts w:ascii="Times New Roman" w:hAnsi="Times New Roman" w:cs="Times New Roman"/>
          <w:lang w:val="en-GB"/>
        </w:rPr>
      </w:pPr>
      <w:bookmarkStart w:id="19" w:name="_Toc223269528"/>
      <w:r>
        <w:rPr>
          <w:rFonts w:ascii="Times New Roman" w:hAnsi="Times New Roman" w:cs="Times New Roman"/>
          <w:lang w:val="en-GB"/>
        </w:rPr>
        <w:t xml:space="preserve">3.2 </w:t>
      </w:r>
      <w:r w:rsidR="00675C55">
        <w:rPr>
          <w:rFonts w:ascii="Times New Roman" w:hAnsi="Times New Roman" w:cs="Times New Roman"/>
          <w:lang w:val="en-GB"/>
        </w:rPr>
        <w:tab/>
      </w:r>
      <w:r w:rsidR="00F82EFF" w:rsidRPr="00CC1B6F">
        <w:rPr>
          <w:rFonts w:ascii="Times New Roman" w:hAnsi="Times New Roman" w:cs="Times New Roman"/>
          <w:lang w:val="en-GB"/>
        </w:rPr>
        <w:t>Variable Construction</w:t>
      </w:r>
      <w:bookmarkEnd w:id="19"/>
    </w:p>
    <w:p w14:paraId="096DCF2F" w14:textId="71FF0A28" w:rsidR="00090DD0" w:rsidRPr="00DB1616" w:rsidRDefault="00090DD0" w:rsidP="00A25E42">
      <w:pPr>
        <w:spacing w:before="240"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The primary dependent variable is daily trading activity measured at the stock–day level. Consistent with the microstructure literature, trading activity is captured by share turnover, defined as the ratio of daily share volume (vol) to shares outstanding (shrout). Turnover provides a scale-adjusted measure of trading intensity that facilitates comparability across firms of different sizes. The main outcome variable, </w:t>
      </w:r>
      <m:oMath>
        <m:r>
          <m:rPr>
            <m:sty m:val="p"/>
          </m:rPr>
          <w:rPr>
            <w:rFonts w:ascii="Cambria Math" w:eastAsia="Aptos" w:hAnsi="Cambria Math" w:cs="Times New Roman"/>
            <w:sz w:val="22"/>
            <w:szCs w:val="22"/>
            <w:lang w:val="en-GB"/>
          </w:rPr>
          <m:t>ln⁡(</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Turnover</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oMath>
      <w:r w:rsidRPr="00DB1616">
        <w:rPr>
          <w:rFonts w:ascii="Times New Roman" w:eastAsia="Aptos" w:hAnsi="Times New Roman" w:cs="Times New Roman"/>
          <w:sz w:val="22"/>
          <w:szCs w:val="22"/>
          <w:lang w:val="en-GB"/>
        </w:rPr>
        <w:t>, is constructed as the natural logarithm of daily turnover after winsorization. Logarithmic transformation reduces skewness and allows estimated coefficients to be interpreted approximately as percentage changes. For descriptive purposes, the logarithm of share volume is also computed, though it is not used in the baseline regressions.</w:t>
      </w:r>
    </w:p>
    <w:p w14:paraId="54B1ED21" w14:textId="78B62EB2" w:rsidR="00090DD0" w:rsidRPr="00DB1616" w:rsidRDefault="00090DD0" w:rsidP="00090DD0">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Quoted spreads are constructed as the daily difference between the best ask and best bid prices,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Spread</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Ask</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Bid</m:t>
            </m:r>
          </m:e>
          <m:sub>
            <m:r>
              <w:rPr>
                <w:rFonts w:ascii="Cambria Math" w:eastAsia="Aptos" w:hAnsi="Cambria Math" w:cs="Times New Roman"/>
                <w:sz w:val="22"/>
                <w:szCs w:val="22"/>
                <w:lang w:val="en-GB"/>
              </w:rPr>
              <m:t>it</m:t>
            </m:r>
          </m:sub>
        </m:sSub>
      </m:oMath>
      <w:r w:rsidRPr="00DB1616">
        <w:rPr>
          <w:rFonts w:ascii="Times New Roman" w:eastAsia="Aptos" w:hAnsi="Times New Roman" w:cs="Times New Roman"/>
          <w:sz w:val="22"/>
          <w:szCs w:val="22"/>
          <w:lang w:val="en-GB"/>
        </w:rPr>
        <w:t>. Observations in which the quoted ask does not exceed the bid are removed to ensure economically meaningful spread values. The spread measure serves two purposes: it underlies the construction of the binding-constraint indicator and provides descriptive evidence on pre-treatment liquidity conditions.</w:t>
      </w:r>
    </w:p>
    <w:p w14:paraId="4AAEF6E3" w14:textId="42346302" w:rsidR="00090DD0" w:rsidRPr="00DB1616" w:rsidRDefault="00090DD0" w:rsidP="46C7C4B3">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The key treatment variables correspond to the SEC pilot group assignments. Indicator variables</w:t>
      </w:r>
    </w:p>
    <w:p w14:paraId="48E2E786" w14:textId="2A1AED73" w:rsidR="00090DD0" w:rsidRPr="00DB1616" w:rsidRDefault="00090DD0" w:rsidP="00090DD0">
      <w:pPr>
        <w:spacing w:after="120" w:line="360" w:lineRule="auto"/>
        <w:jc w:val="both"/>
        <w:rPr>
          <w:rFonts w:ascii="Times New Roman" w:eastAsia="Aptos" w:hAnsi="Times New Roman" w:cs="Times New Roman"/>
          <w:sz w:val="22"/>
          <w:szCs w:val="22"/>
          <w:lang w:val="en-GB"/>
        </w:rPr>
      </w:pPr>
      <m:oMath>
        <m:r>
          <w:rPr>
            <w:rFonts w:ascii="Cambria Math" w:eastAsia="Aptos" w:hAnsi="Cambria Math" w:cs="Times New Roman"/>
            <w:sz w:val="22"/>
            <w:szCs w:val="22"/>
            <w:lang w:val="en-GB"/>
          </w:rPr>
          <m:t>G</m:t>
        </m:r>
        <m:sSub>
          <m:sSubPr>
            <m:ctrlPr>
              <w:rPr>
                <w:rFonts w:ascii="Cambria Math" w:eastAsia="Aptos" w:hAnsi="Cambria Math" w:cs="Times New Roman"/>
                <w:sz w:val="22"/>
                <w:szCs w:val="22"/>
                <w:lang w:val="en-GB"/>
              </w:rPr>
            </m:ctrlPr>
          </m:sSubPr>
          <m:e>
            <m:r>
              <m:rPr>
                <m:sty m:val="p"/>
              </m:rPr>
              <w:rPr>
                <w:rFonts w:ascii="Cambria Math" w:eastAsia="Aptos" w:hAnsi="Cambria Math" w:cs="Times New Roman"/>
                <w:sz w:val="22"/>
                <w:szCs w:val="22"/>
                <w:lang w:val="en-GB"/>
              </w:rPr>
              <m:t>1</m:t>
            </m:r>
          </m:e>
          <m:sub>
            <m:r>
              <w:rPr>
                <w:rFonts w:ascii="Cambria Math" w:eastAsia="Aptos" w:hAnsi="Cambria Math" w:cs="Times New Roman"/>
                <w:sz w:val="22"/>
                <w:szCs w:val="22"/>
                <w:lang w:val="en-GB"/>
              </w:rPr>
              <m:t>i</m:t>
            </m:r>
          </m:sub>
        </m:sSub>
      </m:oMath>
      <w:r w:rsidRPr="00DB1616">
        <w:rPr>
          <w:rFonts w:ascii="Times New Roman" w:eastAsia="Aptos" w:hAnsi="Times New Roman" w:cs="Times New Roman"/>
          <w:sz w:val="22"/>
          <w:szCs w:val="22"/>
          <w:lang w:val="en-GB"/>
        </w:rPr>
        <w:t xml:space="preserve"> </w:t>
      </w:r>
      <m:oMath>
        <m:r>
          <w:rPr>
            <w:rFonts w:ascii="Cambria Math" w:eastAsia="Aptos" w:hAnsi="Cambria Math" w:cs="Times New Roman"/>
            <w:sz w:val="22"/>
            <w:szCs w:val="22"/>
            <w:lang w:val="en-GB"/>
          </w:rPr>
          <m:t>G</m:t>
        </m:r>
        <m:sSub>
          <m:sSubPr>
            <m:ctrlPr>
              <w:rPr>
                <w:rFonts w:ascii="Cambria Math" w:eastAsia="Aptos" w:hAnsi="Cambria Math" w:cs="Times New Roman"/>
                <w:sz w:val="22"/>
                <w:szCs w:val="22"/>
                <w:lang w:val="en-GB"/>
              </w:rPr>
            </m:ctrlPr>
          </m:sSubPr>
          <m:e>
            <m:r>
              <m:rPr>
                <m:sty m:val="p"/>
              </m:rPr>
              <w:rPr>
                <w:rFonts w:ascii="Cambria Math" w:eastAsia="Aptos" w:hAnsi="Cambria Math" w:cs="Times New Roman"/>
                <w:sz w:val="22"/>
                <w:szCs w:val="22"/>
                <w:lang w:val="en-GB"/>
              </w:rPr>
              <m:t>2</m:t>
            </m:r>
          </m:e>
          <m:sub>
            <m:r>
              <w:rPr>
                <w:rFonts w:ascii="Cambria Math" w:eastAsia="Aptos" w:hAnsi="Cambria Math" w:cs="Times New Roman"/>
                <w:sz w:val="22"/>
                <w:szCs w:val="22"/>
                <w:lang w:val="en-GB"/>
              </w:rPr>
              <m:t>i</m:t>
            </m:r>
          </m:sub>
        </m:sSub>
      </m:oMath>
      <w:r w:rsidRPr="00DB1616">
        <w:rPr>
          <w:rFonts w:ascii="Times New Roman" w:eastAsia="Aptos" w:hAnsi="Times New Roman" w:cs="Times New Roman"/>
          <w:sz w:val="22"/>
          <w:szCs w:val="22"/>
          <w:lang w:val="en-GB"/>
        </w:rPr>
        <w:t xml:space="preserve">, </w:t>
      </w:r>
      <w:r w:rsidR="2A065CEC" w:rsidRPr="00DB1616">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 xml:space="preserve">and </w:t>
      </w:r>
      <m:oMath>
        <m:r>
          <w:rPr>
            <w:rFonts w:ascii="Cambria Math" w:eastAsia="Aptos" w:hAnsi="Cambria Math" w:cs="Times New Roman"/>
            <w:sz w:val="22"/>
            <w:szCs w:val="22"/>
            <w:lang w:val="en-GB"/>
          </w:rPr>
          <m:t>G</m:t>
        </m:r>
        <m:sSub>
          <m:sSubPr>
            <m:ctrlPr>
              <w:rPr>
                <w:rFonts w:ascii="Cambria Math" w:eastAsia="Aptos" w:hAnsi="Cambria Math" w:cs="Times New Roman"/>
                <w:sz w:val="22"/>
                <w:szCs w:val="22"/>
                <w:lang w:val="en-GB"/>
              </w:rPr>
            </m:ctrlPr>
          </m:sSubPr>
          <m:e>
            <m:r>
              <m:rPr>
                <m:sty m:val="p"/>
              </m:rPr>
              <w:rPr>
                <w:rFonts w:ascii="Cambria Math" w:eastAsia="Aptos" w:hAnsi="Cambria Math" w:cs="Times New Roman"/>
                <w:sz w:val="22"/>
                <w:szCs w:val="22"/>
                <w:lang w:val="en-GB"/>
              </w:rPr>
              <m:t>3</m:t>
            </m:r>
          </m:e>
          <m:sub>
            <m:r>
              <w:rPr>
                <w:rFonts w:ascii="Cambria Math" w:eastAsia="Aptos" w:hAnsi="Cambria Math" w:cs="Times New Roman"/>
                <w:sz w:val="22"/>
                <w:szCs w:val="22"/>
                <w:lang w:val="en-GB"/>
              </w:rPr>
              <m:t>i</m:t>
            </m:r>
          </m:sub>
        </m:sSub>
      </m:oMath>
      <w:r w:rsidR="00A8406C" w:rsidRPr="00DB1616">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 xml:space="preserve">identify stocks assigned to each of the three treatment groups, while control stocks constitute the omitted category. The treatment period indicator,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Post</m:t>
            </m:r>
          </m:e>
          <m:sub>
            <m:r>
              <w:rPr>
                <w:rFonts w:ascii="Cambria Math" w:eastAsia="Aptos" w:hAnsi="Cambria Math" w:cs="Times New Roman"/>
                <w:sz w:val="22"/>
                <w:szCs w:val="22"/>
                <w:lang w:val="en-GB"/>
              </w:rPr>
              <m:t>t</m:t>
            </m:r>
          </m:sub>
        </m:sSub>
      </m:oMath>
      <w:r w:rsidRPr="00DB1616">
        <w:rPr>
          <w:rFonts w:ascii="Times New Roman" w:eastAsia="Aptos" w:hAnsi="Times New Roman" w:cs="Times New Roman"/>
          <w:sz w:val="22"/>
          <w:szCs w:val="22"/>
          <w:lang w:val="en-GB"/>
        </w:rPr>
        <w:t xml:space="preserve">, </w:t>
      </w:r>
      <w:r w:rsidR="0843E518" w:rsidRPr="00DB1616">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equals one during the pilot implementation window (October 17, 2016 to September 28, 2018 for Groups 1 and 2; October 31, 2016 to September 28, 2018 for Group 3) and zero otherwise. These indicators generate the difference-in-differences interactions that identify the average treatment effects.</w:t>
      </w:r>
    </w:p>
    <w:p w14:paraId="43D8E608" w14:textId="49E8F572" w:rsidR="00090DD0" w:rsidRPr="00DB1616" w:rsidRDefault="00090DD0" w:rsidP="00090DD0">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To capture heterogeneity in exposure to the regulatory change, a pre-treatment binding constraint indicator,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SmallSpread</m:t>
            </m:r>
          </m:e>
          <m:sub>
            <m:r>
              <w:rPr>
                <w:rFonts w:ascii="Cambria Math" w:eastAsia="Aptos" w:hAnsi="Cambria Math" w:cs="Times New Roman"/>
                <w:sz w:val="22"/>
                <w:szCs w:val="22"/>
                <w:lang w:val="en-GB"/>
              </w:rPr>
              <m:t>i</m:t>
            </m:r>
          </m:sub>
        </m:sSub>
      </m:oMath>
      <w:r w:rsidRPr="00DB1616">
        <w:rPr>
          <w:rFonts w:ascii="Times New Roman" w:eastAsia="Aptos" w:hAnsi="Times New Roman" w:cs="Times New Roman"/>
          <w:sz w:val="22"/>
          <w:szCs w:val="22"/>
          <w:lang w:val="en-GB"/>
        </w:rPr>
        <w:t>, is</w:t>
      </w:r>
      <w:r w:rsidR="1BECF519" w:rsidRPr="00DB1616">
        <w:rPr>
          <w:rFonts w:ascii="Times New Roman" w:eastAsia="Aptos" w:hAnsi="Times New Roman" w:cs="Times New Roman"/>
          <w:sz w:val="22"/>
          <w:szCs w:val="22"/>
          <w:lang w:val="en-GB"/>
        </w:rPr>
        <w:t xml:space="preserve"> </w:t>
      </w:r>
      <w:r w:rsidRPr="00DB1616">
        <w:rPr>
          <w:rFonts w:ascii="Times New Roman" w:eastAsia="Aptos" w:hAnsi="Times New Roman" w:cs="Times New Roman"/>
          <w:sz w:val="22"/>
          <w:szCs w:val="22"/>
          <w:lang w:val="en-GB"/>
        </w:rPr>
        <w:t>constructed. For each stock, the average dollar quoted spread is computed over the six-month pre-implementation window corresponding to its activation date. The firm-level pre-period average is then assigned to all observations for that stock. Stocks whose average pre-treatment spread is strictly below $0.05 are classified as constrained. This classification reflects whether the new $0.05 minimum tick is likely to bind relative to the stock’s prior equilibrium spread.</w:t>
      </w:r>
    </w:p>
    <w:p w14:paraId="72FD9F63" w14:textId="77777777" w:rsidR="00090DD0" w:rsidRPr="00DB1616" w:rsidRDefault="00090DD0" w:rsidP="00090DD0">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A single time-varying control variable is included: the inverse of the daily midpoint price, defined as</w:t>
      </w:r>
    </w:p>
    <w:commentRangeStart w:id="20"/>
    <w:commentRangeStart w:id="21"/>
    <w:p w14:paraId="42E43EC9" w14:textId="77777777" w:rsidR="0048166B" w:rsidRPr="00DB1616" w:rsidRDefault="008F73D5" w:rsidP="00090DD0">
      <w:pPr>
        <w:spacing w:after="120" w:line="360" w:lineRule="auto"/>
        <w:jc w:val="both"/>
        <w:rPr>
          <w:rFonts w:ascii="Times New Roman" w:eastAsia="Aptos" w:hAnsi="Times New Roman" w:cs="Times New Roman"/>
          <w:sz w:val="22"/>
          <w:szCs w:val="22"/>
          <w:lang w:val="en-GB"/>
        </w:rPr>
      </w:pP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Inv_Price</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f>
          <m:fPr>
            <m:ctrlPr>
              <w:rPr>
                <w:rFonts w:ascii="Cambria Math" w:eastAsia="Aptos" w:hAnsi="Cambria Math" w:cs="Times New Roman"/>
                <w:sz w:val="22"/>
                <w:szCs w:val="22"/>
                <w:lang w:val="en-GB"/>
              </w:rPr>
            </m:ctrlPr>
          </m:fPr>
          <m:num>
            <m:r>
              <m:rPr>
                <m:sty m:val="p"/>
              </m:rPr>
              <w:rPr>
                <w:rFonts w:ascii="Cambria Math" w:eastAsia="Aptos" w:hAnsi="Cambria Math" w:cs="Times New Roman"/>
                <w:sz w:val="22"/>
                <w:szCs w:val="22"/>
                <w:lang w:val="en-GB"/>
              </w:rPr>
              <m:t>1</m:t>
            </m:r>
          </m:num>
          <m:den>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Ask</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Bid</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)/2</m:t>
            </m:r>
          </m:den>
        </m:f>
        <m:r>
          <m:rPr>
            <m:sty m:val="p"/>
          </m:rPr>
          <w:rPr>
            <w:rFonts w:ascii="Cambria Math" w:eastAsia="Aptos" w:hAnsi="Cambria Math" w:cs="Times New Roman"/>
            <w:sz w:val="22"/>
            <w:szCs w:val="22"/>
            <w:lang w:val="en-GB"/>
          </w:rPr>
          <m:t>.</m:t>
        </m:r>
      </m:oMath>
      <w:commentRangeEnd w:id="20"/>
      <w:r w:rsidR="00721084" w:rsidRPr="00DB1616">
        <w:rPr>
          <w:rStyle w:val="CommentReference"/>
          <w:rFonts w:ascii="Times New Roman" w:eastAsia="Aptos" w:hAnsi="Times New Roman" w:cs="Times New Roman"/>
          <w:sz w:val="22"/>
          <w:szCs w:val="22"/>
          <w:lang w:val="en-GB"/>
        </w:rPr>
        <w:commentReference w:id="20"/>
      </w:r>
      <w:commentRangeEnd w:id="21"/>
      <w:r w:rsidR="00ED5069" w:rsidRPr="00DB1616">
        <w:rPr>
          <w:rStyle w:val="CommentReference"/>
          <w:rFonts w:ascii="Times New Roman" w:eastAsia="Aptos" w:hAnsi="Times New Roman" w:cs="Times New Roman"/>
          <w:sz w:val="22"/>
          <w:szCs w:val="22"/>
          <w:lang w:val="en-GB"/>
        </w:rPr>
        <w:commentReference w:id="21"/>
      </w:r>
    </w:p>
    <w:p w14:paraId="06D89B0B" w14:textId="60B60B81" w:rsidR="00090DD0" w:rsidRPr="00DB1616" w:rsidRDefault="00090DD0" w:rsidP="00090DD0">
      <w:pPr>
        <w:spacing w:after="120" w:line="360" w:lineRule="auto"/>
        <w:jc w:val="both"/>
        <w:rPr>
          <w:rFonts w:ascii="Times New Roman" w:eastAsia="Aptos" w:hAnsi="Times New Roman" w:cs="Times New Roman"/>
          <w:sz w:val="2"/>
          <w:szCs w:val="2"/>
          <w:lang w:val="en-GB"/>
        </w:rPr>
      </w:pPr>
    </w:p>
    <w:p w14:paraId="3EC0B50F" w14:textId="77777777" w:rsidR="00090DD0" w:rsidRPr="00DB1616" w:rsidRDefault="00090DD0" w:rsidP="00090DD0">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This variable captures the mechanical relationship between the price level and the proportional size of the minimum tick increment, as lower-priced stocks face a larger relative spread floor. Including this control ensures that estimated treatment effects are not driven by contemporaneous price-level variation.</w:t>
      </w:r>
    </w:p>
    <w:p w14:paraId="01EEE5E8" w14:textId="77777777" w:rsidR="00090DD0" w:rsidRPr="00DB1616" w:rsidRDefault="00090DD0" w:rsidP="00090DD0">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To mitigate the influence of extreme observations, turnover, share volume, spreads, and the inverse price variable are winsorized at the 1st and 99th percentiles prior to logarithmic transformation. This procedure limits the impact of outliers without discarding economically meaningful variation.</w:t>
      </w:r>
    </w:p>
    <w:p w14:paraId="2AD2A8B3" w14:textId="2D910F6C" w:rsidR="00C57C02" w:rsidRPr="00CC1B6F" w:rsidRDefault="00675C55" w:rsidP="00675C55">
      <w:pPr>
        <w:pStyle w:val="Heading2"/>
        <w:numPr>
          <w:ilvl w:val="0"/>
          <w:numId w:val="0"/>
        </w:numPr>
        <w:rPr>
          <w:rFonts w:ascii="Times New Roman" w:hAnsi="Times New Roman" w:cs="Times New Roman"/>
          <w:lang w:val="en-GB"/>
        </w:rPr>
      </w:pPr>
      <w:bookmarkStart w:id="22" w:name="_Toc223269529"/>
      <w:r>
        <w:rPr>
          <w:rFonts w:ascii="Times New Roman" w:hAnsi="Times New Roman" w:cs="Times New Roman"/>
          <w:lang w:val="en-GB"/>
        </w:rPr>
        <w:t xml:space="preserve">3.3 </w:t>
      </w:r>
      <w:r>
        <w:rPr>
          <w:rFonts w:ascii="Times New Roman" w:hAnsi="Times New Roman" w:cs="Times New Roman"/>
          <w:lang w:val="en-GB"/>
        </w:rPr>
        <w:tab/>
      </w:r>
      <w:r w:rsidR="00FD0429" w:rsidRPr="00CC1B6F">
        <w:rPr>
          <w:rFonts w:ascii="Times New Roman" w:hAnsi="Times New Roman" w:cs="Times New Roman"/>
          <w:lang w:val="en-GB"/>
        </w:rPr>
        <w:t>Summary Statistics</w:t>
      </w:r>
      <w:bookmarkEnd w:id="22"/>
    </w:p>
    <w:p w14:paraId="405EE56F" w14:textId="28ACEFDC" w:rsidR="00D32E28" w:rsidRPr="00DB1616" w:rsidRDefault="00D32E28" w:rsidP="00A25E42">
      <w:pPr>
        <w:spacing w:before="240"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Table 1 reports summary statistics for the control group and the three pilot treatment groups during the pre-implementation period, defined as March 1 to August 31, 2016</w:t>
      </w:r>
      <w:r w:rsidR="009A684F" w:rsidRPr="00DB1616">
        <w:rPr>
          <w:rFonts w:ascii="Times New Roman" w:eastAsia="Aptos" w:hAnsi="Times New Roman" w:cs="Times New Roman"/>
          <w:sz w:val="22"/>
          <w:szCs w:val="22"/>
          <w:lang w:val="en-GB"/>
        </w:rPr>
        <w:t xml:space="preserve"> (Albuquerque et al., 2020)</w:t>
      </w:r>
      <w:r w:rsidRPr="00DB1616">
        <w:rPr>
          <w:rFonts w:ascii="Times New Roman" w:eastAsia="Aptos" w:hAnsi="Times New Roman" w:cs="Times New Roman"/>
          <w:sz w:val="22"/>
          <w:szCs w:val="22"/>
          <w:lang w:val="en-GB"/>
        </w:rPr>
        <w:t>. Restricting the sample to the pre-treatment window ensures that the statistics reflect baseline characteristics prior to the regulatory intervention and are not mechanically influenced by the tick size increase.</w:t>
      </w:r>
    </w:p>
    <w:p w14:paraId="4B2E25A2" w14:textId="65B448F7" w:rsidR="00D32E28" w:rsidRPr="00DB1616" w:rsidRDefault="00D32E28" w:rsidP="00D32E28">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Across all four groups, trading activity is economically comparable before the pilot’s implementation. </w:t>
      </w:r>
      <w:r w:rsidR="00507879" w:rsidRPr="00DB1616">
        <w:rPr>
          <w:rFonts w:ascii="Times New Roman" w:eastAsia="Aptos" w:hAnsi="Times New Roman" w:cs="Times New Roman"/>
          <w:sz w:val="22"/>
          <w:szCs w:val="22"/>
          <w:lang w:val="en-GB"/>
        </w:rPr>
        <w:t>The mean log turnover is 1.185 in Group 1, 1.086 in Group 2, and 1.131 in Group 3, with the control group exhibiting a mean of 1.109</w:t>
      </w:r>
      <w:r w:rsidRPr="00DB1616">
        <w:rPr>
          <w:rFonts w:ascii="Times New Roman" w:eastAsia="Aptos" w:hAnsi="Times New Roman" w:cs="Times New Roman"/>
          <w:sz w:val="22"/>
          <w:szCs w:val="22"/>
          <w:lang w:val="en-GB"/>
        </w:rPr>
        <w:t>. Similarly, average log trading volume varies modestly across groups, remaining tightly clustered around 11.</w:t>
      </w:r>
      <w:r w:rsidR="0072487E" w:rsidRPr="00DB1616">
        <w:rPr>
          <w:rFonts w:ascii="Times New Roman" w:eastAsia="Aptos" w:hAnsi="Times New Roman" w:cs="Times New Roman"/>
          <w:sz w:val="22"/>
          <w:szCs w:val="22"/>
          <w:lang w:val="en-GB"/>
        </w:rPr>
        <w:t>04</w:t>
      </w:r>
      <w:r w:rsidR="00DB1616">
        <w:rPr>
          <w:rFonts w:ascii="Times New Roman" w:eastAsia="Aptos" w:hAnsi="Times New Roman" w:cs="Times New Roman"/>
          <w:sz w:val="22"/>
          <w:szCs w:val="22"/>
          <w:lang w:val="en-GB"/>
        </w:rPr>
        <w:t>-</w:t>
      </w:r>
      <w:r w:rsidRPr="00DB1616">
        <w:rPr>
          <w:rFonts w:ascii="Times New Roman" w:eastAsia="Aptos" w:hAnsi="Times New Roman" w:cs="Times New Roman"/>
          <w:sz w:val="22"/>
          <w:szCs w:val="22"/>
          <w:lang w:val="en-GB"/>
        </w:rPr>
        <w:t>11.1</w:t>
      </w:r>
      <w:r w:rsidR="003423A9" w:rsidRPr="00DB1616">
        <w:rPr>
          <w:rFonts w:ascii="Times New Roman" w:eastAsia="Aptos" w:hAnsi="Times New Roman" w:cs="Times New Roman"/>
          <w:sz w:val="22"/>
          <w:szCs w:val="22"/>
          <w:lang w:val="en-GB"/>
        </w:rPr>
        <w:t>4</w:t>
      </w:r>
      <w:r w:rsidRPr="00DB1616">
        <w:rPr>
          <w:rFonts w:ascii="Times New Roman" w:eastAsia="Aptos" w:hAnsi="Times New Roman" w:cs="Times New Roman"/>
          <w:sz w:val="22"/>
          <w:szCs w:val="22"/>
          <w:lang w:val="en-GB"/>
        </w:rPr>
        <w:t>. These similarities suggest no systematic pre-treatment differences in baseline trading intensity between treated and control stocks.</w:t>
      </w:r>
    </w:p>
    <w:p w14:paraId="4466A313" w14:textId="7EB33FD7" w:rsidR="00D32E28" w:rsidRPr="00DB1616" w:rsidRDefault="00D32E28" w:rsidP="00D32E28">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Quoted spread measures display the same pattern of comparability. The average daily spread equals </w:t>
      </w:r>
      <w:r w:rsidR="0008701F" w:rsidRPr="00DB1616">
        <w:rPr>
          <w:rFonts w:ascii="Times New Roman" w:eastAsia="Aptos" w:hAnsi="Times New Roman" w:cs="Times New Roman"/>
          <w:sz w:val="22"/>
          <w:szCs w:val="22"/>
          <w:lang w:val="en-GB"/>
        </w:rPr>
        <w:t>8</w:t>
      </w:r>
      <w:r w:rsidRPr="00DB1616">
        <w:rPr>
          <w:rFonts w:ascii="Times New Roman" w:eastAsia="Aptos" w:hAnsi="Times New Roman" w:cs="Times New Roman"/>
          <w:sz w:val="22"/>
          <w:szCs w:val="22"/>
          <w:lang w:val="en-GB"/>
        </w:rPr>
        <w:t>.</w:t>
      </w:r>
      <w:r w:rsidR="0008701F" w:rsidRPr="00DB1616">
        <w:rPr>
          <w:rFonts w:ascii="Times New Roman" w:eastAsia="Aptos" w:hAnsi="Times New Roman" w:cs="Times New Roman"/>
          <w:sz w:val="22"/>
          <w:szCs w:val="22"/>
          <w:lang w:val="en-GB"/>
        </w:rPr>
        <w:t>59</w:t>
      </w:r>
      <w:r w:rsidRPr="00DB1616">
        <w:rPr>
          <w:rFonts w:ascii="Times New Roman" w:eastAsia="Aptos" w:hAnsi="Times New Roman" w:cs="Times New Roman"/>
          <w:sz w:val="22"/>
          <w:szCs w:val="22"/>
          <w:lang w:val="en-GB"/>
        </w:rPr>
        <w:t xml:space="preserve"> cents in the control group, compared to </w:t>
      </w:r>
      <w:r w:rsidR="0008701F" w:rsidRPr="00DB1616">
        <w:rPr>
          <w:rFonts w:ascii="Times New Roman" w:eastAsia="Aptos" w:hAnsi="Times New Roman" w:cs="Times New Roman"/>
          <w:sz w:val="22"/>
          <w:szCs w:val="22"/>
          <w:lang w:val="en-GB"/>
        </w:rPr>
        <w:t>8.03</w:t>
      </w:r>
      <w:r w:rsidRPr="00DB1616">
        <w:rPr>
          <w:rFonts w:ascii="Times New Roman" w:eastAsia="Aptos" w:hAnsi="Times New Roman" w:cs="Times New Roman"/>
          <w:sz w:val="22"/>
          <w:szCs w:val="22"/>
          <w:lang w:val="en-GB"/>
        </w:rPr>
        <w:t xml:space="preserve"> cents in Group 1, </w:t>
      </w:r>
      <w:r w:rsidR="000F74A6" w:rsidRPr="00DB1616">
        <w:rPr>
          <w:rFonts w:ascii="Times New Roman" w:eastAsia="Aptos" w:hAnsi="Times New Roman" w:cs="Times New Roman"/>
          <w:sz w:val="22"/>
          <w:szCs w:val="22"/>
          <w:lang w:val="en-GB"/>
        </w:rPr>
        <w:t>8.16</w:t>
      </w:r>
      <w:r w:rsidRPr="00DB1616">
        <w:rPr>
          <w:rFonts w:ascii="Times New Roman" w:eastAsia="Aptos" w:hAnsi="Times New Roman" w:cs="Times New Roman"/>
          <w:sz w:val="22"/>
          <w:szCs w:val="22"/>
          <w:lang w:val="en-GB"/>
        </w:rPr>
        <w:t xml:space="preserve"> cents in Group 2, and </w:t>
      </w:r>
      <w:r w:rsidR="000F74A6" w:rsidRPr="00DB1616">
        <w:rPr>
          <w:rFonts w:ascii="Times New Roman" w:eastAsia="Aptos" w:hAnsi="Times New Roman" w:cs="Times New Roman"/>
          <w:sz w:val="22"/>
          <w:szCs w:val="22"/>
          <w:lang w:val="en-GB"/>
        </w:rPr>
        <w:t>8.51</w:t>
      </w:r>
      <w:r w:rsidRPr="00DB1616">
        <w:rPr>
          <w:rFonts w:ascii="Times New Roman" w:eastAsia="Aptos" w:hAnsi="Times New Roman" w:cs="Times New Roman"/>
          <w:sz w:val="22"/>
          <w:szCs w:val="22"/>
          <w:lang w:val="en-GB"/>
        </w:rPr>
        <w:t xml:space="preserve"> cents in Group 3. Firm-level pre-treatment spreads are likewise closely aligned across groups, with differences below one-quarter of a cent. The narrow dispersion in both contemporaneous and historical spread measures is consistent with the SEC’s stratified random assignment procedure and supports the assumption that treatment status is exogenous to prior liquidity conditions.</w:t>
      </w:r>
    </w:p>
    <w:p w14:paraId="5BCB947B" w14:textId="5AE07846" w:rsidR="00D32E28" w:rsidRPr="00DB1616" w:rsidRDefault="00D32E28" w:rsidP="00D32E28">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The proportion of stocks classified as constrained (SmallSpread) is also remarkably similar across groups. Approximately three-quarters of stocks in each group exhibit pre-treatment average spreads below the $0.05 threshold, with shares ranging from 73.</w:t>
      </w:r>
      <w:r w:rsidR="00280C65" w:rsidRPr="00DB1616">
        <w:rPr>
          <w:rFonts w:ascii="Times New Roman" w:eastAsia="Aptos" w:hAnsi="Times New Roman" w:cs="Times New Roman"/>
          <w:sz w:val="22"/>
          <w:szCs w:val="22"/>
          <w:lang w:val="en-GB"/>
        </w:rPr>
        <w:t>5</w:t>
      </w:r>
      <w:r w:rsidRPr="00DB1616">
        <w:rPr>
          <w:rFonts w:ascii="Times New Roman" w:eastAsia="Aptos" w:hAnsi="Times New Roman" w:cs="Times New Roman"/>
          <w:sz w:val="22"/>
          <w:szCs w:val="22"/>
          <w:lang w:val="en-GB"/>
        </w:rPr>
        <w:t>% to 75.</w:t>
      </w:r>
      <w:r w:rsidR="001815A9" w:rsidRPr="00DB1616">
        <w:rPr>
          <w:rFonts w:ascii="Times New Roman" w:eastAsia="Aptos" w:hAnsi="Times New Roman" w:cs="Times New Roman"/>
          <w:sz w:val="22"/>
          <w:szCs w:val="22"/>
          <w:lang w:val="en-GB"/>
        </w:rPr>
        <w:t>3</w:t>
      </w:r>
      <w:r w:rsidRPr="00DB1616">
        <w:rPr>
          <w:rFonts w:ascii="Times New Roman" w:eastAsia="Aptos" w:hAnsi="Times New Roman" w:cs="Times New Roman"/>
          <w:sz w:val="22"/>
          <w:szCs w:val="22"/>
          <w:lang w:val="en-GB"/>
        </w:rPr>
        <w:t>%. This balance is particularly important for the heterogeneous analysis, as it indicates that the distribution of binding constraints is not systematically correlated with treatment assignment.</w:t>
      </w:r>
    </w:p>
    <w:p w14:paraId="6E6766FD" w14:textId="77777777" w:rsidR="003E01FB" w:rsidRPr="00DB1616" w:rsidRDefault="00D32E28" w:rsidP="00D32E28">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sz w:val="22"/>
          <w:szCs w:val="22"/>
          <w:lang w:val="en-GB"/>
        </w:rPr>
        <w:t xml:space="preserve">Overall, the pre-treatment statistics reveal no economically meaningful baseline imbalances across control and treatment groups. The similarity in trading activity, spreads, and constraint classification prior to implementation strengthens the credibility of the difference-in-differences design and supports the parallel trends assumption underlying the empirical strategy. </w:t>
      </w:r>
    </w:p>
    <w:p w14:paraId="0D6668C6" w14:textId="77777777" w:rsidR="003E01FB" w:rsidRPr="00DB1616" w:rsidRDefault="003E01FB" w:rsidP="003E01FB">
      <w:pPr>
        <w:spacing w:after="120" w:line="360" w:lineRule="auto"/>
        <w:jc w:val="both"/>
        <w:rPr>
          <w:rFonts w:ascii="Times New Roman" w:eastAsia="Aptos" w:hAnsi="Times New Roman" w:cs="Times New Roman"/>
          <w:b/>
          <w:sz w:val="22"/>
          <w:szCs w:val="22"/>
          <w:lang w:val="en-GB"/>
        </w:rPr>
      </w:pPr>
      <w:r w:rsidRPr="00DB1616">
        <w:rPr>
          <w:rFonts w:ascii="Times New Roman" w:eastAsia="Aptos" w:hAnsi="Times New Roman" w:cs="Times New Roman"/>
          <w:b/>
          <w:sz w:val="22"/>
          <w:szCs w:val="22"/>
          <w:lang w:val="en-GB"/>
        </w:rPr>
        <w:t>Table 1 — Pre-Treatment Summary Statistics</w:t>
      </w:r>
    </w:p>
    <w:p w14:paraId="5BD10EAA" w14:textId="77777777" w:rsidR="003E01FB" w:rsidRPr="00DB1616" w:rsidRDefault="003E01FB" w:rsidP="003E01FB">
      <w:pPr>
        <w:spacing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i/>
          <w:sz w:val="22"/>
          <w:szCs w:val="22"/>
          <w:lang w:val="en-GB"/>
        </w:rPr>
        <w:t>Pre-Treatment Window: March 1 – August 31, 2016</w:t>
      </w:r>
    </w:p>
    <w:p w14:paraId="2D1BF2E5" w14:textId="2C87B672" w:rsidR="003E01FB" w:rsidRPr="00DB1616" w:rsidRDefault="003E01FB" w:rsidP="00825B5D">
      <w:pPr>
        <w:spacing w:after="120" w:line="360" w:lineRule="auto"/>
        <w:jc w:val="both"/>
        <w:rPr>
          <w:rFonts w:ascii="Times New Roman" w:eastAsia="Aptos" w:hAnsi="Times New Roman" w:cs="Times New Roman"/>
          <w:b/>
          <w:sz w:val="22"/>
          <w:szCs w:val="22"/>
          <w:lang w:val="en-GB"/>
        </w:rPr>
      </w:pPr>
      <w:r w:rsidRPr="00DB1616">
        <w:rPr>
          <w:rFonts w:ascii="Times New Roman" w:eastAsia="Aptos" w:hAnsi="Times New Roman" w:cs="Times New Roman"/>
          <w:b/>
          <w:sz w:val="22"/>
          <w:szCs w:val="22"/>
          <w:lang w:val="en-GB"/>
        </w:rPr>
        <w:t>Panel A: Control Group</w:t>
      </w:r>
    </w:p>
    <w:p w14:paraId="63DBE56D" w14:textId="3C78ACCB" w:rsidR="00992578" w:rsidRPr="000E7DB0" w:rsidRDefault="00952958" w:rsidP="00825B5D">
      <w:pPr>
        <w:spacing w:after="120" w:line="360" w:lineRule="auto"/>
        <w:jc w:val="both"/>
        <w:rPr>
          <w:rFonts w:ascii="Times New Roman" w:eastAsia="Aptos" w:hAnsi="Times New Roman" w:cs="Times New Roman"/>
          <w:b/>
          <w:sz w:val="4"/>
          <w:szCs w:val="4"/>
          <w:lang w:val="en-GB"/>
        </w:rPr>
      </w:pPr>
      <w:r>
        <w:rPr>
          <w:noProof/>
        </w:rPr>
        <w:drawing>
          <wp:anchor distT="0" distB="0" distL="114300" distR="114300" simplePos="0" relativeHeight="251658241" behindDoc="0" locked="0" layoutInCell="1" allowOverlap="1" wp14:anchorId="6AF7D923" wp14:editId="3FEA6EEA">
            <wp:simplePos x="0" y="0"/>
            <wp:positionH relativeFrom="column">
              <wp:posOffset>0</wp:posOffset>
            </wp:positionH>
            <wp:positionV relativeFrom="paragraph">
              <wp:posOffset>-1270</wp:posOffset>
            </wp:positionV>
            <wp:extent cx="5731510" cy="1598930"/>
            <wp:effectExtent l="0" t="0" r="2540" b="1270"/>
            <wp:wrapThrough wrapText="bothSides">
              <wp:wrapPolygon edited="0">
                <wp:start x="0" y="0"/>
                <wp:lineTo x="0" y="21360"/>
                <wp:lineTo x="21538" y="21360"/>
                <wp:lineTo x="21538" y="0"/>
                <wp:lineTo x="0" y="0"/>
              </wp:wrapPolygon>
            </wp:wrapThrough>
            <wp:docPr id="144227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6832"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598930"/>
                    </a:xfrm>
                    <a:prstGeom prst="rect">
                      <a:avLst/>
                    </a:prstGeom>
                  </pic:spPr>
                </pic:pic>
              </a:graphicData>
            </a:graphic>
          </wp:anchor>
        </w:drawing>
      </w:r>
    </w:p>
    <w:p w14:paraId="659EAB95" w14:textId="232BD6CB" w:rsidR="003E01FB" w:rsidRPr="00531ADE" w:rsidRDefault="00180BC3" w:rsidP="000E7DB0">
      <w:pPr>
        <w:spacing w:after="120" w:line="360" w:lineRule="auto"/>
        <w:jc w:val="both"/>
        <w:rPr>
          <w:rFonts w:ascii="Times New Roman" w:eastAsia="Aptos" w:hAnsi="Times New Roman" w:cs="Times New Roman"/>
          <w:b/>
          <w:sz w:val="22"/>
          <w:szCs w:val="22"/>
          <w:lang w:val="en-GB"/>
        </w:rPr>
      </w:pPr>
      <w:r>
        <w:rPr>
          <w:noProof/>
        </w:rPr>
        <w:drawing>
          <wp:anchor distT="0" distB="0" distL="114300" distR="114300" simplePos="0" relativeHeight="251658240" behindDoc="0" locked="0" layoutInCell="1" allowOverlap="1" wp14:anchorId="52B38661" wp14:editId="171F235A">
            <wp:simplePos x="0" y="0"/>
            <wp:positionH relativeFrom="margin">
              <wp:posOffset>-1270</wp:posOffset>
            </wp:positionH>
            <wp:positionV relativeFrom="paragraph">
              <wp:posOffset>286385</wp:posOffset>
            </wp:positionV>
            <wp:extent cx="5731510" cy="1534795"/>
            <wp:effectExtent l="0" t="0" r="2540" b="8255"/>
            <wp:wrapThrough wrapText="bothSides">
              <wp:wrapPolygon edited="0">
                <wp:start x="0" y="0"/>
                <wp:lineTo x="0" y="21448"/>
                <wp:lineTo x="21538" y="21448"/>
                <wp:lineTo x="21538" y="0"/>
                <wp:lineTo x="0" y="0"/>
              </wp:wrapPolygon>
            </wp:wrapThrough>
            <wp:docPr id="169478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819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534795"/>
                    </a:xfrm>
                    <a:prstGeom prst="rect">
                      <a:avLst/>
                    </a:prstGeom>
                  </pic:spPr>
                </pic:pic>
              </a:graphicData>
            </a:graphic>
          </wp:anchor>
        </w:drawing>
      </w:r>
      <w:r w:rsidR="5AD7ED5B" w:rsidRPr="00531ADE">
        <w:rPr>
          <w:rFonts w:ascii="Times New Roman" w:eastAsia="Aptos" w:hAnsi="Times New Roman" w:cs="Times New Roman"/>
          <w:b/>
          <w:sz w:val="22"/>
          <w:szCs w:val="22"/>
          <w:lang w:val="en-GB"/>
        </w:rPr>
        <w:t>Pa</w:t>
      </w:r>
      <w:r w:rsidR="003E01FB" w:rsidRPr="00531ADE">
        <w:rPr>
          <w:rFonts w:ascii="Times New Roman" w:eastAsia="Aptos" w:hAnsi="Times New Roman" w:cs="Times New Roman"/>
          <w:b/>
          <w:sz w:val="22"/>
          <w:szCs w:val="22"/>
          <w:lang w:val="en-GB"/>
        </w:rPr>
        <w:t>nel B: Pilot Group 1</w:t>
      </w:r>
    </w:p>
    <w:p w14:paraId="448374EB" w14:textId="63955A10" w:rsidR="00531ADE" w:rsidRPr="005F1A32" w:rsidRDefault="005F1A32" w:rsidP="005F1A32">
      <w:pPr>
        <w:spacing w:after="120" w:line="360" w:lineRule="auto"/>
        <w:jc w:val="both"/>
        <w:rPr>
          <w:rFonts w:ascii="Times New Roman" w:eastAsia="Aptos" w:hAnsi="Times New Roman" w:cs="Times New Roman"/>
          <w:b/>
          <w:sz w:val="22"/>
          <w:szCs w:val="22"/>
          <w:lang w:val="en-GB"/>
        </w:rPr>
      </w:pPr>
      <w:r>
        <w:rPr>
          <w:noProof/>
        </w:rPr>
        <w:drawing>
          <wp:anchor distT="0" distB="0" distL="114300" distR="114300" simplePos="0" relativeHeight="251658242" behindDoc="0" locked="0" layoutInCell="1" allowOverlap="1" wp14:anchorId="1E2A5456" wp14:editId="5374A1C7">
            <wp:simplePos x="0" y="0"/>
            <wp:positionH relativeFrom="margin">
              <wp:posOffset>-1270</wp:posOffset>
            </wp:positionH>
            <wp:positionV relativeFrom="paragraph">
              <wp:posOffset>1915795</wp:posOffset>
            </wp:positionV>
            <wp:extent cx="5731510" cy="1623695"/>
            <wp:effectExtent l="0" t="0" r="2540" b="0"/>
            <wp:wrapThrough wrapText="bothSides">
              <wp:wrapPolygon edited="0">
                <wp:start x="0" y="0"/>
                <wp:lineTo x="0" y="21287"/>
                <wp:lineTo x="21538" y="21287"/>
                <wp:lineTo x="21538" y="0"/>
                <wp:lineTo x="0" y="0"/>
              </wp:wrapPolygon>
            </wp:wrapThrough>
            <wp:docPr id="141441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8163"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1623695"/>
                    </a:xfrm>
                    <a:prstGeom prst="rect">
                      <a:avLst/>
                    </a:prstGeom>
                  </pic:spPr>
                </pic:pic>
              </a:graphicData>
            </a:graphic>
          </wp:anchor>
        </w:drawing>
      </w:r>
      <w:r w:rsidR="5DD94AC3" w:rsidRPr="00531ADE">
        <w:rPr>
          <w:rFonts w:ascii="Times New Roman" w:eastAsia="Aptos" w:hAnsi="Times New Roman" w:cs="Times New Roman"/>
          <w:b/>
          <w:sz w:val="22"/>
          <w:szCs w:val="22"/>
          <w:lang w:val="en-GB"/>
        </w:rPr>
        <w:t>Pa</w:t>
      </w:r>
      <w:r w:rsidR="003E01FB" w:rsidRPr="00531ADE">
        <w:rPr>
          <w:rFonts w:ascii="Times New Roman" w:eastAsia="Aptos" w:hAnsi="Times New Roman" w:cs="Times New Roman"/>
          <w:b/>
          <w:sz w:val="22"/>
          <w:szCs w:val="22"/>
          <w:lang w:val="en-GB"/>
        </w:rPr>
        <w:t>n</w:t>
      </w:r>
      <w:r w:rsidR="1539A417" w:rsidRPr="00531ADE">
        <w:rPr>
          <w:rFonts w:ascii="Times New Roman" w:eastAsia="Aptos" w:hAnsi="Times New Roman" w:cs="Times New Roman"/>
          <w:b/>
          <w:sz w:val="22"/>
          <w:szCs w:val="22"/>
          <w:lang w:val="en-GB"/>
        </w:rPr>
        <w:t>e</w:t>
      </w:r>
      <w:r w:rsidR="003E01FB" w:rsidRPr="00531ADE">
        <w:rPr>
          <w:rFonts w:ascii="Times New Roman" w:eastAsia="Aptos" w:hAnsi="Times New Roman" w:cs="Times New Roman"/>
          <w:b/>
          <w:sz w:val="22"/>
          <w:szCs w:val="22"/>
          <w:lang w:val="en-GB"/>
        </w:rPr>
        <w:t>l C: Pilot Group 2</w:t>
      </w:r>
    </w:p>
    <w:p w14:paraId="08279351" w14:textId="221E36BC" w:rsidR="003E01FB" w:rsidRPr="00531ADE" w:rsidRDefault="00B74161" w:rsidP="0068347B">
      <w:pPr>
        <w:spacing w:before="240" w:after="120" w:line="360" w:lineRule="auto"/>
        <w:jc w:val="both"/>
        <w:rPr>
          <w:rFonts w:ascii="Times New Roman" w:eastAsia="Aptos" w:hAnsi="Times New Roman" w:cs="Times New Roman"/>
          <w:b/>
          <w:sz w:val="22"/>
          <w:szCs w:val="22"/>
          <w:lang w:val="en-GB"/>
        </w:rPr>
      </w:pPr>
      <w:r>
        <w:rPr>
          <w:noProof/>
        </w:rPr>
        <w:drawing>
          <wp:anchor distT="0" distB="0" distL="114300" distR="114300" simplePos="0" relativeHeight="251658243" behindDoc="0" locked="0" layoutInCell="1" allowOverlap="1" wp14:anchorId="0D47C048" wp14:editId="67C02ABB">
            <wp:simplePos x="0" y="0"/>
            <wp:positionH relativeFrom="margin">
              <wp:posOffset>-1270</wp:posOffset>
            </wp:positionH>
            <wp:positionV relativeFrom="paragraph">
              <wp:posOffset>2018665</wp:posOffset>
            </wp:positionV>
            <wp:extent cx="5731510" cy="1616710"/>
            <wp:effectExtent l="0" t="0" r="2540" b="2540"/>
            <wp:wrapThrough wrapText="bothSides">
              <wp:wrapPolygon edited="0">
                <wp:start x="0" y="0"/>
                <wp:lineTo x="0" y="21379"/>
                <wp:lineTo x="21538" y="21379"/>
                <wp:lineTo x="21538" y="0"/>
                <wp:lineTo x="0" y="0"/>
              </wp:wrapPolygon>
            </wp:wrapThrough>
            <wp:docPr id="93215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3924"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1616710"/>
                    </a:xfrm>
                    <a:prstGeom prst="rect">
                      <a:avLst/>
                    </a:prstGeom>
                  </pic:spPr>
                </pic:pic>
              </a:graphicData>
            </a:graphic>
          </wp:anchor>
        </w:drawing>
      </w:r>
      <w:r w:rsidR="003E01FB" w:rsidRPr="00531ADE">
        <w:rPr>
          <w:rFonts w:ascii="Times New Roman" w:eastAsia="Aptos" w:hAnsi="Times New Roman" w:cs="Times New Roman"/>
          <w:b/>
          <w:sz w:val="22"/>
          <w:szCs w:val="22"/>
          <w:lang w:val="en-GB"/>
        </w:rPr>
        <w:t>Panel D: Pilot Group 3</w:t>
      </w:r>
    </w:p>
    <w:p w14:paraId="7BFE403F" w14:textId="424D0FC1" w:rsidR="00FB3EBD" w:rsidRDefault="0049588F" w:rsidP="00FB3EBD">
      <w:pPr>
        <w:spacing w:before="240" w:after="120" w:line="360" w:lineRule="auto"/>
        <w:rPr>
          <w:rFonts w:ascii="Times New Roman" w:eastAsia="Aptos" w:hAnsi="Times New Roman" w:cs="Times New Roman"/>
          <w:b/>
          <w:sz w:val="22"/>
          <w:szCs w:val="22"/>
          <w:lang w:val="en-GB"/>
        </w:rPr>
      </w:pPr>
      <w:r w:rsidRPr="00EA32E2">
        <w:rPr>
          <w:rFonts w:ascii="Times New Roman" w:eastAsia="Aptos" w:hAnsi="Times New Roman" w:cs="Times New Roman"/>
          <w:i/>
          <w:iCs/>
          <w:sz w:val="22"/>
          <w:szCs w:val="22"/>
          <w:lang w:val="en-GB"/>
        </w:rPr>
        <w:t>All continuous variables are winsorized at the 1st and 99th percentiles.</w:t>
      </w:r>
      <w:r w:rsidR="00B27006" w:rsidRPr="00EA32E2">
        <w:rPr>
          <w:rFonts w:ascii="Times New Roman" w:eastAsia="Aptos" w:hAnsi="Times New Roman" w:cs="Times New Roman"/>
          <w:sz w:val="22"/>
          <w:szCs w:val="22"/>
          <w:lang w:val="en-GB"/>
        </w:rPr>
        <w:br w:type="page"/>
      </w:r>
      <w:r w:rsidR="00FB3EBD" w:rsidRPr="00EA32E2">
        <w:rPr>
          <w:rFonts w:ascii="Times New Roman" w:eastAsia="Aptos" w:hAnsi="Times New Roman" w:cs="Times New Roman"/>
          <w:b/>
          <w:sz w:val="22"/>
          <w:szCs w:val="22"/>
          <w:lang w:val="en-GB"/>
        </w:rPr>
        <w:t>Table 2 — Impact of the Tick Size Increase on Trading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1655"/>
        <w:gridCol w:w="1670"/>
      </w:tblGrid>
      <w:tr w:rsidR="000A286F" w:rsidRPr="000A286F" w14:paraId="0FF34FBB" w14:textId="77777777">
        <w:trPr>
          <w:tblHeader/>
          <w:tblCellSpacing w:w="15" w:type="dxa"/>
        </w:trPr>
        <w:tc>
          <w:tcPr>
            <w:tcW w:w="0" w:type="auto"/>
            <w:vAlign w:val="center"/>
            <w:hideMark/>
          </w:tcPr>
          <w:p w14:paraId="55E7641F" w14:textId="014FF23C" w:rsidR="000A286F" w:rsidRPr="000A286F" w:rsidRDefault="000A286F" w:rsidP="000A286F">
            <w:pPr>
              <w:spacing w:before="240" w:after="120" w:line="360" w:lineRule="auto"/>
              <w:rPr>
                <w:rFonts w:ascii="Times New Roman" w:eastAsia="Aptos" w:hAnsi="Times New Roman" w:cs="Times New Roman"/>
                <w:b/>
                <w:bCs/>
                <w:sz w:val="22"/>
                <w:szCs w:val="22"/>
                <w:lang w:val="pt-PT"/>
              </w:rPr>
            </w:pPr>
            <w:r w:rsidRPr="000A286F">
              <w:rPr>
                <w:rFonts w:ascii="Times New Roman" w:eastAsia="Aptos" w:hAnsi="Times New Roman" w:cs="Times New Roman"/>
                <w:b/>
                <w:bCs/>
                <w:sz w:val="22"/>
                <w:szCs w:val="22"/>
                <w:lang w:val="pt-PT"/>
              </w:rPr>
              <w:t>Vari</w:t>
            </w:r>
            <w:r w:rsidR="00580D19">
              <w:rPr>
                <w:rFonts w:ascii="Times New Roman" w:eastAsia="Aptos" w:hAnsi="Times New Roman" w:cs="Times New Roman"/>
                <w:b/>
                <w:bCs/>
                <w:sz w:val="22"/>
                <w:szCs w:val="22"/>
                <w:lang w:val="pt-PT"/>
              </w:rPr>
              <w:t>able</w:t>
            </w:r>
          </w:p>
        </w:tc>
        <w:tc>
          <w:tcPr>
            <w:tcW w:w="0" w:type="auto"/>
            <w:vAlign w:val="center"/>
            <w:hideMark/>
          </w:tcPr>
          <w:p w14:paraId="28F8D799" w14:textId="301D35A1" w:rsidR="000A286F" w:rsidRPr="000A286F" w:rsidRDefault="000A286F" w:rsidP="000A286F">
            <w:pPr>
              <w:spacing w:before="240" w:after="120" w:line="360" w:lineRule="auto"/>
              <w:rPr>
                <w:rFonts w:ascii="Times New Roman" w:eastAsia="Aptos" w:hAnsi="Times New Roman" w:cs="Times New Roman"/>
                <w:b/>
                <w:bCs/>
                <w:sz w:val="22"/>
                <w:szCs w:val="22"/>
                <w:lang w:val="pt-PT"/>
              </w:rPr>
            </w:pPr>
            <w:r w:rsidRPr="000A286F">
              <w:rPr>
                <w:rFonts w:ascii="Times New Roman" w:eastAsia="Aptos" w:hAnsi="Times New Roman" w:cs="Times New Roman"/>
                <w:b/>
                <w:bCs/>
                <w:sz w:val="22"/>
                <w:szCs w:val="22"/>
                <w:lang w:val="pt-PT"/>
              </w:rPr>
              <w:t>Model (1)</w:t>
            </w:r>
          </w:p>
        </w:tc>
        <w:tc>
          <w:tcPr>
            <w:tcW w:w="0" w:type="auto"/>
            <w:vAlign w:val="center"/>
            <w:hideMark/>
          </w:tcPr>
          <w:p w14:paraId="6D73D65B" w14:textId="6B9F3794" w:rsidR="000A286F" w:rsidRPr="000A286F" w:rsidRDefault="000A286F" w:rsidP="000A286F">
            <w:pPr>
              <w:spacing w:before="240" w:after="120" w:line="360" w:lineRule="auto"/>
              <w:rPr>
                <w:rFonts w:ascii="Times New Roman" w:eastAsia="Aptos" w:hAnsi="Times New Roman" w:cs="Times New Roman"/>
                <w:b/>
                <w:bCs/>
                <w:sz w:val="22"/>
                <w:szCs w:val="22"/>
                <w:lang w:val="pt-PT"/>
              </w:rPr>
            </w:pPr>
            <w:r w:rsidRPr="000A286F">
              <w:rPr>
                <w:rFonts w:ascii="Times New Roman" w:eastAsia="Aptos" w:hAnsi="Times New Roman" w:cs="Times New Roman"/>
                <w:b/>
                <w:bCs/>
                <w:sz w:val="22"/>
                <w:szCs w:val="22"/>
                <w:lang w:val="pt-PT"/>
              </w:rPr>
              <w:t>Model (2)</w:t>
            </w:r>
          </w:p>
        </w:tc>
      </w:tr>
      <w:tr w:rsidR="000A286F" w:rsidRPr="000A286F" w14:paraId="18501F42" w14:textId="77777777">
        <w:trPr>
          <w:tblCellSpacing w:w="15" w:type="dxa"/>
        </w:trPr>
        <w:tc>
          <w:tcPr>
            <w:tcW w:w="0" w:type="auto"/>
            <w:vAlign w:val="center"/>
            <w:hideMark/>
          </w:tcPr>
          <w:p w14:paraId="0446775A"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g1 × treatmentperiod</w:t>
            </w:r>
          </w:p>
        </w:tc>
        <w:tc>
          <w:tcPr>
            <w:tcW w:w="0" w:type="auto"/>
            <w:vAlign w:val="center"/>
            <w:hideMark/>
          </w:tcPr>
          <w:p w14:paraId="1E5D76F0"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-0.088*** (0.033)</w:t>
            </w:r>
          </w:p>
        </w:tc>
        <w:tc>
          <w:tcPr>
            <w:tcW w:w="0" w:type="auto"/>
            <w:vAlign w:val="center"/>
            <w:hideMark/>
          </w:tcPr>
          <w:p w14:paraId="02A8945B"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0.037 (0.076)</w:t>
            </w:r>
          </w:p>
        </w:tc>
      </w:tr>
      <w:tr w:rsidR="000A286F" w:rsidRPr="000A286F" w14:paraId="020D143B" w14:textId="77777777">
        <w:trPr>
          <w:tblCellSpacing w:w="15" w:type="dxa"/>
        </w:trPr>
        <w:tc>
          <w:tcPr>
            <w:tcW w:w="0" w:type="auto"/>
            <w:vAlign w:val="center"/>
            <w:hideMark/>
          </w:tcPr>
          <w:p w14:paraId="54CBE34C"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g2 × treatmentperiod</w:t>
            </w:r>
          </w:p>
        </w:tc>
        <w:tc>
          <w:tcPr>
            <w:tcW w:w="0" w:type="auto"/>
            <w:vAlign w:val="center"/>
            <w:hideMark/>
          </w:tcPr>
          <w:p w14:paraId="2CDBAD8E"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-0.066* (0.036)</w:t>
            </w:r>
          </w:p>
        </w:tc>
        <w:tc>
          <w:tcPr>
            <w:tcW w:w="0" w:type="auto"/>
            <w:vAlign w:val="center"/>
            <w:hideMark/>
          </w:tcPr>
          <w:p w14:paraId="029DFD5A"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0.055 (0.087)</w:t>
            </w:r>
          </w:p>
        </w:tc>
      </w:tr>
      <w:tr w:rsidR="000A286F" w:rsidRPr="000A286F" w14:paraId="6FBB151A" w14:textId="77777777">
        <w:trPr>
          <w:tblCellSpacing w:w="15" w:type="dxa"/>
        </w:trPr>
        <w:tc>
          <w:tcPr>
            <w:tcW w:w="0" w:type="auto"/>
            <w:vAlign w:val="center"/>
            <w:hideMark/>
          </w:tcPr>
          <w:p w14:paraId="4ACDC732"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g3 × treatmentperiod</w:t>
            </w:r>
          </w:p>
        </w:tc>
        <w:tc>
          <w:tcPr>
            <w:tcW w:w="0" w:type="auto"/>
            <w:vAlign w:val="center"/>
            <w:hideMark/>
          </w:tcPr>
          <w:p w14:paraId="535F96A2"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-0.095** (0.037)</w:t>
            </w:r>
          </w:p>
        </w:tc>
        <w:tc>
          <w:tcPr>
            <w:tcW w:w="0" w:type="auto"/>
            <w:vAlign w:val="center"/>
            <w:hideMark/>
          </w:tcPr>
          <w:p w14:paraId="1522B65F"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0.045 (0.094)</w:t>
            </w:r>
          </w:p>
        </w:tc>
      </w:tr>
      <w:tr w:rsidR="000A286F" w:rsidRPr="000A286F" w14:paraId="74C4BB23" w14:textId="77777777">
        <w:trPr>
          <w:tblCellSpacing w:w="15" w:type="dxa"/>
        </w:trPr>
        <w:tc>
          <w:tcPr>
            <w:tcW w:w="0" w:type="auto"/>
            <w:vAlign w:val="center"/>
            <w:hideMark/>
          </w:tcPr>
          <w:p w14:paraId="7725884B"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g1 × postpilot</w:t>
            </w:r>
          </w:p>
        </w:tc>
        <w:tc>
          <w:tcPr>
            <w:tcW w:w="0" w:type="auto"/>
            <w:vAlign w:val="center"/>
            <w:hideMark/>
          </w:tcPr>
          <w:p w14:paraId="75EA9D34"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-0.059 (0.044)</w:t>
            </w:r>
          </w:p>
        </w:tc>
        <w:tc>
          <w:tcPr>
            <w:tcW w:w="0" w:type="auto"/>
            <w:vAlign w:val="center"/>
            <w:hideMark/>
          </w:tcPr>
          <w:p w14:paraId="449DCCC0"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0.024 (0.104)</w:t>
            </w:r>
          </w:p>
        </w:tc>
      </w:tr>
      <w:tr w:rsidR="000A286F" w:rsidRPr="000A286F" w14:paraId="5B0629C3" w14:textId="77777777">
        <w:trPr>
          <w:tblCellSpacing w:w="15" w:type="dxa"/>
        </w:trPr>
        <w:tc>
          <w:tcPr>
            <w:tcW w:w="0" w:type="auto"/>
            <w:vAlign w:val="center"/>
            <w:hideMark/>
          </w:tcPr>
          <w:p w14:paraId="3A4C224E"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g2 × postpilot</w:t>
            </w:r>
          </w:p>
        </w:tc>
        <w:tc>
          <w:tcPr>
            <w:tcW w:w="0" w:type="auto"/>
            <w:vAlign w:val="center"/>
            <w:hideMark/>
          </w:tcPr>
          <w:p w14:paraId="15CCD617"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-0.100** (0.046)</w:t>
            </w:r>
          </w:p>
        </w:tc>
        <w:tc>
          <w:tcPr>
            <w:tcW w:w="0" w:type="auto"/>
            <w:vAlign w:val="center"/>
            <w:hideMark/>
          </w:tcPr>
          <w:p w14:paraId="6E3DFC55"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0.052 (0.108)</w:t>
            </w:r>
          </w:p>
        </w:tc>
      </w:tr>
      <w:tr w:rsidR="000A286F" w:rsidRPr="000A286F" w14:paraId="4DAA13CE" w14:textId="77777777">
        <w:trPr>
          <w:tblCellSpacing w:w="15" w:type="dxa"/>
        </w:trPr>
        <w:tc>
          <w:tcPr>
            <w:tcW w:w="0" w:type="auto"/>
            <w:vAlign w:val="center"/>
            <w:hideMark/>
          </w:tcPr>
          <w:p w14:paraId="167CF270"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g3 × postpilot</w:t>
            </w:r>
          </w:p>
        </w:tc>
        <w:tc>
          <w:tcPr>
            <w:tcW w:w="0" w:type="auto"/>
            <w:vAlign w:val="center"/>
            <w:hideMark/>
          </w:tcPr>
          <w:p w14:paraId="526D68EF"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0.003 (0.047)</w:t>
            </w:r>
          </w:p>
        </w:tc>
        <w:tc>
          <w:tcPr>
            <w:tcW w:w="0" w:type="auto"/>
            <w:vAlign w:val="center"/>
            <w:hideMark/>
          </w:tcPr>
          <w:p w14:paraId="4A5F8625"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0.227* (0.118)</w:t>
            </w:r>
          </w:p>
        </w:tc>
      </w:tr>
      <w:tr w:rsidR="000A286F" w:rsidRPr="000A286F" w14:paraId="7155E80F" w14:textId="77777777">
        <w:trPr>
          <w:tblCellSpacing w:w="15" w:type="dxa"/>
        </w:trPr>
        <w:tc>
          <w:tcPr>
            <w:tcW w:w="0" w:type="auto"/>
            <w:vAlign w:val="center"/>
            <w:hideMark/>
          </w:tcPr>
          <w:p w14:paraId="10C6A1ED"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g1 × treatment × SmallSpread</w:t>
            </w:r>
          </w:p>
        </w:tc>
        <w:tc>
          <w:tcPr>
            <w:tcW w:w="0" w:type="auto"/>
            <w:vAlign w:val="center"/>
            <w:hideMark/>
          </w:tcPr>
          <w:p w14:paraId="2F3EBDA4"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w:t>
            </w:r>
          </w:p>
        </w:tc>
        <w:tc>
          <w:tcPr>
            <w:tcW w:w="0" w:type="auto"/>
            <w:vAlign w:val="center"/>
            <w:hideMark/>
          </w:tcPr>
          <w:p w14:paraId="14FE0D6E"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-0.169** (0.078)</w:t>
            </w:r>
          </w:p>
        </w:tc>
      </w:tr>
      <w:tr w:rsidR="000A286F" w:rsidRPr="000A286F" w14:paraId="4B1E572E" w14:textId="77777777">
        <w:trPr>
          <w:tblCellSpacing w:w="15" w:type="dxa"/>
        </w:trPr>
        <w:tc>
          <w:tcPr>
            <w:tcW w:w="0" w:type="auto"/>
            <w:vAlign w:val="center"/>
            <w:hideMark/>
          </w:tcPr>
          <w:p w14:paraId="07B48302"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g2 × treatment × SmallSpread</w:t>
            </w:r>
          </w:p>
        </w:tc>
        <w:tc>
          <w:tcPr>
            <w:tcW w:w="0" w:type="auto"/>
            <w:vAlign w:val="center"/>
            <w:hideMark/>
          </w:tcPr>
          <w:p w14:paraId="3312AB6F"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w:t>
            </w:r>
          </w:p>
        </w:tc>
        <w:tc>
          <w:tcPr>
            <w:tcW w:w="0" w:type="auto"/>
            <w:vAlign w:val="center"/>
            <w:hideMark/>
          </w:tcPr>
          <w:p w14:paraId="6E4794A4"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-0.161* (0.090)</w:t>
            </w:r>
          </w:p>
        </w:tc>
      </w:tr>
      <w:tr w:rsidR="000A286F" w:rsidRPr="000A286F" w14:paraId="14B1063C" w14:textId="77777777">
        <w:trPr>
          <w:tblCellSpacing w:w="15" w:type="dxa"/>
        </w:trPr>
        <w:tc>
          <w:tcPr>
            <w:tcW w:w="0" w:type="auto"/>
            <w:vAlign w:val="center"/>
            <w:hideMark/>
          </w:tcPr>
          <w:p w14:paraId="66036670"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g3 × treatment × SmallSpread</w:t>
            </w:r>
          </w:p>
        </w:tc>
        <w:tc>
          <w:tcPr>
            <w:tcW w:w="0" w:type="auto"/>
            <w:vAlign w:val="center"/>
            <w:hideMark/>
          </w:tcPr>
          <w:p w14:paraId="2B7DB1A7"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w:t>
            </w:r>
          </w:p>
        </w:tc>
        <w:tc>
          <w:tcPr>
            <w:tcW w:w="0" w:type="auto"/>
            <w:vAlign w:val="center"/>
            <w:hideMark/>
          </w:tcPr>
          <w:p w14:paraId="10151AC7"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-0.187* (0.097)</w:t>
            </w:r>
          </w:p>
        </w:tc>
      </w:tr>
      <w:tr w:rsidR="000A286F" w:rsidRPr="000A286F" w14:paraId="0AE137C0" w14:textId="77777777">
        <w:trPr>
          <w:tblCellSpacing w:w="15" w:type="dxa"/>
        </w:trPr>
        <w:tc>
          <w:tcPr>
            <w:tcW w:w="0" w:type="auto"/>
            <w:vAlign w:val="center"/>
            <w:hideMark/>
          </w:tcPr>
          <w:p w14:paraId="6648D947"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g1 × postpilot × SmallSpread</w:t>
            </w:r>
          </w:p>
        </w:tc>
        <w:tc>
          <w:tcPr>
            <w:tcW w:w="0" w:type="auto"/>
            <w:vAlign w:val="center"/>
            <w:hideMark/>
          </w:tcPr>
          <w:p w14:paraId="13C45C73"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w:t>
            </w:r>
          </w:p>
        </w:tc>
        <w:tc>
          <w:tcPr>
            <w:tcW w:w="0" w:type="auto"/>
            <w:vAlign w:val="center"/>
            <w:hideMark/>
          </w:tcPr>
          <w:p w14:paraId="6F1B7194"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-0.111 (0.108)</w:t>
            </w:r>
          </w:p>
        </w:tc>
      </w:tr>
      <w:tr w:rsidR="000A286F" w:rsidRPr="000A286F" w14:paraId="1EF0CE1E" w14:textId="77777777">
        <w:trPr>
          <w:tblCellSpacing w:w="15" w:type="dxa"/>
        </w:trPr>
        <w:tc>
          <w:tcPr>
            <w:tcW w:w="0" w:type="auto"/>
            <w:vAlign w:val="center"/>
            <w:hideMark/>
          </w:tcPr>
          <w:p w14:paraId="7D247353"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g2 × postpilot × SmallSpread</w:t>
            </w:r>
          </w:p>
        </w:tc>
        <w:tc>
          <w:tcPr>
            <w:tcW w:w="0" w:type="auto"/>
            <w:vAlign w:val="center"/>
            <w:hideMark/>
          </w:tcPr>
          <w:p w14:paraId="7A69284A"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w:t>
            </w:r>
          </w:p>
        </w:tc>
        <w:tc>
          <w:tcPr>
            <w:tcW w:w="0" w:type="auto"/>
            <w:vAlign w:val="center"/>
            <w:hideMark/>
          </w:tcPr>
          <w:p w14:paraId="2F3BA9E0"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-0.202* (0.113)</w:t>
            </w:r>
          </w:p>
        </w:tc>
      </w:tr>
      <w:tr w:rsidR="000A286F" w:rsidRPr="000A286F" w14:paraId="577CDE44" w14:textId="77777777">
        <w:trPr>
          <w:tblCellSpacing w:w="15" w:type="dxa"/>
        </w:trPr>
        <w:tc>
          <w:tcPr>
            <w:tcW w:w="0" w:type="auto"/>
            <w:vAlign w:val="center"/>
            <w:hideMark/>
          </w:tcPr>
          <w:p w14:paraId="17202347"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g3 × postpilot × SmallSpread</w:t>
            </w:r>
          </w:p>
        </w:tc>
        <w:tc>
          <w:tcPr>
            <w:tcW w:w="0" w:type="auto"/>
            <w:vAlign w:val="center"/>
            <w:hideMark/>
          </w:tcPr>
          <w:p w14:paraId="46F60E1E"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w:t>
            </w:r>
          </w:p>
        </w:tc>
        <w:tc>
          <w:tcPr>
            <w:tcW w:w="0" w:type="auto"/>
            <w:vAlign w:val="center"/>
            <w:hideMark/>
          </w:tcPr>
          <w:p w14:paraId="68887EFF"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-0.299** (0.122)</w:t>
            </w:r>
          </w:p>
        </w:tc>
      </w:tr>
      <w:tr w:rsidR="000A286F" w:rsidRPr="000A286F" w14:paraId="7524DC8B" w14:textId="77777777">
        <w:trPr>
          <w:tblCellSpacing w:w="15" w:type="dxa"/>
        </w:trPr>
        <w:tc>
          <w:tcPr>
            <w:tcW w:w="0" w:type="auto"/>
            <w:vAlign w:val="center"/>
            <w:hideMark/>
          </w:tcPr>
          <w:p w14:paraId="6C67CA8A"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Inv_Price</w:t>
            </w:r>
          </w:p>
        </w:tc>
        <w:tc>
          <w:tcPr>
            <w:tcW w:w="0" w:type="auto"/>
            <w:vAlign w:val="center"/>
            <w:hideMark/>
          </w:tcPr>
          <w:p w14:paraId="64D2094A"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-1.061*** (0.156)</w:t>
            </w:r>
          </w:p>
        </w:tc>
        <w:tc>
          <w:tcPr>
            <w:tcW w:w="0" w:type="auto"/>
            <w:vAlign w:val="center"/>
            <w:hideMark/>
          </w:tcPr>
          <w:p w14:paraId="68BB5125"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-1.060*** (0.154)</w:t>
            </w:r>
          </w:p>
        </w:tc>
      </w:tr>
      <w:tr w:rsidR="000A286F" w:rsidRPr="000A286F" w14:paraId="3B589EEC" w14:textId="77777777">
        <w:trPr>
          <w:tblCellSpacing w:w="15" w:type="dxa"/>
        </w:trPr>
        <w:tc>
          <w:tcPr>
            <w:tcW w:w="0" w:type="auto"/>
            <w:vAlign w:val="center"/>
            <w:hideMark/>
          </w:tcPr>
          <w:p w14:paraId="222DB41D"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L_abs_ret</w:t>
            </w:r>
          </w:p>
        </w:tc>
        <w:tc>
          <w:tcPr>
            <w:tcW w:w="0" w:type="auto"/>
            <w:vAlign w:val="center"/>
            <w:hideMark/>
          </w:tcPr>
          <w:p w14:paraId="4E637A80"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7.812*** (0.116)</w:t>
            </w:r>
          </w:p>
        </w:tc>
        <w:tc>
          <w:tcPr>
            <w:tcW w:w="0" w:type="auto"/>
            <w:vAlign w:val="center"/>
            <w:hideMark/>
          </w:tcPr>
          <w:p w14:paraId="595F62A8"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7.798*** (0.116)</w:t>
            </w:r>
          </w:p>
        </w:tc>
      </w:tr>
      <w:tr w:rsidR="000A286F" w:rsidRPr="000A286F" w14:paraId="03737E2B" w14:textId="77777777">
        <w:trPr>
          <w:tblCellSpacing w:w="15" w:type="dxa"/>
        </w:trPr>
        <w:tc>
          <w:tcPr>
            <w:tcW w:w="0" w:type="auto"/>
            <w:vAlign w:val="center"/>
            <w:hideMark/>
          </w:tcPr>
          <w:p w14:paraId="51D5A00C"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Constant</w:t>
            </w:r>
          </w:p>
        </w:tc>
        <w:tc>
          <w:tcPr>
            <w:tcW w:w="0" w:type="auto"/>
            <w:vAlign w:val="center"/>
            <w:hideMark/>
          </w:tcPr>
          <w:p w14:paraId="0B69BDCF"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1.219*** (0.017)</w:t>
            </w:r>
          </w:p>
        </w:tc>
        <w:tc>
          <w:tcPr>
            <w:tcW w:w="0" w:type="auto"/>
            <w:vAlign w:val="center"/>
            <w:hideMark/>
          </w:tcPr>
          <w:p w14:paraId="72A372AE" w14:textId="77777777" w:rsidR="000A286F" w:rsidRPr="000A286F" w:rsidRDefault="000A286F" w:rsidP="000A286F">
            <w:pPr>
              <w:spacing w:before="240" w:after="120" w:line="360" w:lineRule="auto"/>
              <w:rPr>
                <w:rFonts w:ascii="Times New Roman" w:eastAsia="Aptos" w:hAnsi="Times New Roman" w:cs="Times New Roman"/>
                <w:bCs/>
                <w:sz w:val="22"/>
                <w:szCs w:val="22"/>
                <w:lang w:val="pt-PT"/>
              </w:rPr>
            </w:pPr>
            <w:r w:rsidRPr="000A286F">
              <w:rPr>
                <w:rFonts w:ascii="Times New Roman" w:eastAsia="Aptos" w:hAnsi="Times New Roman" w:cs="Times New Roman"/>
                <w:bCs/>
                <w:sz w:val="22"/>
                <w:szCs w:val="22"/>
                <w:lang w:val="pt-PT"/>
              </w:rPr>
              <w:t>1.218*** (0.017)</w:t>
            </w:r>
          </w:p>
        </w:tc>
      </w:tr>
    </w:tbl>
    <w:p w14:paraId="4D1C1DBF" w14:textId="79A41C7C" w:rsidR="00FB3EBD" w:rsidRPr="00FB3EBD" w:rsidRDefault="00FB3EBD" w:rsidP="00FB3EBD">
      <w:pPr>
        <w:spacing w:before="240" w:after="120" w:line="360" w:lineRule="auto"/>
        <w:rPr>
          <w:rFonts w:ascii="Times New Roman" w:eastAsia="Aptos" w:hAnsi="Times New Roman" w:cs="Times New Roman"/>
          <w:bCs/>
          <w:sz w:val="22"/>
          <w:szCs w:val="22"/>
          <w:lang w:val="en-GB"/>
        </w:rPr>
      </w:pPr>
    </w:p>
    <w:p w14:paraId="1425E49B" w14:textId="12663525" w:rsidR="00B27006" w:rsidRPr="00FB3EBD" w:rsidRDefault="00130866" w:rsidP="00FB3EBD">
      <w:pPr>
        <w:spacing w:after="120" w:line="360" w:lineRule="auto"/>
        <w:rPr>
          <w:rFonts w:ascii="Times New Roman" w:eastAsia="Aptos" w:hAnsi="Times New Roman" w:cs="Times New Roman"/>
          <w:i/>
          <w:sz w:val="22"/>
          <w:szCs w:val="22"/>
          <w:lang w:val="en-GB"/>
        </w:rPr>
      </w:pPr>
      <w:r w:rsidRPr="00EA32E2">
        <w:rPr>
          <w:rFonts w:ascii="Times New Roman" w:eastAsia="Aptos" w:hAnsi="Times New Roman" w:cs="Times New Roman"/>
          <w:i/>
          <w:sz w:val="22"/>
          <w:szCs w:val="22"/>
          <w:lang w:val="en-GB"/>
        </w:rPr>
        <w:t>Dependent variable: ln(Turnover)</w:t>
      </w:r>
    </w:p>
    <w:p w14:paraId="6457A0B9" w14:textId="4718F561" w:rsidR="006C0A4B" w:rsidRPr="00EA32E2" w:rsidRDefault="006C0A4B" w:rsidP="00675C55">
      <w:pPr>
        <w:pStyle w:val="Heading1"/>
        <w:numPr>
          <w:ilvl w:val="0"/>
          <w:numId w:val="44"/>
        </w:numPr>
      </w:pPr>
      <w:bookmarkStart w:id="23" w:name="_Toc223269530"/>
      <w:r w:rsidRPr="00EA32E2">
        <w:t>Results</w:t>
      </w:r>
      <w:bookmarkEnd w:id="23"/>
    </w:p>
    <w:p w14:paraId="2FA65C97" w14:textId="74904499" w:rsidR="00C77B5C" w:rsidRPr="00CC1B6F" w:rsidRDefault="00341DB7" w:rsidP="584DBFE9">
      <w:pPr>
        <w:spacing w:after="120" w:line="360" w:lineRule="auto"/>
        <w:jc w:val="both"/>
        <w:rPr>
          <w:rFonts w:ascii="Times New Roman" w:hAnsi="Times New Roman" w:cs="Times New Roman"/>
          <w:lang w:val="en-GB"/>
        </w:rPr>
      </w:pPr>
      <w:r w:rsidRPr="584DBFE9">
        <w:rPr>
          <w:rFonts w:ascii="Times New Roman" w:eastAsia="Aptos" w:hAnsi="Times New Roman" w:cs="Times New Roman"/>
          <w:sz w:val="22"/>
          <w:szCs w:val="22"/>
          <w:lang w:val="en-GB"/>
        </w:rPr>
        <w:t xml:space="preserve">This section presents the empirical results of the difference-in-differences estimations assessing the impact of the SEC Tick Size Pilot Program on trading activity. The analysis proceeds in two stages. First, average treatment effects across the three pilot groups are estimated to test Hypothesis 1. </w:t>
      </w:r>
      <w:commentRangeStart w:id="24"/>
      <w:commentRangeEnd w:id="24"/>
      <w:r w:rsidR="00703890" w:rsidRPr="584DBFE9">
        <w:rPr>
          <w:rStyle w:val="CommentReference"/>
          <w:rFonts w:ascii="Times New Roman" w:eastAsia="Aptos" w:hAnsi="Times New Roman" w:cs="Times New Roman"/>
          <w:sz w:val="22"/>
          <w:szCs w:val="22"/>
          <w:lang w:val="en-GB"/>
        </w:rPr>
        <w:commentReference w:id="24"/>
      </w:r>
      <w:r w:rsidR="5379B72A" w:rsidRPr="584DBFE9">
        <w:rPr>
          <w:rFonts w:ascii="Times New Roman" w:eastAsia="Aptos" w:hAnsi="Times New Roman" w:cs="Times New Roman"/>
          <w:sz w:val="22"/>
          <w:szCs w:val="22"/>
          <w:lang w:val="en-GB"/>
        </w:rPr>
        <w:t>Second, heterogeneous effects are examined to assess whether the decline in trading activity is stronger for stocks whose pre-pilot quoted spreads were below $0.05, that is, for stocks for which the new minimum tick size is likely to bind, as predicted by Hypothesis 2.</w:t>
      </w:r>
    </w:p>
    <w:p w14:paraId="13D67A08" w14:textId="6C1827F7" w:rsidR="00C77B5C" w:rsidRPr="00EA32E2" w:rsidRDefault="00703890" w:rsidP="00675C55">
      <w:pPr>
        <w:pStyle w:val="Heading2"/>
        <w:numPr>
          <w:ilvl w:val="1"/>
          <w:numId w:val="44"/>
        </w:numPr>
        <w:rPr>
          <w:rFonts w:ascii="Times New Roman" w:hAnsi="Times New Roman" w:cs="Times New Roman"/>
          <w:lang w:val="en-GB"/>
        </w:rPr>
      </w:pPr>
      <w:bookmarkStart w:id="25" w:name="_Toc223269531"/>
      <w:r w:rsidRPr="00EA32E2">
        <w:rPr>
          <w:rFonts w:ascii="Times New Roman" w:hAnsi="Times New Roman" w:cs="Times New Roman"/>
          <w:lang w:val="en-GB"/>
        </w:rPr>
        <w:t>Result Explanation</w:t>
      </w:r>
      <w:bookmarkEnd w:id="25"/>
    </w:p>
    <w:p w14:paraId="0E9D6825" w14:textId="62FA0B3E" w:rsidR="00932DD1" w:rsidRPr="00DB1616" w:rsidRDefault="00024701" w:rsidP="00FB3EBD">
      <w:pPr>
        <w:spacing w:before="240" w:after="120" w:line="360" w:lineRule="auto"/>
        <w:jc w:val="both"/>
        <w:rPr>
          <w:rFonts w:ascii="Times New Roman" w:eastAsia="Aptos" w:hAnsi="Times New Roman" w:cs="Times New Roman"/>
          <w:sz w:val="22"/>
          <w:szCs w:val="22"/>
          <w:lang w:val="en-GB"/>
        </w:rPr>
      </w:pPr>
      <w:r w:rsidRPr="00DB1616">
        <w:rPr>
          <w:rFonts w:ascii="Times New Roman" w:eastAsia="Aptos" w:hAnsi="Times New Roman" w:cs="Times New Roman"/>
          <w:i/>
          <w:sz w:val="22"/>
          <w:szCs w:val="22"/>
          <w:lang w:val="en-GB"/>
        </w:rPr>
        <w:t>Notes:</w:t>
      </w:r>
      <w:r w:rsidRPr="00DB1616">
        <w:rPr>
          <w:rFonts w:ascii="Times New Roman" w:eastAsia="Aptos" w:hAnsi="Times New Roman" w:cs="Times New Roman"/>
          <w:sz w:val="22"/>
          <w:szCs w:val="22"/>
          <w:lang w:val="en-GB"/>
        </w:rPr>
        <w:t xml:space="preserve"> </w:t>
      </w:r>
      <w:r w:rsidR="00C463BC" w:rsidRPr="00DB1616">
        <w:rPr>
          <w:rFonts w:ascii="Times New Roman" w:eastAsia="Aptos" w:hAnsi="Times New Roman" w:cs="Times New Roman"/>
          <w:sz w:val="22"/>
          <w:szCs w:val="22"/>
          <w:lang w:val="en-GB"/>
        </w:rPr>
        <w:t>The dependent variable is the natural logarithm of daily share turnover. G1, G2, and G3 indicate assignment to the three SEC Tick Size Pilot treatment groups. Treatment equals one during the pilot implementation period. SmallSpread equals one if the firm’s pre-treatment average quoted spread is below $0.05. All regressions include firm and date fixed effects. Standard errors, reported in parentheses, are clustered at the firm level. ***, **, and * denote statistical significance at the 1 percent, 5 percent, and 10 percent levels, respectively.</w:t>
      </w:r>
    </w:p>
    <w:p w14:paraId="132B5507" w14:textId="43378806" w:rsidR="000F7D14" w:rsidRPr="002B5125" w:rsidRDefault="000F7D14" w:rsidP="002B5125">
      <w:pPr>
        <w:spacing w:after="120" w:line="360" w:lineRule="auto"/>
        <w:jc w:val="both"/>
        <w:rPr>
          <w:rFonts w:ascii="Times New Roman" w:eastAsia="Aptos" w:hAnsi="Times New Roman" w:cs="Times New Roman"/>
          <w:sz w:val="22"/>
          <w:szCs w:val="22"/>
          <w:lang w:val="en-GB"/>
        </w:rPr>
      </w:pPr>
      <w:r w:rsidRPr="000F7D14">
        <w:rPr>
          <w:rFonts w:ascii="Times New Roman" w:eastAsia="Aptos" w:hAnsi="Times New Roman" w:cs="Times New Roman"/>
          <w:sz w:val="22"/>
          <w:szCs w:val="22"/>
          <w:lang w:val="en-GB"/>
        </w:rPr>
        <w:t>Table 2 reports the baseline difference-in-differences estimates of the impact of the minimum tick size increase on daily trading turnover. The dependent variable is the natural logarithm of daily share turnover. The interaction terms between the pilot group indicators (G1, G2, G3) and the Treatment Period indicator capture the change in turnover for treated stocks relative to control stocks during the pilot implementation window, while the Post-Pilot interactions measure whether effects persist after the program ended. In the heterogeneous specification, the triple interaction terms with SmallSpread identify whether the treatment effect differs for stocks whose pre-treatment quoted spreads were below $0.05. All specifications include firm and date fixed effects. Standard errors are clustered at the firm level to account for serial correlation within stocks over time.</w:t>
      </w:r>
    </w:p>
    <w:p w14:paraId="61052157" w14:textId="5E4D8124" w:rsidR="007D1047" w:rsidRPr="00EA32E2" w:rsidRDefault="008D6F05" w:rsidP="00675C55">
      <w:pPr>
        <w:pStyle w:val="Heading3"/>
        <w:numPr>
          <w:ilvl w:val="2"/>
          <w:numId w:val="44"/>
        </w:numPr>
        <w:rPr>
          <w:rFonts w:ascii="Times New Roman" w:hAnsi="Times New Roman" w:cs="Times New Roman"/>
          <w:b/>
          <w:color w:val="000000" w:themeColor="text1"/>
          <w:lang w:val="en-GB"/>
        </w:rPr>
      </w:pPr>
      <w:bookmarkStart w:id="26" w:name="_Toc223269532"/>
      <w:r w:rsidRPr="00EA32E2">
        <w:rPr>
          <w:rFonts w:ascii="Times New Roman" w:hAnsi="Times New Roman" w:cs="Times New Roman"/>
          <w:b/>
          <w:color w:val="000000" w:themeColor="text1"/>
          <w:lang w:val="en-GB"/>
        </w:rPr>
        <w:t>Average Treatment Effect</w:t>
      </w:r>
      <w:bookmarkEnd w:id="26"/>
    </w:p>
    <w:p w14:paraId="3C0D664C" w14:textId="77777777" w:rsidR="002322FF" w:rsidRDefault="007D1047" w:rsidP="00856EDE">
      <w:pPr>
        <w:spacing w:before="240" w:after="120" w:line="360" w:lineRule="auto"/>
        <w:jc w:val="both"/>
        <w:rPr>
          <w:rFonts w:ascii="Times New Roman" w:eastAsia="Aptos" w:hAnsi="Times New Roman" w:cs="Times New Roman"/>
          <w:sz w:val="22"/>
          <w:szCs w:val="22"/>
          <w:lang w:val="en-GB"/>
        </w:rPr>
      </w:pPr>
      <w:r w:rsidRPr="007D1047">
        <w:rPr>
          <w:rFonts w:ascii="Times New Roman" w:eastAsia="Aptos" w:hAnsi="Times New Roman" w:cs="Times New Roman"/>
          <w:sz w:val="22"/>
          <w:szCs w:val="22"/>
          <w:lang w:val="en-GB"/>
        </w:rPr>
        <w:t>Column (1) presents the baseline specification allowing for separate treatment effects for each pilot group. The estimated coefficients on the interaction terms between group indicators and the treatment period capture the average change in trading activity for treated stocks relative to the control group following the implementation of the pilot.</w:t>
      </w:r>
      <w:r w:rsidR="00CD362B">
        <w:rPr>
          <w:rFonts w:ascii="Times New Roman" w:eastAsia="Aptos" w:hAnsi="Times New Roman" w:cs="Times New Roman"/>
          <w:sz w:val="22"/>
          <w:szCs w:val="22"/>
          <w:lang w:val="en-GB"/>
        </w:rPr>
        <w:t xml:space="preserve"> </w:t>
      </w:r>
    </w:p>
    <w:p w14:paraId="32608358" w14:textId="77777777" w:rsidR="002322FF" w:rsidRDefault="007D1047" w:rsidP="00856EDE">
      <w:pPr>
        <w:spacing w:before="240" w:after="120" w:line="360" w:lineRule="auto"/>
        <w:jc w:val="both"/>
        <w:rPr>
          <w:rFonts w:ascii="Times New Roman" w:eastAsia="Aptos" w:hAnsi="Times New Roman" w:cs="Times New Roman"/>
          <w:sz w:val="22"/>
          <w:szCs w:val="22"/>
          <w:lang w:val="en-GB"/>
        </w:rPr>
      </w:pPr>
      <w:r w:rsidRPr="007D1047">
        <w:rPr>
          <w:rFonts w:ascii="Times New Roman" w:eastAsia="Aptos" w:hAnsi="Times New Roman" w:cs="Times New Roman"/>
          <w:sz w:val="22"/>
          <w:szCs w:val="22"/>
          <w:lang w:val="en-GB"/>
        </w:rPr>
        <w:t xml:space="preserve">The estimated coefficient for Group 1 is −0.0884 and statistically significant at the 1 percent level (p=0.007). Because the dependent variable is log-transformed, the exact percentage effect is calculated as </w:t>
      </w:r>
      <m:oMath>
        <m:sSup>
          <m:sSupPr>
            <m:ctrlPr>
              <w:rPr>
                <w:rFonts w:ascii="Cambria Math" w:eastAsia="Aptos" w:hAnsi="Cambria Math" w:cs="Times New Roman"/>
                <w:i/>
                <w:sz w:val="22"/>
                <w:szCs w:val="22"/>
                <w:lang w:val="en-GB"/>
              </w:rPr>
            </m:ctrlPr>
          </m:sSupPr>
          <m:e>
            <m:r>
              <w:rPr>
                <w:rFonts w:ascii="Cambria Math" w:eastAsia="Aptos" w:hAnsi="Cambria Math" w:cs="Times New Roman"/>
                <w:sz w:val="22"/>
                <w:szCs w:val="22"/>
                <w:lang w:val="en-GB"/>
              </w:rPr>
              <m:t>e</m:t>
            </m:r>
          </m:e>
          <m:sup>
            <m:r>
              <w:rPr>
                <w:rFonts w:ascii="Cambria Math" w:eastAsia="Aptos" w:hAnsi="Cambria Math" w:cs="Times New Roman"/>
                <w:sz w:val="22"/>
                <w:szCs w:val="22"/>
                <w:lang w:val="en-GB"/>
              </w:rPr>
              <m:t>β</m:t>
            </m:r>
          </m:sup>
        </m:sSup>
        <m:r>
          <w:rPr>
            <w:rFonts w:ascii="Cambria Math" w:eastAsia="Aptos" w:hAnsi="Cambria Math" w:cs="Times New Roman"/>
            <w:sz w:val="22"/>
            <w:szCs w:val="22"/>
            <w:lang w:val="en-GB"/>
          </w:rPr>
          <m:t>-1</m:t>
        </m:r>
      </m:oMath>
      <w:r w:rsidRPr="007D1047">
        <w:rPr>
          <w:rFonts w:ascii="Times New Roman" w:eastAsia="Aptos" w:hAnsi="Times New Roman" w:cs="Times New Roman"/>
          <w:sz w:val="22"/>
          <w:szCs w:val="22"/>
          <w:lang w:val="en-GB"/>
        </w:rPr>
        <w:t>. This estimate implies an 8.46 percent decline in turnover for Group 1 stocks during the treatment period relative to the control group. For Group 2, the coefficient equals −0.0662 and is statistically significant at the 10 percent level (p=0.065), corresponding to a 6.41 percent reduction in trading activity. For Group 3, the coefficient equals −0.0954 and is statistically significant at the 5 percent level (p=0.011), implying a substantial 9.10 percent decline in turnover. Furthermore, the inclusion of the post-pilot period indicators reveals that once the experiment concluded, trading volumes for Group 1 and Group 3 largely reverted to normal levels (with statistically insignificant differences from the control group), strongly reinforcing the causal interpretation of the treatment effect.</w:t>
      </w:r>
    </w:p>
    <w:p w14:paraId="5A0532EF" w14:textId="77777777" w:rsidR="002322FF" w:rsidRDefault="007D1047" w:rsidP="00856EDE">
      <w:pPr>
        <w:spacing w:before="240" w:after="120" w:line="360" w:lineRule="auto"/>
        <w:jc w:val="both"/>
        <w:rPr>
          <w:rFonts w:ascii="Times New Roman" w:eastAsia="Aptos" w:hAnsi="Times New Roman" w:cs="Times New Roman"/>
          <w:sz w:val="22"/>
          <w:szCs w:val="22"/>
          <w:lang w:val="en-GB"/>
        </w:rPr>
      </w:pPr>
      <w:r w:rsidRPr="007D1047">
        <w:rPr>
          <w:rFonts w:ascii="Times New Roman" w:eastAsia="Aptos" w:hAnsi="Times New Roman" w:cs="Times New Roman"/>
          <w:sz w:val="22"/>
          <w:szCs w:val="22"/>
          <w:lang w:val="en-GB"/>
        </w:rPr>
        <w:t>The results are highly consistent with Hypothesis 1. Across all three pilot groups, the increase in the minimum tick size is associated with a statistically and economically significant reduction in trading volume. Exact declines between 6.4 and 9.1 percent in daily turnover indicate a notable contraction in trading activity for small capitalization stocks.</w:t>
      </w:r>
    </w:p>
    <w:p w14:paraId="65EAE9EA" w14:textId="3B9B908D" w:rsidR="007D1047" w:rsidRDefault="007D1047" w:rsidP="00856EDE">
      <w:pPr>
        <w:spacing w:before="240" w:after="120" w:line="360" w:lineRule="auto"/>
        <w:jc w:val="both"/>
        <w:rPr>
          <w:rFonts w:ascii="Times New Roman" w:eastAsia="Aptos" w:hAnsi="Times New Roman" w:cs="Times New Roman"/>
          <w:sz w:val="22"/>
          <w:szCs w:val="22"/>
          <w:lang w:val="en-GB"/>
        </w:rPr>
      </w:pPr>
      <w:r w:rsidRPr="007D1047">
        <w:rPr>
          <w:rFonts w:ascii="Times New Roman" w:eastAsia="Aptos" w:hAnsi="Times New Roman" w:cs="Times New Roman"/>
          <w:sz w:val="22"/>
          <w:szCs w:val="22"/>
          <w:lang w:val="en-GB"/>
        </w:rPr>
        <w:t>The ordering of the coefficients is also informative. Group 3, which faced the most restrictive trading conditions due to the trade-at prohibition, exhibits the largest reduction in turnover. Formal pairwise tests show that the differences between Group 3 and the other groups are not statistically significant at conventional levels. Nevertheless, the pattern of point estimates aligns with the increasing intensity of regulatory constraints across groups. This ordering is consistent with the idea that progressively tighter trading restrictions reduce incentives to trade. Overall, the baseline evidence supports the friction channel described in the theoretical framework. By imposing a higher minimum quoting increment, the pilot increased effective transaction costs and reduced investors’ willingness to trade.</w:t>
      </w:r>
    </w:p>
    <w:p w14:paraId="674147FB" w14:textId="52BA231F" w:rsidR="0052606A" w:rsidRPr="00907C96" w:rsidRDefault="00BA230A" w:rsidP="00675C55">
      <w:pPr>
        <w:pStyle w:val="Heading3"/>
        <w:numPr>
          <w:ilvl w:val="2"/>
          <w:numId w:val="44"/>
        </w:numPr>
        <w:rPr>
          <w:rFonts w:ascii="Times New Roman" w:hAnsi="Times New Roman" w:cs="Times New Roman"/>
          <w:b/>
          <w:color w:val="000000" w:themeColor="text1"/>
          <w:lang w:val="en-GB"/>
        </w:rPr>
      </w:pPr>
      <w:bookmarkStart w:id="27" w:name="_Toc223269533"/>
      <w:r w:rsidRPr="00907C96">
        <w:rPr>
          <w:rFonts w:ascii="Times New Roman" w:hAnsi="Times New Roman" w:cs="Times New Roman"/>
          <w:b/>
          <w:color w:val="000000" w:themeColor="text1"/>
          <w:lang w:val="en-GB"/>
        </w:rPr>
        <w:t>Heterogeneous Effects by Pre-Treatment Spread</w:t>
      </w:r>
      <w:bookmarkEnd w:id="27"/>
    </w:p>
    <w:p w14:paraId="46136DB1" w14:textId="77777777" w:rsidR="008C18FA" w:rsidRDefault="008C18FA" w:rsidP="00856EDE">
      <w:pPr>
        <w:spacing w:before="240" w:after="120" w:line="360" w:lineRule="auto"/>
        <w:jc w:val="both"/>
        <w:rPr>
          <w:rFonts w:ascii="Times New Roman" w:eastAsia="Aptos" w:hAnsi="Times New Roman" w:cs="Times New Roman"/>
          <w:sz w:val="22"/>
          <w:szCs w:val="22"/>
          <w:lang w:val="en-GB"/>
        </w:rPr>
      </w:pPr>
      <w:r w:rsidRPr="008C18FA">
        <w:rPr>
          <w:rFonts w:ascii="Times New Roman" w:eastAsia="Aptos" w:hAnsi="Times New Roman" w:cs="Times New Roman"/>
          <w:sz w:val="22"/>
          <w:szCs w:val="22"/>
          <w:lang w:val="en-GB"/>
        </w:rPr>
        <w:t>Column (2) augments the baseline specification with triple interaction terms between the treatment indicators and the pre-treatment binding constraint variable SmallSpread. This extension allows the treatment effect to differ depending on whether a stock’s average pre-treatment quoted spread was below $0.05. Under Hypothesis 2, the negative volume effect should be concentrated exclusively among stocks for which the new tick is likely to bind.</w:t>
      </w:r>
    </w:p>
    <w:p w14:paraId="024DD540" w14:textId="77777777" w:rsidR="008C18FA" w:rsidRDefault="008C18FA" w:rsidP="00856EDE">
      <w:pPr>
        <w:spacing w:before="240" w:after="120" w:line="360" w:lineRule="auto"/>
        <w:jc w:val="both"/>
        <w:rPr>
          <w:rFonts w:ascii="Times New Roman" w:eastAsia="Aptos" w:hAnsi="Times New Roman" w:cs="Times New Roman"/>
          <w:sz w:val="22"/>
          <w:szCs w:val="22"/>
          <w:lang w:val="en-GB"/>
        </w:rPr>
      </w:pPr>
      <w:r w:rsidRPr="008C18FA">
        <w:rPr>
          <w:rFonts w:ascii="Times New Roman" w:eastAsia="Aptos" w:hAnsi="Times New Roman" w:cs="Times New Roman"/>
          <w:sz w:val="22"/>
          <w:szCs w:val="22"/>
          <w:lang w:val="en-GB"/>
        </w:rPr>
        <w:t>Once heterogeneous effects are introduced, the baseline treatment coefficients for Groups 1 to 3 become completely statistically insignificant (p-values ranging from 0.528 to 0.633). These coefficients capture the effect for "placebo" stocks whose pre-treatment spreads were already at or above $0.05. The absolute absence of a significant effect for this subgroup confirms that the regulatory change did not materially alter trading activity for stocks that were unconstrained by the new tick size floor.</w:t>
      </w:r>
    </w:p>
    <w:p w14:paraId="62491D8E" w14:textId="1C4E8726" w:rsidR="008C18FA" w:rsidRDefault="008C18FA" w:rsidP="00856EDE">
      <w:pPr>
        <w:spacing w:before="240" w:after="120" w:line="360" w:lineRule="auto"/>
        <w:jc w:val="both"/>
        <w:rPr>
          <w:rFonts w:ascii="Times New Roman" w:eastAsia="Aptos" w:hAnsi="Times New Roman" w:cs="Times New Roman"/>
          <w:sz w:val="22"/>
          <w:szCs w:val="22"/>
          <w:lang w:val="en-GB"/>
        </w:rPr>
      </w:pPr>
      <w:r w:rsidRPr="008C18FA">
        <w:rPr>
          <w:rFonts w:ascii="Times New Roman" w:eastAsia="Aptos" w:hAnsi="Times New Roman" w:cs="Times New Roman"/>
          <w:sz w:val="22"/>
          <w:szCs w:val="22"/>
          <w:lang w:val="en-GB"/>
        </w:rPr>
        <w:t xml:space="preserve">In sharp contrast, the negative impact on turnover is heavily concentrated among constrained stocks. The triple interaction coefficient for Group 1 is −0.1691 and statistically significant at the 5 percent level. This estimate implies that, for stocks in Group 1 with pre-treatment spreads below $0.05, turnover declined by an additional 15.56 percent </w:t>
      </w:r>
      <m:oMath>
        <m:sSup>
          <m:sSupPr>
            <m:ctrlPr>
              <w:rPr>
                <w:rFonts w:ascii="Cambria Math" w:eastAsia="Aptos" w:hAnsi="Cambria Math" w:cs="Times New Roman"/>
                <w:i/>
                <w:sz w:val="22"/>
                <w:szCs w:val="22"/>
                <w:lang w:val="en-GB"/>
              </w:rPr>
            </m:ctrlPr>
          </m:sSupPr>
          <m:e>
            <m:r>
              <w:rPr>
                <w:rFonts w:ascii="Cambria Math" w:eastAsia="Aptos" w:hAnsi="Cambria Math" w:cs="Times New Roman"/>
                <w:sz w:val="22"/>
                <w:szCs w:val="22"/>
                <w:lang w:val="en-GB"/>
              </w:rPr>
              <m:t>e</m:t>
            </m:r>
          </m:e>
          <m:sup>
            <m:r>
              <w:rPr>
                <w:rFonts w:ascii="Cambria Math" w:eastAsia="Aptos" w:hAnsi="Cambria Math" w:cs="Times New Roman"/>
                <w:sz w:val="22"/>
                <w:szCs w:val="22"/>
                <w:lang w:val="en-GB"/>
              </w:rPr>
              <m:t>-0.1691</m:t>
            </m:r>
          </m:sup>
        </m:sSup>
        <m:r>
          <w:rPr>
            <w:rFonts w:ascii="Cambria Math" w:eastAsia="Aptos" w:hAnsi="Cambria Math" w:cs="Times New Roman"/>
            <w:sz w:val="22"/>
            <w:szCs w:val="22"/>
            <w:lang w:val="en-GB"/>
          </w:rPr>
          <m:t>-1</m:t>
        </m:r>
      </m:oMath>
      <w:r>
        <w:rPr>
          <w:rFonts w:ascii="Times New Roman" w:eastAsia="Aptos" w:hAnsi="Times New Roman" w:cs="Times New Roman"/>
          <w:sz w:val="22"/>
          <w:szCs w:val="22"/>
          <w:lang w:val="en-GB"/>
        </w:rPr>
        <w:t xml:space="preserve"> </w:t>
      </w:r>
      <w:r w:rsidRPr="008C18FA">
        <w:rPr>
          <w:rFonts w:ascii="Times New Roman" w:eastAsia="Aptos" w:hAnsi="Times New Roman" w:cs="Times New Roman"/>
          <w:sz w:val="22"/>
          <w:szCs w:val="22"/>
          <w:lang w:val="en-GB"/>
        </w:rPr>
        <w:t>relative to unconstrained stocks within the same group. Crucially, and unlike models that strictly drop entire firms based on post-treatment price fluctuations, our Intention-To-Treat (ITT) framework preserves the necessary sample variance to reveal significant effects across the other groups as well. For Groups 2 and 3, the triple interaction coefficients are −0.1607 and −0.1867, respectively. Both are economically massive and statistically significant at the 10 percent level (p</w:t>
      </w:r>
      <w:r>
        <w:rPr>
          <w:rFonts w:ascii="Times New Roman" w:eastAsia="Aptos" w:hAnsi="Times New Roman" w:cs="Times New Roman"/>
          <w:sz w:val="22"/>
          <w:szCs w:val="22"/>
          <w:lang w:val="en-GB"/>
        </w:rPr>
        <w:t>=</w:t>
      </w:r>
      <w:r w:rsidRPr="008C18FA">
        <w:rPr>
          <w:rFonts w:ascii="Times New Roman" w:eastAsia="Aptos" w:hAnsi="Times New Roman" w:cs="Times New Roman"/>
          <w:sz w:val="22"/>
          <w:szCs w:val="22"/>
          <w:lang w:val="en-GB"/>
        </w:rPr>
        <w:t>0.074 and p=0.054), translating to exact volume drops of 14.85 percent and 17.03 percent.</w:t>
      </w:r>
    </w:p>
    <w:p w14:paraId="1BA3A2F7" w14:textId="77777777" w:rsidR="008C18FA" w:rsidRDefault="008C18FA" w:rsidP="00856EDE">
      <w:pPr>
        <w:spacing w:before="240" w:after="120" w:line="360" w:lineRule="auto"/>
        <w:jc w:val="both"/>
        <w:rPr>
          <w:rFonts w:ascii="Times New Roman" w:eastAsia="Aptos" w:hAnsi="Times New Roman" w:cs="Times New Roman"/>
          <w:sz w:val="22"/>
          <w:szCs w:val="22"/>
          <w:lang w:val="en-GB"/>
        </w:rPr>
      </w:pPr>
      <w:r w:rsidRPr="008C18FA">
        <w:rPr>
          <w:rFonts w:ascii="Times New Roman" w:eastAsia="Aptos" w:hAnsi="Times New Roman" w:cs="Times New Roman"/>
          <w:sz w:val="22"/>
          <w:szCs w:val="22"/>
          <w:lang w:val="en-GB"/>
        </w:rPr>
        <w:t>These findings provide compelling support for Hypothesis 2. The statistically significant effect for constrained stocks across the pilot groups indicates that the volume contraction is concentrated almost entirely among firms for which the $0.05 tick represented a binding mechanical increase in the spread floor. For such stocks, the regulation mechanically widens spreads relative to their prior equilibrium levels, eliminates marginal trades, and severely reduces observed turnover.</w:t>
      </w:r>
    </w:p>
    <w:p w14:paraId="3AEBD87D" w14:textId="0BA387F6" w:rsidR="008C18FA" w:rsidRDefault="008C18FA" w:rsidP="00856EDE">
      <w:pPr>
        <w:spacing w:before="240" w:after="120" w:line="360" w:lineRule="auto"/>
        <w:jc w:val="both"/>
        <w:rPr>
          <w:rFonts w:ascii="Times New Roman" w:eastAsia="Aptos" w:hAnsi="Times New Roman" w:cs="Times New Roman"/>
          <w:sz w:val="22"/>
          <w:szCs w:val="22"/>
          <w:lang w:val="en-GB"/>
        </w:rPr>
      </w:pPr>
      <w:r w:rsidRPr="008C18FA">
        <w:rPr>
          <w:rFonts w:ascii="Times New Roman" w:eastAsia="Aptos" w:hAnsi="Times New Roman" w:cs="Times New Roman"/>
          <w:sz w:val="22"/>
          <w:szCs w:val="22"/>
          <w:lang w:val="en-GB"/>
        </w:rPr>
        <w:t>The heterogeneous specification therefore proves that the average treatment effects reported in Column (1) are not uniformly distributed across stocks. The decline in trading activity is driven primarily by firms whose pre-treatment spreads were sufficiently narrow for the $0.05 floor to bind. This pattern is perfectly consistent with the microstructure framework outlined earlier and reinforces the causal interpretation of our estimates.</w:t>
      </w:r>
    </w:p>
    <w:p w14:paraId="3209A850" w14:textId="5E8829C3" w:rsidR="00BA230A" w:rsidRPr="00CC1B6F" w:rsidRDefault="00A5036C" w:rsidP="00675C55">
      <w:pPr>
        <w:pStyle w:val="Heading2"/>
        <w:numPr>
          <w:ilvl w:val="1"/>
          <w:numId w:val="44"/>
        </w:numPr>
        <w:rPr>
          <w:rFonts w:ascii="Times New Roman" w:hAnsi="Times New Roman" w:cs="Times New Roman"/>
          <w:lang w:val="en-GB"/>
        </w:rPr>
      </w:pPr>
      <w:bookmarkStart w:id="28" w:name="_Toc223269534"/>
      <w:r w:rsidRPr="00CC1B6F">
        <w:rPr>
          <w:rFonts w:ascii="Times New Roman" w:hAnsi="Times New Roman" w:cs="Times New Roman"/>
          <w:lang w:val="en-GB"/>
        </w:rPr>
        <w:t>Economic Interpretation and Implications</w:t>
      </w:r>
      <w:bookmarkEnd w:id="28"/>
    </w:p>
    <w:p w14:paraId="50A56295" w14:textId="1534EFD6" w:rsidR="00FF461E" w:rsidRPr="00FF461E" w:rsidRDefault="00FF461E" w:rsidP="00FF461E">
      <w:pPr>
        <w:spacing w:before="240" w:after="120" w:line="360" w:lineRule="auto"/>
        <w:jc w:val="both"/>
        <w:rPr>
          <w:rFonts w:ascii="Times New Roman" w:eastAsia="Aptos" w:hAnsi="Times New Roman" w:cs="Times New Roman"/>
          <w:sz w:val="22"/>
          <w:szCs w:val="22"/>
          <w:lang w:val="en-GB"/>
        </w:rPr>
      </w:pPr>
      <w:r w:rsidRPr="00FF461E">
        <w:rPr>
          <w:rFonts w:ascii="Times New Roman" w:eastAsia="Aptos" w:hAnsi="Times New Roman" w:cs="Times New Roman"/>
          <w:sz w:val="22"/>
          <w:szCs w:val="22"/>
          <w:lang w:val="en-GB"/>
        </w:rPr>
        <w:t>Taken together, the results clearly indicate that the SEC Tick Size Pilot Program reduced trading activity among small capitalization stocks, particularly for firms previously characterized by narrow spreads. The estimated average declines, reaching up to 9.1 percent, and the specific heterogeneous declines, which exceed 14 to 17 percent for constrained stocks across the treated groups, are economically profound.</w:t>
      </w:r>
    </w:p>
    <w:p w14:paraId="37688E74" w14:textId="10506D59" w:rsidR="00FF461E" w:rsidRPr="00FF461E" w:rsidRDefault="00FF461E" w:rsidP="00FF461E">
      <w:pPr>
        <w:spacing w:after="120" w:line="360" w:lineRule="auto"/>
        <w:jc w:val="both"/>
        <w:rPr>
          <w:rFonts w:ascii="Times New Roman" w:eastAsia="Aptos" w:hAnsi="Times New Roman" w:cs="Times New Roman"/>
          <w:sz w:val="22"/>
          <w:szCs w:val="22"/>
          <w:lang w:val="en-GB"/>
        </w:rPr>
      </w:pPr>
      <w:r w:rsidRPr="00FF461E">
        <w:rPr>
          <w:rFonts w:ascii="Times New Roman" w:eastAsia="Aptos" w:hAnsi="Times New Roman" w:cs="Times New Roman"/>
          <w:sz w:val="22"/>
          <w:szCs w:val="22"/>
          <w:lang w:val="en-GB"/>
        </w:rPr>
        <w:t>The evidence is consistent with the hypothesis that artificially widening the minimum tick size acts as a severe friction that increases effective transaction costs and aggressively discourages trade. Although the pilot was partly motivated by the expectation that larger ticks could strengthen market maker incentives and improve liquidity provision, our results decisively suggest that any such theoretical benefits were entirely dwarfed by the contraction in trading activity.</w:t>
      </w:r>
    </w:p>
    <w:p w14:paraId="139E75B9" w14:textId="7CBF5773" w:rsidR="00FF461E" w:rsidRPr="00FF461E" w:rsidRDefault="00FF461E" w:rsidP="00FF461E">
      <w:pPr>
        <w:spacing w:after="120" w:line="360" w:lineRule="auto"/>
        <w:jc w:val="both"/>
        <w:rPr>
          <w:rFonts w:ascii="Times New Roman" w:eastAsia="Aptos" w:hAnsi="Times New Roman" w:cs="Times New Roman"/>
          <w:sz w:val="22"/>
          <w:szCs w:val="22"/>
          <w:lang w:val="en-GB"/>
        </w:rPr>
      </w:pPr>
      <w:r w:rsidRPr="00FF461E">
        <w:rPr>
          <w:rFonts w:ascii="Times New Roman" w:eastAsia="Aptos" w:hAnsi="Times New Roman" w:cs="Times New Roman"/>
          <w:sz w:val="22"/>
          <w:szCs w:val="22"/>
          <w:lang w:val="en-GB"/>
        </w:rPr>
        <w:t>From a policy perspective, the findings imply that increasing the tick size inherently harms trading volume in small-cap equities, especially when spreads were previously compressed below the new regulatory threshold. The results highlight the critical importance of accounting for heterogeneity in pre-existing market conditions when evaluating market microstructure reforms.</w:t>
      </w:r>
    </w:p>
    <w:p w14:paraId="500F779B" w14:textId="77777777" w:rsidR="00563556" w:rsidRDefault="0011717F" w:rsidP="00FF461E">
      <w:pPr>
        <w:spacing w:after="120" w:line="360" w:lineRule="auto"/>
        <w:jc w:val="both"/>
        <w:rPr>
          <w:rFonts w:ascii="Times New Roman" w:eastAsia="Aptos" w:hAnsi="Times New Roman" w:cs="Times New Roman"/>
          <w:sz w:val="22"/>
          <w:szCs w:val="22"/>
          <w:lang w:val="en-GB"/>
        </w:rPr>
      </w:pPr>
      <w:r w:rsidRPr="0011717F">
        <w:rPr>
          <w:rFonts w:ascii="Times New Roman" w:eastAsia="Aptos" w:hAnsi="Times New Roman" w:cs="Times New Roman"/>
          <w:sz w:val="22"/>
          <w:szCs w:val="22"/>
          <w:lang w:val="en-GB"/>
        </w:rPr>
        <w:t>Additional graphical evidence supporting these conclusions, including time-series trends, distributional comparisons, and heterogeneous patterns across constrained and unconstrained stocks, is provided in Appendix Figures A1–A8. These figures corroborate the regression-based findings and reinforce the economic interpretation of the estimated treatment effects.</w:t>
      </w:r>
      <w:r w:rsidR="00FF461E" w:rsidRPr="00FF461E">
        <w:rPr>
          <w:rFonts w:ascii="Times New Roman" w:eastAsia="Aptos" w:hAnsi="Times New Roman" w:cs="Times New Roman"/>
          <w:sz w:val="22"/>
          <w:szCs w:val="22"/>
          <w:lang w:val="en-GB"/>
        </w:rPr>
        <w:t xml:space="preserve"> </w:t>
      </w:r>
    </w:p>
    <w:p w14:paraId="0BABA8C9" w14:textId="24A9B5B7" w:rsidR="0011717F" w:rsidRPr="00DB1616" w:rsidRDefault="0011717F" w:rsidP="00AF034D">
      <w:pPr>
        <w:spacing w:after="120" w:line="360" w:lineRule="auto"/>
        <w:jc w:val="both"/>
        <w:rPr>
          <w:rFonts w:ascii="Times New Roman" w:eastAsia="Aptos" w:hAnsi="Times New Roman" w:cs="Times New Roman"/>
          <w:sz w:val="22"/>
          <w:szCs w:val="22"/>
          <w:lang w:val="en-GB"/>
        </w:rPr>
      </w:pPr>
    </w:p>
    <w:p w14:paraId="22C94633" w14:textId="673FED04" w:rsidR="00FE3532" w:rsidRPr="00EA32E2" w:rsidRDefault="76D9695B" w:rsidP="00FE3532">
      <w:pPr>
        <w:spacing w:after="120" w:line="360" w:lineRule="auto"/>
        <w:jc w:val="both"/>
        <w:rPr>
          <w:rFonts w:ascii="Times New Roman" w:hAnsi="Times New Roman" w:cs="Times New Roman"/>
          <w:lang w:val="en-GB"/>
        </w:rPr>
      </w:pPr>
      <w:r w:rsidRPr="00EA32E2">
        <w:rPr>
          <w:rFonts w:ascii="Times New Roman" w:hAnsi="Times New Roman" w:cs="Times New Roman"/>
          <w:lang w:val="en-GB"/>
        </w:rPr>
        <w:drawing>
          <wp:inline distT="0" distB="0" distL="0" distR="0" wp14:anchorId="2BF85638" wp14:editId="13468AD4">
            <wp:extent cx="5724525" cy="3676650"/>
            <wp:effectExtent l="0" t="0" r="0" b="0"/>
            <wp:docPr id="1179619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19047" name="Picture 1179619047"/>
                    <pic:cNvPicPr/>
                  </pic:nvPicPr>
                  <pic:blipFill>
                    <a:blip r:embed="rId23">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Pr="00EA32E2">
        <w:rPr>
          <w:rFonts w:ascii="Times New Roman" w:hAnsi="Times New Roman" w:cs="Times New Roman"/>
          <w:lang w:val="en-GB"/>
        </w:rPr>
        <w:drawing>
          <wp:inline distT="0" distB="0" distL="0" distR="0" wp14:anchorId="4AC5D80E" wp14:editId="25C12363">
            <wp:extent cx="5724525" cy="3676650"/>
            <wp:effectExtent l="0" t="0" r="0" b="0"/>
            <wp:docPr id="279520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0135" name="Picture 279520135"/>
                    <pic:cNvPicPr/>
                  </pic:nvPicPr>
                  <pic:blipFill>
                    <a:blip r:embed="rId24">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Pr="00EA32E2">
        <w:rPr>
          <w:rFonts w:ascii="Times New Roman" w:hAnsi="Times New Roman" w:cs="Times New Roman"/>
          <w:lang w:val="en-GB"/>
        </w:rPr>
        <w:drawing>
          <wp:inline distT="0" distB="0" distL="0" distR="0" wp14:anchorId="64C923BD" wp14:editId="4CD1B6C7">
            <wp:extent cx="5724525" cy="3676650"/>
            <wp:effectExtent l="0" t="0" r="0" b="0"/>
            <wp:docPr id="1237647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47567" name="Picture 1237647567"/>
                    <pic:cNvPicPr/>
                  </pic:nvPicPr>
                  <pic:blipFill>
                    <a:blip r:embed="rId25">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Pr="00EA32E2">
        <w:rPr>
          <w:rFonts w:ascii="Times New Roman" w:hAnsi="Times New Roman" w:cs="Times New Roman"/>
          <w:lang w:val="en-GB"/>
        </w:rPr>
        <w:drawing>
          <wp:inline distT="0" distB="0" distL="0" distR="0" wp14:anchorId="3FA0BDF8" wp14:editId="6A70BF3A">
            <wp:extent cx="5724525" cy="3676650"/>
            <wp:effectExtent l="0" t="0" r="0" b="0"/>
            <wp:docPr id="110943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7312" name="Picture 1109437312"/>
                    <pic:cNvPicPr/>
                  </pic:nvPicPr>
                  <pic:blipFill>
                    <a:blip r:embed="rId26">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01180385" w:rsidRPr="00EA32E2">
        <w:rPr>
          <w:rFonts w:ascii="Times New Roman" w:hAnsi="Times New Roman" w:cs="Times New Roman"/>
          <w:lang w:val="en-GB"/>
        </w:rPr>
        <w:drawing>
          <wp:inline distT="0" distB="0" distL="0" distR="0" wp14:anchorId="5C381C23" wp14:editId="5894157A">
            <wp:extent cx="5724525" cy="3676650"/>
            <wp:effectExtent l="0" t="0" r="0" b="0"/>
            <wp:docPr id="1071017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17197" name="Picture 1071017197"/>
                    <pic:cNvPicPr/>
                  </pic:nvPicPr>
                  <pic:blipFill>
                    <a:blip r:embed="rId27">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01180385" w:rsidRPr="00EA32E2">
        <w:rPr>
          <w:rFonts w:ascii="Times New Roman" w:hAnsi="Times New Roman" w:cs="Times New Roman"/>
          <w:lang w:val="en-GB"/>
        </w:rPr>
        <w:drawing>
          <wp:inline distT="0" distB="0" distL="0" distR="0" wp14:anchorId="272E0F24" wp14:editId="553D9B92">
            <wp:extent cx="5724525" cy="3676650"/>
            <wp:effectExtent l="0" t="0" r="0" b="0"/>
            <wp:docPr id="2116120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20758" name="Picture 2116120758"/>
                    <pic:cNvPicPr/>
                  </pic:nvPicPr>
                  <pic:blipFill>
                    <a:blip r:embed="rId28">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01180385" w:rsidRPr="00EA32E2">
        <w:rPr>
          <w:rFonts w:ascii="Times New Roman" w:hAnsi="Times New Roman" w:cs="Times New Roman"/>
          <w:lang w:val="en-GB"/>
        </w:rPr>
        <w:drawing>
          <wp:inline distT="0" distB="0" distL="0" distR="0" wp14:anchorId="3ABC1A22" wp14:editId="21729F5D">
            <wp:extent cx="5724525" cy="3676650"/>
            <wp:effectExtent l="0" t="0" r="0" b="0"/>
            <wp:docPr id="1009856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6097" name="Picture 1009856097"/>
                    <pic:cNvPicPr/>
                  </pic:nvPicPr>
                  <pic:blipFill>
                    <a:blip r:embed="rId29">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01180385" w:rsidRPr="00EA32E2">
        <w:rPr>
          <w:rFonts w:ascii="Times New Roman" w:hAnsi="Times New Roman" w:cs="Times New Roman"/>
          <w:lang w:val="en-GB"/>
        </w:rPr>
        <w:drawing>
          <wp:inline distT="0" distB="0" distL="0" distR="0" wp14:anchorId="258842C2" wp14:editId="447DB0EC">
            <wp:extent cx="5724525" cy="3676650"/>
            <wp:effectExtent l="0" t="0" r="0" b="0"/>
            <wp:docPr id="1374329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9762" name="Picture 1374329762"/>
                    <pic:cNvPicPr/>
                  </pic:nvPicPr>
                  <pic:blipFill>
                    <a:blip r:embed="rId30">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w14:paraId="7A58811A" w14:textId="66DCF04D" w:rsidR="5FFDB27A" w:rsidRDefault="5FFDB27A" w:rsidP="5FFDB27A">
      <w:pPr>
        <w:spacing w:after="60" w:line="360" w:lineRule="auto"/>
        <w:rPr>
          <w:rFonts w:ascii="Times New Roman" w:hAnsi="Times New Roman" w:cs="Times New Roman"/>
          <w:b/>
          <w:bCs/>
          <w:sz w:val="32"/>
          <w:szCs w:val="32"/>
          <w:lang w:val="en-GB"/>
        </w:rPr>
      </w:pPr>
    </w:p>
    <w:p w14:paraId="6ED3763D" w14:textId="231C7336" w:rsidR="5FFDB27A" w:rsidRDefault="5FFDB27A" w:rsidP="5FFDB27A">
      <w:pPr>
        <w:spacing w:after="60" w:line="360" w:lineRule="auto"/>
        <w:rPr>
          <w:rFonts w:ascii="Times New Roman" w:hAnsi="Times New Roman" w:cs="Times New Roman"/>
          <w:b/>
          <w:bCs/>
          <w:sz w:val="32"/>
          <w:szCs w:val="32"/>
          <w:lang w:val="en-GB"/>
        </w:rPr>
      </w:pPr>
    </w:p>
    <w:p w14:paraId="04C909F5" w14:textId="77777777" w:rsidR="00EC3CCC" w:rsidRDefault="00EC3CCC" w:rsidP="5FFDB27A">
      <w:pPr>
        <w:spacing w:after="60" w:line="360" w:lineRule="auto"/>
        <w:rPr>
          <w:rFonts w:ascii="Times New Roman" w:hAnsi="Times New Roman" w:cs="Times New Roman"/>
          <w:b/>
          <w:bCs/>
          <w:sz w:val="32"/>
          <w:szCs w:val="32"/>
          <w:lang w:val="en-GB"/>
        </w:rPr>
      </w:pPr>
    </w:p>
    <w:p w14:paraId="294CC3BE" w14:textId="70EE57DC" w:rsidR="0093118D" w:rsidRPr="00EA32E2" w:rsidRDefault="08EE00F2" w:rsidP="7C5D4D49">
      <w:pPr>
        <w:spacing w:after="60" w:line="360" w:lineRule="auto"/>
        <w:rPr>
          <w:rFonts w:ascii="Times New Roman" w:hAnsi="Times New Roman" w:cs="Times New Roman"/>
          <w:b/>
          <w:sz w:val="32"/>
          <w:szCs w:val="32"/>
          <w:lang w:val="en-GB"/>
        </w:rPr>
      </w:pPr>
      <w:r w:rsidRPr="00EA32E2">
        <w:rPr>
          <w:rFonts w:ascii="Times New Roman" w:hAnsi="Times New Roman" w:cs="Times New Roman"/>
          <w:b/>
          <w:sz w:val="32"/>
          <w:szCs w:val="32"/>
          <w:lang w:val="en-GB"/>
        </w:rPr>
        <w:t>Bibliography</w:t>
      </w:r>
    </w:p>
    <w:p w14:paraId="6B0D18F7" w14:textId="4FF54C95" w:rsidR="0093118D" w:rsidRPr="00DB1616" w:rsidRDefault="08EE00F2" w:rsidP="6257F373">
      <w:pPr>
        <w:spacing w:after="120" w:line="360" w:lineRule="auto"/>
        <w:rPr>
          <w:rFonts w:ascii="Times New Roman" w:eastAsia="Aptos" w:hAnsi="Times New Roman" w:cs="Times New Roman"/>
          <w:sz w:val="22"/>
          <w:szCs w:val="22"/>
          <w:lang w:val="en-GB"/>
        </w:rPr>
      </w:pPr>
      <w:r w:rsidRPr="00EA32E2">
        <w:rPr>
          <w:rFonts w:ascii="Times New Roman" w:eastAsia="Aptos" w:hAnsi="Times New Roman" w:cs="Times New Roman"/>
          <w:sz w:val="22"/>
          <w:szCs w:val="22"/>
          <w:lang w:val="en-GB"/>
        </w:rPr>
        <w:t xml:space="preserve">Albuquerque, R., de Carvalho, D., &amp; others. </w:t>
      </w:r>
      <w:r w:rsidRPr="4AFB6C3F">
        <w:rPr>
          <w:rFonts w:ascii="Times New Roman" w:eastAsia="Aptos" w:hAnsi="Times New Roman" w:cs="Times New Roman"/>
          <w:sz w:val="22"/>
          <w:szCs w:val="22"/>
          <w:lang w:val="en-GB"/>
        </w:rPr>
        <w:t>(2020). Liquidity provision and the SEC Tick Size Pilot Program. Journal of Financial Economics, 138(1), 1–27.</w:t>
      </w:r>
    </w:p>
    <w:p w14:paraId="170421B9" w14:textId="3F79E533" w:rsidR="0093118D" w:rsidRPr="00DB1616" w:rsidRDefault="08EE00F2" w:rsidP="6257F373">
      <w:pPr>
        <w:spacing w:after="120" w:line="360" w:lineRule="auto"/>
        <w:rPr>
          <w:rFonts w:ascii="Times New Roman" w:eastAsia="Aptos" w:hAnsi="Times New Roman" w:cs="Times New Roman"/>
          <w:sz w:val="22"/>
          <w:szCs w:val="22"/>
          <w:lang w:val="en-GB"/>
        </w:rPr>
      </w:pPr>
      <w:r w:rsidRPr="4AFB6C3F">
        <w:rPr>
          <w:rFonts w:ascii="Times New Roman" w:eastAsia="Aptos" w:hAnsi="Times New Roman" w:cs="Times New Roman"/>
          <w:sz w:val="22"/>
          <w:szCs w:val="22"/>
          <w:lang w:val="en-GB"/>
        </w:rPr>
        <w:t>Amihud, Y., &amp; Mendelson, H. (1986). Asset pricing and the bid–ask spread. Journal of Financial Economics, 17(2), 223–249.</w:t>
      </w:r>
    </w:p>
    <w:p w14:paraId="0690EB1E" w14:textId="5CF9A8EE" w:rsidR="0093118D" w:rsidRPr="00DB1616" w:rsidRDefault="08EE00F2" w:rsidP="6257F373">
      <w:pPr>
        <w:spacing w:after="120" w:line="360" w:lineRule="auto"/>
        <w:rPr>
          <w:rFonts w:ascii="Times New Roman" w:eastAsia="Aptos" w:hAnsi="Times New Roman" w:cs="Times New Roman"/>
          <w:sz w:val="22"/>
          <w:szCs w:val="22"/>
          <w:lang w:val="en-GB"/>
        </w:rPr>
      </w:pPr>
      <w:r w:rsidRPr="4AFB6C3F">
        <w:rPr>
          <w:rFonts w:ascii="Times New Roman" w:eastAsia="Aptos" w:hAnsi="Times New Roman" w:cs="Times New Roman"/>
          <w:sz w:val="22"/>
          <w:szCs w:val="22"/>
          <w:lang w:val="en-GB"/>
        </w:rPr>
        <w:t>Bessembinder, H. (2003). Trade execution costs and market quality after decimalization. Journal of Financial and Quantitative Analysis, 38(4), 747–777.</w:t>
      </w:r>
    </w:p>
    <w:p w14:paraId="40E1AF88" w14:textId="7180B039" w:rsidR="0093118D" w:rsidRPr="00DB1616" w:rsidRDefault="08EE00F2" w:rsidP="6257F373">
      <w:pPr>
        <w:spacing w:after="120" w:line="360" w:lineRule="auto"/>
        <w:rPr>
          <w:rFonts w:ascii="Times New Roman" w:eastAsia="Aptos" w:hAnsi="Times New Roman" w:cs="Times New Roman"/>
          <w:sz w:val="22"/>
          <w:szCs w:val="22"/>
          <w:lang w:val="en-GB"/>
        </w:rPr>
      </w:pPr>
      <w:r w:rsidRPr="4AFB6C3F">
        <w:rPr>
          <w:rFonts w:ascii="Times New Roman" w:eastAsia="Aptos" w:hAnsi="Times New Roman" w:cs="Times New Roman"/>
          <w:sz w:val="22"/>
          <w:szCs w:val="22"/>
          <w:lang w:val="en-GB"/>
        </w:rPr>
        <w:t>Chordia, T., Roll, R., &amp; Subrahmanyam, A. (2001). Market liquidity and trading activity. Journal of Finance, 56(2), 501–530.</w:t>
      </w:r>
    </w:p>
    <w:p w14:paraId="3707C147" w14:textId="3BBA0764" w:rsidR="0093118D" w:rsidRPr="00DB1616" w:rsidRDefault="08EE00F2" w:rsidP="6257F373">
      <w:pPr>
        <w:spacing w:after="120" w:line="360" w:lineRule="auto"/>
        <w:rPr>
          <w:rFonts w:ascii="Times New Roman" w:eastAsia="Aptos" w:hAnsi="Times New Roman" w:cs="Times New Roman"/>
          <w:sz w:val="22"/>
          <w:szCs w:val="22"/>
          <w:lang w:val="en-GB"/>
        </w:rPr>
      </w:pPr>
      <w:r w:rsidRPr="4AFB6C3F">
        <w:rPr>
          <w:rFonts w:ascii="Times New Roman" w:eastAsia="Aptos" w:hAnsi="Times New Roman" w:cs="Times New Roman"/>
          <w:sz w:val="22"/>
          <w:szCs w:val="22"/>
          <w:lang w:val="en-GB"/>
        </w:rPr>
        <w:t>Harris, L. (1994). Minimum price variations, discrete bid–ask spreads, and quotation sizes. Review of Financial Studies, 7(1), 149–178.</w:t>
      </w:r>
    </w:p>
    <w:p w14:paraId="68CE7E23" w14:textId="0E2CF9D0" w:rsidR="006C6ABE" w:rsidRPr="00CC1B6F" w:rsidRDefault="006C6ABE" w:rsidP="006C6ABE">
      <w:pPr>
        <w:rPr>
          <w:rFonts w:ascii="Times New Roman" w:hAnsi="Times New Roman" w:cs="Times New Roman"/>
          <w:lang w:val="en-GB" w:eastAsia="de-DE"/>
        </w:rPr>
      </w:pPr>
    </w:p>
    <w:sectPr w:rsidR="006C6ABE" w:rsidRPr="00CC1B6F" w:rsidSect="000563DB">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n Endreß" w:date="2026-03-01T14:59:00Z" w:initials="JE">
    <w:p w14:paraId="5A10154C" w14:textId="77777777" w:rsidR="00037DB6" w:rsidRDefault="00037DB6" w:rsidP="00037DB6">
      <w:pPr>
        <w:pStyle w:val="CommentText"/>
      </w:pPr>
      <w:r>
        <w:rPr>
          <w:rStyle w:val="CommentReference"/>
        </w:rPr>
        <w:annotationRef/>
      </w:r>
      <w:r>
        <w:t>Samias suggestion:</w:t>
      </w:r>
    </w:p>
    <w:p w14:paraId="360DD83B" w14:textId="77777777" w:rsidR="00037DB6" w:rsidRDefault="00037DB6" w:rsidP="00037DB6">
      <w:pPr>
        <w:pStyle w:val="CommentText"/>
      </w:pPr>
      <w:r>
        <w:br/>
        <w:t>Proposals : The Causal Effect of Minimum Tick Size Increases on Trading Volume</w:t>
      </w:r>
    </w:p>
    <w:p w14:paraId="6B9EC17A" w14:textId="77777777" w:rsidR="00037DB6" w:rsidRDefault="00037DB6" w:rsidP="00037DB6">
      <w:pPr>
        <w:pStyle w:val="CommentText"/>
      </w:pPr>
      <w:r>
        <w:t>The Impact of Minimum Tick Size Regulation on Trading Volume: Evidence from the SEC Tick Size Pilot Program</w:t>
      </w:r>
    </w:p>
  </w:comment>
  <w:comment w:id="2" w:author="Julian Endreß" w:date="2026-02-28T17:23:00Z" w:initials="JE">
    <w:p w14:paraId="49EB6CEA" w14:textId="77777777" w:rsidR="003967AA" w:rsidRDefault="003967AA" w:rsidP="003967AA">
      <w:pPr>
        <w:pStyle w:val="CommentText"/>
      </w:pPr>
      <w:r>
        <w:rPr>
          <w:rStyle w:val="CommentReference"/>
        </w:rPr>
        <w:annotationRef/>
      </w:r>
      <w:r>
        <w:t>Shouldn‘t we directly specify that we use turnover?</w:t>
      </w:r>
    </w:p>
  </w:comment>
  <w:comment w:id="4" w:author="Julian Endreß" w:date="2026-02-28T15:08:00Z" w:initials="JE">
    <w:p w14:paraId="7ECE081B" w14:textId="77777777" w:rsidR="00B76535" w:rsidRDefault="000507B8" w:rsidP="00B76535">
      <w:pPr>
        <w:pStyle w:val="CommentText"/>
      </w:pPr>
      <w:r>
        <w:rPr>
          <w:rStyle w:val="CommentReference"/>
        </w:rPr>
        <w:annotationRef/>
      </w:r>
      <w:r w:rsidR="00B76535">
        <w:t>More specific? Also how much in each group?</w:t>
      </w:r>
    </w:p>
  </w:comment>
  <w:comment w:id="5" w:author="Pietro De Bernardi" w:date="2026-02-28T16:43:00Z" w:initials="p">
    <w:p w14:paraId="3A74D3DC" w14:textId="77777777" w:rsidR="00B62D44" w:rsidRDefault="00B62D44" w:rsidP="00B62D44">
      <w:r>
        <w:rPr>
          <w:rStyle w:val="CommentReference"/>
        </w:rPr>
        <w:annotationRef/>
      </w:r>
      <w:r>
        <w:rPr>
          <w:sz w:val="20"/>
          <w:szCs w:val="20"/>
        </w:rPr>
        <w:t>I think it can be good to do an approximation since we will drop a lot of them so the number will change.</w:t>
      </w:r>
    </w:p>
  </w:comment>
  <w:comment w:id="9" w:author="Julian Endreß" w:date="2026-02-28T15:34:00Z" w:initials="JE">
    <w:p w14:paraId="6B85DA14" w14:textId="77777777" w:rsidR="003B7CE4" w:rsidRDefault="002E33F7" w:rsidP="003B7CE4">
      <w:pPr>
        <w:pStyle w:val="CommentText"/>
      </w:pPr>
      <w:r>
        <w:rPr>
          <w:rStyle w:val="CommentReference"/>
        </w:rPr>
        <w:annotationRef/>
      </w:r>
      <w:r w:rsidR="003B7CE4">
        <w:t>We should say specificaly if they were below $0.05</w:t>
      </w:r>
    </w:p>
    <w:p w14:paraId="090C29C1" w14:textId="77777777" w:rsidR="003B7CE4" w:rsidRDefault="003B7CE4" w:rsidP="003B7CE4">
      <w:pPr>
        <w:pStyle w:val="CommentText"/>
      </w:pPr>
    </w:p>
    <w:p w14:paraId="32AA8796" w14:textId="77777777" w:rsidR="003B7CE4" w:rsidRDefault="003B7CE4" w:rsidP="003B7CE4">
      <w:pPr>
        <w:pStyle w:val="CommentText"/>
      </w:pPr>
      <w:r>
        <w:t>*My Recommendation:*</w:t>
      </w:r>
    </w:p>
    <w:p w14:paraId="2C21C918" w14:textId="77777777" w:rsidR="003B7CE4" w:rsidRDefault="003B7CE4" w:rsidP="003B7CE4">
      <w:pPr>
        <w:pStyle w:val="CommentText"/>
      </w:pPr>
      <w:r>
        <w:t xml:space="preserve">The negative effect of the tick size increase on trading volume is larger for stocks whose pre-pilot quoted spreads were below $0.05. </w:t>
      </w:r>
    </w:p>
  </w:comment>
  <w:comment w:id="10" w:author="Pietro De Bernardi" w:date="2026-02-28T17:37:00Z" w:initials="p">
    <w:p w14:paraId="3A8B09BB" w14:textId="77777777" w:rsidR="00B0665F" w:rsidRDefault="00B0665F" w:rsidP="00B0665F">
      <w:r>
        <w:rPr>
          <w:rStyle w:val="CommentReference"/>
        </w:rPr>
        <w:annotationRef/>
      </w:r>
      <w:r>
        <w:rPr>
          <w:sz w:val="20"/>
          <w:szCs w:val="20"/>
        </w:rPr>
        <w:t>agree</w:t>
      </w:r>
    </w:p>
  </w:comment>
  <w:comment w:id="12" w:author="Julian Endreß" w:date="2026-03-01T13:47:00Z" w:initials="JE">
    <w:p w14:paraId="69964EC4" w14:textId="77777777" w:rsidR="00F9087A" w:rsidRDefault="00F9087A" w:rsidP="00F9087A">
      <w:pPr>
        <w:pStyle w:val="CommentText"/>
      </w:pPr>
      <w:r>
        <w:rPr>
          <w:rStyle w:val="CommentReference"/>
        </w:rPr>
        <w:annotationRef/>
      </w:r>
      <w:r>
        <w:rPr>
          <w:lang w:val="en-GB"/>
        </w:rPr>
        <w:t>In General, we compare Before vs. Treatment &amp; before vs. after – please adjust this in this part, as it is only for before vs treatment.</w:t>
      </w:r>
    </w:p>
  </w:comment>
  <w:comment w:id="20" w:author="Julian Endreß" w:date="2026-02-28T16:16:00Z" w:initials="JE">
    <w:p w14:paraId="79671C7E" w14:textId="2A3E7CA7" w:rsidR="00507879" w:rsidRDefault="00416BEF" w:rsidP="00507879">
      <w:pPr>
        <w:pStyle w:val="CommentText"/>
      </w:pPr>
      <w:r>
        <w:rPr>
          <w:rStyle w:val="CommentReference"/>
        </w:rPr>
        <w:annotationRef/>
      </w:r>
      <w:r w:rsidR="00507879">
        <w:t>Do we use it that way?</w:t>
      </w:r>
    </w:p>
  </w:comment>
  <w:comment w:id="21" w:author="Pietro De Bernardi" w:date="2026-02-28T16:36:00Z" w:initials="p">
    <w:p w14:paraId="0B1F7A9E" w14:textId="77777777" w:rsidR="00ED5069" w:rsidRDefault="00ED5069" w:rsidP="00ED5069">
      <w:r>
        <w:rPr>
          <w:rStyle w:val="CommentReference"/>
        </w:rPr>
        <w:annotationRef/>
      </w:r>
      <w:r>
        <w:rPr>
          <w:sz w:val="20"/>
          <w:szCs w:val="20"/>
        </w:rPr>
        <w:t>The variable is prc, which is the closing price. Is the bid ask average only if that day there was no closing price, but since we dropped all the observations with 0 volume we shouldn't have any observation like that. Therefore, is just the price not the avg of bid ask</w:t>
      </w:r>
    </w:p>
  </w:comment>
  <w:comment w:id="24" w:author="Julian Endreß" w:date="2026-02-28T16:25:00Z" w:initials="JE">
    <w:p w14:paraId="576D91F0" w14:textId="5AF4C912" w:rsidR="00245BCE" w:rsidRDefault="00245BCE" w:rsidP="00245BCE">
      <w:pPr>
        <w:pStyle w:val="CommentText"/>
      </w:pPr>
      <w:r>
        <w:rPr>
          <w:rStyle w:val="CommentReference"/>
        </w:rPr>
        <w:annotationRef/>
      </w:r>
      <w:r>
        <w:t>Connected to more specific H2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9EC17A" w15:done="0"/>
  <w15:commentEx w15:paraId="49EB6CEA" w15:done="1"/>
  <w15:commentEx w15:paraId="7ECE081B" w15:done="0"/>
  <w15:commentEx w15:paraId="3A74D3DC" w15:paraIdParent="7ECE081B" w15:done="0"/>
  <w15:commentEx w15:paraId="2C21C918" w15:done="1"/>
  <w15:commentEx w15:paraId="3A8B09BB" w15:paraIdParent="2C21C918" w15:done="1"/>
  <w15:commentEx w15:paraId="69964EC4" w15:done="1"/>
  <w15:commentEx w15:paraId="79671C7E" w15:done="0"/>
  <w15:commentEx w15:paraId="0B1F7A9E" w15:paraIdParent="79671C7E" w15:done="0"/>
  <w15:commentEx w15:paraId="576D91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886CD" w16cex:dateUtc="2026-03-01T13:59:00Z"/>
  <w16cex:commentExtensible w16cex:durableId="59D25D20" w16cex:dateUtc="2026-02-28T16:23:00Z">
    <w16cex:extLst>
      <w16:ext w16:uri="{CE6994B0-6A32-4C9F-8C6B-6E91EDA988CE}">
        <cr:reactions xmlns:cr="http://schemas.microsoft.com/office/comments/2020/reactions">
          <cr:reaction reactionType="1">
            <cr:reactionInfo dateUtc="2026-03-01T10:44:06Z">
              <cr:user userId="S::72931@novasbe.pt::e8beb396-9b41-47fd-a1c3-27a916cdfad9" userProvider="AD" userName="Samia Snen"/>
            </cr:reactionInfo>
          </cr:reaction>
        </cr:reactions>
      </w16:ext>
    </w16cex:extLst>
  </w16cex:commentExtensible>
  <w16cex:commentExtensible w16cex:durableId="449E75F8" w16cex:dateUtc="2026-02-28T14:08:00Z"/>
  <w16cex:commentExtensible w16cex:durableId="5A6B954F" w16cex:dateUtc="2026-02-28T16:43:00Z"/>
  <w16cex:commentExtensible w16cex:durableId="41D01DA9" w16cex:dateUtc="2026-02-28T14:34:00Z">
    <w16cex:extLst>
      <w16:ext w16:uri="{CE6994B0-6A32-4C9F-8C6B-6E91EDA988CE}">
        <cr:reactions xmlns:cr="http://schemas.microsoft.com/office/comments/2020/reactions">
          <cr:reaction reactionType="1">
            <cr:reactionInfo dateUtc="2026-03-01T10:46:55Z">
              <cr:user userId="S::72931@novasbe.pt::e8beb396-9b41-47fd-a1c3-27a916cdfad9" userProvider="AD" userName="Samia Snen"/>
            </cr:reactionInfo>
          </cr:reaction>
        </cr:reactions>
      </w16:ext>
    </w16cex:extLst>
  </w16cex:commentExtensible>
  <w16cex:commentExtensible w16cex:durableId="5709356E" w16cex:dateUtc="2026-02-28T17:37:00Z"/>
  <w16cex:commentExtensible w16cex:durableId="1414A864" w16cex:dateUtc="2026-03-01T12:47:00Z"/>
  <w16cex:commentExtensible w16cex:durableId="5CD2795C" w16cex:dateUtc="2026-02-28T15:16:00Z"/>
  <w16cex:commentExtensible w16cex:durableId="33B46B02" w16cex:dateUtc="2026-02-28T16:36:00Z"/>
  <w16cex:commentExtensible w16cex:durableId="2CEF80D4" w16cex:dateUtc="2026-02-28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9EC17A" w16cid:durableId="245886CD"/>
  <w16cid:commentId w16cid:paraId="49EB6CEA" w16cid:durableId="59D25D20"/>
  <w16cid:commentId w16cid:paraId="7ECE081B" w16cid:durableId="449E75F8"/>
  <w16cid:commentId w16cid:paraId="3A74D3DC" w16cid:durableId="5A6B954F"/>
  <w16cid:commentId w16cid:paraId="2C21C918" w16cid:durableId="41D01DA9"/>
  <w16cid:commentId w16cid:paraId="3A8B09BB" w16cid:durableId="5709356E"/>
  <w16cid:commentId w16cid:paraId="69964EC4" w16cid:durableId="1414A864"/>
  <w16cid:commentId w16cid:paraId="79671C7E" w16cid:durableId="5CD2795C"/>
  <w16cid:commentId w16cid:paraId="0B1F7A9E" w16cid:durableId="33B46B02"/>
  <w16cid:commentId w16cid:paraId="576D91F0" w16cid:durableId="2CEF8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96C0" w14:textId="77777777" w:rsidR="008F73D5" w:rsidRDefault="008F73D5" w:rsidP="00E54D45">
      <w:pPr>
        <w:spacing w:after="0" w:line="240" w:lineRule="auto"/>
      </w:pPr>
      <w:r>
        <w:separator/>
      </w:r>
    </w:p>
  </w:endnote>
  <w:endnote w:type="continuationSeparator" w:id="0">
    <w:p w14:paraId="241C9F56" w14:textId="77777777" w:rsidR="008F73D5" w:rsidRDefault="008F73D5" w:rsidP="00E54D45">
      <w:pPr>
        <w:spacing w:after="0" w:line="240" w:lineRule="auto"/>
      </w:pPr>
      <w:r>
        <w:continuationSeparator/>
      </w:r>
    </w:p>
  </w:endnote>
  <w:endnote w:type="continuationNotice" w:id="1">
    <w:p w14:paraId="5FDB13C0" w14:textId="77777777" w:rsidR="008F73D5" w:rsidRDefault="008F73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9976470"/>
      <w:docPartObj>
        <w:docPartGallery w:val="Page Numbers (Bottom of Page)"/>
        <w:docPartUnique/>
      </w:docPartObj>
    </w:sdtPr>
    <w:sdtContent>
      <w:p w14:paraId="1EBE8E36" w14:textId="127E65EC" w:rsidR="00F71F20" w:rsidRDefault="00F71F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997A20">
          <w:rPr>
            <w:rStyle w:val="PageNumber"/>
          </w:rPr>
          <w:fldChar w:fldCharType="separate"/>
        </w:r>
        <w:r w:rsidR="00997A20">
          <w:rPr>
            <w:rStyle w:val="PageNumber"/>
            <w:noProof/>
          </w:rPr>
          <w:t>2</w:t>
        </w:r>
        <w:r>
          <w:rPr>
            <w:rStyle w:val="PageNumber"/>
          </w:rPr>
          <w:fldChar w:fldCharType="end"/>
        </w:r>
      </w:p>
    </w:sdtContent>
  </w:sdt>
  <w:p w14:paraId="276AC8F4" w14:textId="77777777" w:rsidR="00E54D45" w:rsidRDefault="00E54D45" w:rsidP="00F71F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1044970965"/>
      <w:docPartObj>
        <w:docPartGallery w:val="Page Numbers (Bottom of Page)"/>
        <w:docPartUnique/>
      </w:docPartObj>
    </w:sdtPr>
    <w:sdtContent>
      <w:p w14:paraId="74D037CB" w14:textId="1A697725" w:rsidR="00F71F20" w:rsidRPr="00F71F20" w:rsidRDefault="00F71F20">
        <w:pPr>
          <w:pStyle w:val="Footer"/>
          <w:framePr w:wrap="none" w:vAnchor="text" w:hAnchor="margin" w:xAlign="right" w:y="1"/>
          <w:rPr>
            <w:rStyle w:val="PageNumber"/>
            <w:rFonts w:ascii="Times New Roman" w:hAnsi="Times New Roman" w:cs="Times New Roman"/>
            <w:sz w:val="22"/>
            <w:szCs w:val="22"/>
          </w:rPr>
        </w:pPr>
        <w:r w:rsidRPr="00F71F20">
          <w:rPr>
            <w:rStyle w:val="PageNumber"/>
            <w:rFonts w:ascii="Times New Roman" w:hAnsi="Times New Roman" w:cs="Times New Roman"/>
            <w:sz w:val="22"/>
            <w:szCs w:val="22"/>
          </w:rPr>
          <w:fldChar w:fldCharType="begin"/>
        </w:r>
        <w:r w:rsidRPr="00F71F20">
          <w:rPr>
            <w:rStyle w:val="PageNumber"/>
            <w:rFonts w:ascii="Times New Roman" w:hAnsi="Times New Roman" w:cs="Times New Roman"/>
            <w:sz w:val="22"/>
            <w:szCs w:val="22"/>
          </w:rPr>
          <w:instrText xml:space="preserve"> PAGE </w:instrText>
        </w:r>
        <w:r w:rsidRPr="00F71F20">
          <w:rPr>
            <w:rStyle w:val="PageNumber"/>
            <w:rFonts w:ascii="Times New Roman" w:hAnsi="Times New Roman" w:cs="Times New Roman"/>
            <w:sz w:val="22"/>
            <w:szCs w:val="22"/>
          </w:rPr>
          <w:fldChar w:fldCharType="separate"/>
        </w:r>
        <w:r w:rsidRPr="00F71F20">
          <w:rPr>
            <w:rStyle w:val="PageNumber"/>
            <w:rFonts w:ascii="Times New Roman" w:hAnsi="Times New Roman" w:cs="Times New Roman"/>
            <w:noProof/>
            <w:sz w:val="22"/>
            <w:szCs w:val="22"/>
          </w:rPr>
          <w:t>1</w:t>
        </w:r>
        <w:r w:rsidRPr="00F71F20">
          <w:rPr>
            <w:rStyle w:val="PageNumber"/>
            <w:rFonts w:ascii="Times New Roman" w:hAnsi="Times New Roman" w:cs="Times New Roman"/>
            <w:sz w:val="22"/>
            <w:szCs w:val="22"/>
          </w:rPr>
          <w:fldChar w:fldCharType="end"/>
        </w:r>
      </w:p>
    </w:sdtContent>
  </w:sdt>
  <w:p w14:paraId="4FB2E85C" w14:textId="77777777" w:rsidR="00E54D45" w:rsidRDefault="00E54D45" w:rsidP="00F71F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09FC7" w14:textId="77777777" w:rsidR="008F73D5" w:rsidRDefault="008F73D5" w:rsidP="00E54D45">
      <w:pPr>
        <w:spacing w:after="0" w:line="240" w:lineRule="auto"/>
      </w:pPr>
      <w:r>
        <w:separator/>
      </w:r>
    </w:p>
  </w:footnote>
  <w:footnote w:type="continuationSeparator" w:id="0">
    <w:p w14:paraId="1FE303E5" w14:textId="77777777" w:rsidR="008F73D5" w:rsidRDefault="008F73D5" w:rsidP="00E54D45">
      <w:pPr>
        <w:spacing w:after="0" w:line="240" w:lineRule="auto"/>
      </w:pPr>
      <w:r>
        <w:continuationSeparator/>
      </w:r>
    </w:p>
  </w:footnote>
  <w:footnote w:type="continuationNotice" w:id="1">
    <w:p w14:paraId="5A324826" w14:textId="77777777" w:rsidR="008F73D5" w:rsidRDefault="008F73D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67FC"/>
    <w:multiLevelType w:val="multilevel"/>
    <w:tmpl w:val="4078CF34"/>
    <w:numStyleLink w:val="CurrentList1"/>
  </w:abstractNum>
  <w:abstractNum w:abstractNumId="1" w15:restartNumberingAfterBreak="0">
    <w:nsid w:val="13E7440A"/>
    <w:multiLevelType w:val="hybridMultilevel"/>
    <w:tmpl w:val="FFFFFFFF"/>
    <w:lvl w:ilvl="0" w:tplc="FE30075C">
      <w:start w:val="1"/>
      <w:numFmt w:val="decimal"/>
      <w:lvlText w:val="%1."/>
      <w:lvlJc w:val="left"/>
      <w:pPr>
        <w:ind w:left="720" w:hanging="360"/>
      </w:pPr>
    </w:lvl>
    <w:lvl w:ilvl="1" w:tplc="ADFC2C9A">
      <w:start w:val="1"/>
      <w:numFmt w:val="lowerLetter"/>
      <w:lvlText w:val="%2."/>
      <w:lvlJc w:val="left"/>
      <w:pPr>
        <w:ind w:left="1440" w:hanging="360"/>
      </w:pPr>
    </w:lvl>
    <w:lvl w:ilvl="2" w:tplc="5CCC6376">
      <w:start w:val="1"/>
      <w:numFmt w:val="lowerRoman"/>
      <w:lvlText w:val="%3."/>
      <w:lvlJc w:val="right"/>
      <w:pPr>
        <w:ind w:left="2160" w:hanging="180"/>
      </w:pPr>
    </w:lvl>
    <w:lvl w:ilvl="3" w:tplc="38244728">
      <w:start w:val="1"/>
      <w:numFmt w:val="decimal"/>
      <w:lvlText w:val="%4."/>
      <w:lvlJc w:val="left"/>
      <w:pPr>
        <w:ind w:left="2880" w:hanging="360"/>
      </w:pPr>
    </w:lvl>
    <w:lvl w:ilvl="4" w:tplc="470E3972">
      <w:start w:val="1"/>
      <w:numFmt w:val="lowerLetter"/>
      <w:lvlText w:val="%5."/>
      <w:lvlJc w:val="left"/>
      <w:pPr>
        <w:ind w:left="3600" w:hanging="360"/>
      </w:pPr>
    </w:lvl>
    <w:lvl w:ilvl="5" w:tplc="55B452CA">
      <w:start w:val="1"/>
      <w:numFmt w:val="lowerRoman"/>
      <w:lvlText w:val="%6."/>
      <w:lvlJc w:val="right"/>
      <w:pPr>
        <w:ind w:left="4320" w:hanging="180"/>
      </w:pPr>
    </w:lvl>
    <w:lvl w:ilvl="6" w:tplc="881C189A">
      <w:start w:val="1"/>
      <w:numFmt w:val="decimal"/>
      <w:lvlText w:val="%7."/>
      <w:lvlJc w:val="left"/>
      <w:pPr>
        <w:ind w:left="5040" w:hanging="360"/>
      </w:pPr>
    </w:lvl>
    <w:lvl w:ilvl="7" w:tplc="24648F5A">
      <w:start w:val="1"/>
      <w:numFmt w:val="lowerLetter"/>
      <w:lvlText w:val="%8."/>
      <w:lvlJc w:val="left"/>
      <w:pPr>
        <w:ind w:left="5760" w:hanging="360"/>
      </w:pPr>
    </w:lvl>
    <w:lvl w:ilvl="8" w:tplc="F2461686">
      <w:start w:val="1"/>
      <w:numFmt w:val="lowerRoman"/>
      <w:lvlText w:val="%9."/>
      <w:lvlJc w:val="right"/>
      <w:pPr>
        <w:ind w:left="6480" w:hanging="180"/>
      </w:pPr>
    </w:lvl>
  </w:abstractNum>
  <w:abstractNum w:abstractNumId="2" w15:restartNumberingAfterBreak="0">
    <w:nsid w:val="144C557D"/>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6D1160E"/>
    <w:multiLevelType w:val="multilevel"/>
    <w:tmpl w:val="F2403E44"/>
    <w:lvl w:ilvl="0">
      <w:start w:val="1"/>
      <w:numFmt w:val="decimal"/>
      <w:pStyle w:val="Heading1"/>
      <w:lvlText w:val="%1"/>
      <w:lvlJc w:val="left"/>
      <w:pPr>
        <w:ind w:left="3551"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7373E6B"/>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8547BF9"/>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9297EB8"/>
    <w:multiLevelType w:val="multilevel"/>
    <w:tmpl w:val="4078CF34"/>
    <w:styleLink w:val="CurrentList1"/>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A8100A1"/>
    <w:multiLevelType w:val="multilevel"/>
    <w:tmpl w:val="4078CF34"/>
    <w:numStyleLink w:val="Style1"/>
  </w:abstractNum>
  <w:abstractNum w:abstractNumId="8" w15:restartNumberingAfterBreak="0">
    <w:nsid w:val="1B36160C"/>
    <w:multiLevelType w:val="multilevel"/>
    <w:tmpl w:val="F808DD4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0805D4"/>
    <w:multiLevelType w:val="multilevel"/>
    <w:tmpl w:val="DCF42F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F42529B"/>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A843F26"/>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3C36CAF"/>
    <w:multiLevelType w:val="multilevel"/>
    <w:tmpl w:val="4078CF34"/>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121F5F"/>
    <w:multiLevelType w:val="multilevel"/>
    <w:tmpl w:val="4078CF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0C211A6"/>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2EF137A"/>
    <w:multiLevelType w:val="multilevel"/>
    <w:tmpl w:val="94620A76"/>
    <w:numStyleLink w:val="Style1"/>
  </w:abstractNum>
  <w:abstractNum w:abstractNumId="16" w15:restartNumberingAfterBreak="0">
    <w:nsid w:val="498D766B"/>
    <w:multiLevelType w:val="hybridMultilevel"/>
    <w:tmpl w:val="F202F278"/>
    <w:lvl w:ilvl="0" w:tplc="D41CC980">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7706B"/>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C965452"/>
    <w:multiLevelType w:val="multilevel"/>
    <w:tmpl w:val="21982FEA"/>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EA5B95"/>
    <w:multiLevelType w:val="multilevel"/>
    <w:tmpl w:val="131A3EEC"/>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rFonts w:ascii="Times New Roman" w:hAnsi="Times New Roman" w:hint="default"/>
        <w:b/>
        <w:bCs/>
        <w:color w:val="000000" w:themeColor="text1"/>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0" w15:restartNumberingAfterBreak="0">
    <w:nsid w:val="665D4061"/>
    <w:multiLevelType w:val="multilevel"/>
    <w:tmpl w:val="4078CF34"/>
    <w:styleLink w:val="Style1"/>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81C3C99"/>
    <w:multiLevelType w:val="hybridMultilevel"/>
    <w:tmpl w:val="82E62C82"/>
    <w:lvl w:ilvl="0" w:tplc="FFFFFFFF">
      <w:start w:val="1"/>
      <w:numFmt w:val="upperLetter"/>
      <w:lvlText w:val="%1."/>
      <w:lvlJc w:val="left"/>
      <w:pPr>
        <w:ind w:left="1643" w:hanging="1643"/>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8485BD1"/>
    <w:multiLevelType w:val="multilevel"/>
    <w:tmpl w:val="A458739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9041078"/>
    <w:multiLevelType w:val="hybridMultilevel"/>
    <w:tmpl w:val="21F4DED4"/>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6D71530E"/>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E160BEE"/>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FFC539C"/>
    <w:multiLevelType w:val="multilevel"/>
    <w:tmpl w:val="4E4E93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71911968"/>
    <w:multiLevelType w:val="multilevel"/>
    <w:tmpl w:val="131A3EEC"/>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rFonts w:ascii="Times New Roman" w:hAnsi="Times New Roman" w:hint="default"/>
        <w:b/>
        <w:bCs/>
        <w:color w:val="000000" w:themeColor="text1"/>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8" w15:restartNumberingAfterBreak="0">
    <w:nsid w:val="75576026"/>
    <w:multiLevelType w:val="multilevel"/>
    <w:tmpl w:val="DD3CC1D4"/>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E74081A"/>
    <w:multiLevelType w:val="multilevel"/>
    <w:tmpl w:val="F7CE5C6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23365954">
    <w:abstractNumId w:val="26"/>
  </w:num>
  <w:num w:numId="2" w16cid:durableId="1072922073">
    <w:abstractNumId w:val="21"/>
  </w:num>
  <w:num w:numId="3" w16cid:durableId="1075473551">
    <w:abstractNumId w:val="21"/>
  </w:num>
  <w:num w:numId="4" w16cid:durableId="1349216571">
    <w:abstractNumId w:val="27"/>
  </w:num>
  <w:num w:numId="5" w16cid:durableId="1598709745">
    <w:abstractNumId w:val="21"/>
  </w:num>
  <w:num w:numId="6" w16cid:durableId="1916089570">
    <w:abstractNumId w:val="21"/>
  </w:num>
  <w:num w:numId="7" w16cid:durableId="1936786999">
    <w:abstractNumId w:val="21"/>
  </w:num>
  <w:num w:numId="8" w16cid:durableId="1989167334">
    <w:abstractNumId w:val="21"/>
  </w:num>
  <w:num w:numId="9" w16cid:durableId="2129931866">
    <w:abstractNumId w:val="21"/>
  </w:num>
  <w:num w:numId="10" w16cid:durableId="470488606">
    <w:abstractNumId w:val="21"/>
  </w:num>
  <w:num w:numId="11" w16cid:durableId="602540068">
    <w:abstractNumId w:val="24"/>
  </w:num>
  <w:num w:numId="12" w16cid:durableId="618150828">
    <w:abstractNumId w:val="21"/>
  </w:num>
  <w:num w:numId="13" w16cid:durableId="752043918">
    <w:abstractNumId w:val="21"/>
  </w:num>
  <w:num w:numId="14" w16cid:durableId="1387610484">
    <w:abstractNumId w:val="21"/>
  </w:num>
  <w:num w:numId="15" w16cid:durableId="1943605968">
    <w:abstractNumId w:val="21"/>
    <w:lvlOverride w:ilvl="0">
      <w:startOverride w:val="1"/>
    </w:lvlOverride>
  </w:num>
  <w:num w:numId="16" w16cid:durableId="2000382172">
    <w:abstractNumId w:val="21"/>
  </w:num>
  <w:num w:numId="17" w16cid:durableId="1126656140">
    <w:abstractNumId w:val="18"/>
  </w:num>
  <w:num w:numId="18" w16cid:durableId="1919703858">
    <w:abstractNumId w:val="23"/>
  </w:num>
  <w:num w:numId="19" w16cid:durableId="225723801">
    <w:abstractNumId w:val="1"/>
  </w:num>
  <w:num w:numId="20" w16cid:durableId="2024358379">
    <w:abstractNumId w:val="10"/>
  </w:num>
  <w:num w:numId="21" w16cid:durableId="2034914580">
    <w:abstractNumId w:val="11"/>
  </w:num>
  <w:num w:numId="22" w16cid:durableId="1605579527">
    <w:abstractNumId w:val="14"/>
  </w:num>
  <w:num w:numId="23" w16cid:durableId="1739357891">
    <w:abstractNumId w:val="17"/>
  </w:num>
  <w:num w:numId="24" w16cid:durableId="1340543614">
    <w:abstractNumId w:val="2"/>
  </w:num>
  <w:num w:numId="25" w16cid:durableId="50353508">
    <w:abstractNumId w:val="4"/>
  </w:num>
  <w:num w:numId="26" w16cid:durableId="1627272085">
    <w:abstractNumId w:val="9"/>
  </w:num>
  <w:num w:numId="27" w16cid:durableId="749621357">
    <w:abstractNumId w:val="12"/>
  </w:num>
  <w:num w:numId="28" w16cid:durableId="926156675">
    <w:abstractNumId w:val="19"/>
  </w:num>
  <w:num w:numId="29" w16cid:durableId="238370822">
    <w:abstractNumId w:val="25"/>
  </w:num>
  <w:num w:numId="30" w16cid:durableId="2032411721">
    <w:abstractNumId w:val="13"/>
  </w:num>
  <w:num w:numId="31" w16cid:durableId="362484694">
    <w:abstractNumId w:val="20"/>
  </w:num>
  <w:num w:numId="32" w16cid:durableId="1091464753">
    <w:abstractNumId w:val="7"/>
  </w:num>
  <w:num w:numId="33" w16cid:durableId="1001854633">
    <w:abstractNumId w:val="6"/>
  </w:num>
  <w:num w:numId="34" w16cid:durableId="1557007635">
    <w:abstractNumId w:val="15"/>
  </w:num>
  <w:num w:numId="35" w16cid:durableId="112139519">
    <w:abstractNumId w:val="0"/>
  </w:num>
  <w:num w:numId="36" w16cid:durableId="1754006745">
    <w:abstractNumId w:val="3"/>
  </w:num>
  <w:num w:numId="37" w16cid:durableId="298413951">
    <w:abstractNumId w:val="5"/>
  </w:num>
  <w:num w:numId="38" w16cid:durableId="989136425">
    <w:abstractNumId w:val="3"/>
  </w:num>
  <w:num w:numId="39" w16cid:durableId="925113885">
    <w:abstractNumId w:val="22"/>
  </w:num>
  <w:num w:numId="40" w16cid:durableId="385838749">
    <w:abstractNumId w:val="29"/>
  </w:num>
  <w:num w:numId="41" w16cid:durableId="1332101197">
    <w:abstractNumId w:val="8"/>
  </w:num>
  <w:num w:numId="42" w16cid:durableId="1145313613">
    <w:abstractNumId w:val="3"/>
  </w:num>
  <w:num w:numId="43" w16cid:durableId="418066885">
    <w:abstractNumId w:val="3"/>
  </w:num>
  <w:num w:numId="44" w16cid:durableId="821655579">
    <w:abstractNumId w:val="28"/>
  </w:num>
  <w:num w:numId="45" w16cid:durableId="73331140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Endreß">
    <w15:presenceInfo w15:providerId="AD" w15:userId="S::70474@novasbe.pt::01422edb-a657-40b0-b235-5a2974e5a6d7"/>
  </w15:person>
  <w15:person w15:author="Pietro De Bernardi">
    <w15:presenceInfo w15:providerId="AD" w15:userId="S::69791@novasbe.pt::ae7c2248-609f-4ac7-babc-54098e4d6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AF97C4"/>
    <w:rsid w:val="00001EAF"/>
    <w:rsid w:val="000021D0"/>
    <w:rsid w:val="000023E2"/>
    <w:rsid w:val="00002AEC"/>
    <w:rsid w:val="000054AD"/>
    <w:rsid w:val="000065E4"/>
    <w:rsid w:val="000113A3"/>
    <w:rsid w:val="00011BD2"/>
    <w:rsid w:val="00013A22"/>
    <w:rsid w:val="00013F15"/>
    <w:rsid w:val="000154D8"/>
    <w:rsid w:val="00015F9F"/>
    <w:rsid w:val="0001670F"/>
    <w:rsid w:val="00024701"/>
    <w:rsid w:val="000248EC"/>
    <w:rsid w:val="00025DF4"/>
    <w:rsid w:val="00031BBE"/>
    <w:rsid w:val="00031D9F"/>
    <w:rsid w:val="00031DB0"/>
    <w:rsid w:val="00033794"/>
    <w:rsid w:val="00037DB6"/>
    <w:rsid w:val="00041669"/>
    <w:rsid w:val="000423AA"/>
    <w:rsid w:val="000426E6"/>
    <w:rsid w:val="00043A19"/>
    <w:rsid w:val="00045E48"/>
    <w:rsid w:val="000507B8"/>
    <w:rsid w:val="00050C0F"/>
    <w:rsid w:val="0005137F"/>
    <w:rsid w:val="00052F5B"/>
    <w:rsid w:val="0005438A"/>
    <w:rsid w:val="000563DB"/>
    <w:rsid w:val="00064F59"/>
    <w:rsid w:val="00065A1B"/>
    <w:rsid w:val="00065F1B"/>
    <w:rsid w:val="000774DB"/>
    <w:rsid w:val="000805A8"/>
    <w:rsid w:val="000805C8"/>
    <w:rsid w:val="00080BF3"/>
    <w:rsid w:val="00084F29"/>
    <w:rsid w:val="00085449"/>
    <w:rsid w:val="0008701F"/>
    <w:rsid w:val="00090DD0"/>
    <w:rsid w:val="000932A5"/>
    <w:rsid w:val="000A286F"/>
    <w:rsid w:val="000A37B0"/>
    <w:rsid w:val="000A6384"/>
    <w:rsid w:val="000B0C8C"/>
    <w:rsid w:val="000B13AF"/>
    <w:rsid w:val="000B2AC2"/>
    <w:rsid w:val="000B6AEF"/>
    <w:rsid w:val="000B764E"/>
    <w:rsid w:val="000B7A40"/>
    <w:rsid w:val="000C0EC7"/>
    <w:rsid w:val="000C3754"/>
    <w:rsid w:val="000C5626"/>
    <w:rsid w:val="000C711E"/>
    <w:rsid w:val="000D4062"/>
    <w:rsid w:val="000D4728"/>
    <w:rsid w:val="000D5096"/>
    <w:rsid w:val="000D6199"/>
    <w:rsid w:val="000E439B"/>
    <w:rsid w:val="000E54B2"/>
    <w:rsid w:val="000E5CE6"/>
    <w:rsid w:val="000E7DB0"/>
    <w:rsid w:val="000F4927"/>
    <w:rsid w:val="000F516E"/>
    <w:rsid w:val="000F74A6"/>
    <w:rsid w:val="000F7D14"/>
    <w:rsid w:val="001028C8"/>
    <w:rsid w:val="00103AA1"/>
    <w:rsid w:val="00104332"/>
    <w:rsid w:val="001053D6"/>
    <w:rsid w:val="00105CE7"/>
    <w:rsid w:val="00106655"/>
    <w:rsid w:val="00106C90"/>
    <w:rsid w:val="0010759F"/>
    <w:rsid w:val="00111061"/>
    <w:rsid w:val="001112BC"/>
    <w:rsid w:val="001131BA"/>
    <w:rsid w:val="00113411"/>
    <w:rsid w:val="001139EA"/>
    <w:rsid w:val="00114977"/>
    <w:rsid w:val="0011678E"/>
    <w:rsid w:val="00116AE8"/>
    <w:rsid w:val="0011717F"/>
    <w:rsid w:val="00117CD7"/>
    <w:rsid w:val="001225DE"/>
    <w:rsid w:val="001257B5"/>
    <w:rsid w:val="00126EC6"/>
    <w:rsid w:val="00130866"/>
    <w:rsid w:val="00135E7B"/>
    <w:rsid w:val="00136219"/>
    <w:rsid w:val="001362CE"/>
    <w:rsid w:val="00136607"/>
    <w:rsid w:val="00137E58"/>
    <w:rsid w:val="00140481"/>
    <w:rsid w:val="0014053E"/>
    <w:rsid w:val="00140EF4"/>
    <w:rsid w:val="00140FC5"/>
    <w:rsid w:val="00141311"/>
    <w:rsid w:val="0014407E"/>
    <w:rsid w:val="001462F4"/>
    <w:rsid w:val="0014699D"/>
    <w:rsid w:val="00147088"/>
    <w:rsid w:val="00147D98"/>
    <w:rsid w:val="00147E2F"/>
    <w:rsid w:val="00150359"/>
    <w:rsid w:val="00150FAC"/>
    <w:rsid w:val="0015235D"/>
    <w:rsid w:val="00157C0B"/>
    <w:rsid w:val="001604F9"/>
    <w:rsid w:val="0016152F"/>
    <w:rsid w:val="00161B0D"/>
    <w:rsid w:val="00163277"/>
    <w:rsid w:val="00163F81"/>
    <w:rsid w:val="001657EC"/>
    <w:rsid w:val="00165ABC"/>
    <w:rsid w:val="0017173E"/>
    <w:rsid w:val="00173504"/>
    <w:rsid w:val="00173E19"/>
    <w:rsid w:val="0017487B"/>
    <w:rsid w:val="001760C4"/>
    <w:rsid w:val="0017688C"/>
    <w:rsid w:val="00180784"/>
    <w:rsid w:val="00180BC3"/>
    <w:rsid w:val="001815A9"/>
    <w:rsid w:val="0018434F"/>
    <w:rsid w:val="00190F04"/>
    <w:rsid w:val="001927FF"/>
    <w:rsid w:val="001929D8"/>
    <w:rsid w:val="001972DA"/>
    <w:rsid w:val="00197957"/>
    <w:rsid w:val="00197A88"/>
    <w:rsid w:val="00197CD0"/>
    <w:rsid w:val="001A3821"/>
    <w:rsid w:val="001A4873"/>
    <w:rsid w:val="001A67D1"/>
    <w:rsid w:val="001A7B2D"/>
    <w:rsid w:val="001B3BDE"/>
    <w:rsid w:val="001B7482"/>
    <w:rsid w:val="001C16FB"/>
    <w:rsid w:val="001D2578"/>
    <w:rsid w:val="001D670D"/>
    <w:rsid w:val="001E1BB6"/>
    <w:rsid w:val="001E3F38"/>
    <w:rsid w:val="001E4149"/>
    <w:rsid w:val="001E5FA9"/>
    <w:rsid w:val="001E7EDD"/>
    <w:rsid w:val="001F131F"/>
    <w:rsid w:val="001F17A3"/>
    <w:rsid w:val="001F17EE"/>
    <w:rsid w:val="001F1C6F"/>
    <w:rsid w:val="001F2FE0"/>
    <w:rsid w:val="001F3821"/>
    <w:rsid w:val="001F5892"/>
    <w:rsid w:val="00201726"/>
    <w:rsid w:val="0020468E"/>
    <w:rsid w:val="00205EEC"/>
    <w:rsid w:val="00211EB3"/>
    <w:rsid w:val="002157C4"/>
    <w:rsid w:val="002159C0"/>
    <w:rsid w:val="00222C5D"/>
    <w:rsid w:val="0022357D"/>
    <w:rsid w:val="00224E81"/>
    <w:rsid w:val="00225392"/>
    <w:rsid w:val="0022577E"/>
    <w:rsid w:val="0022659F"/>
    <w:rsid w:val="00227BFC"/>
    <w:rsid w:val="002322FF"/>
    <w:rsid w:val="002341BA"/>
    <w:rsid w:val="002350F9"/>
    <w:rsid w:val="00237679"/>
    <w:rsid w:val="00241761"/>
    <w:rsid w:val="002434BE"/>
    <w:rsid w:val="00244F6C"/>
    <w:rsid w:val="002453BC"/>
    <w:rsid w:val="00245BCE"/>
    <w:rsid w:val="0024E6F4"/>
    <w:rsid w:val="00252076"/>
    <w:rsid w:val="00253B4B"/>
    <w:rsid w:val="00255C6D"/>
    <w:rsid w:val="002571F8"/>
    <w:rsid w:val="0026107A"/>
    <w:rsid w:val="00261C10"/>
    <w:rsid w:val="002627A6"/>
    <w:rsid w:val="00262DF7"/>
    <w:rsid w:val="00263B2F"/>
    <w:rsid w:val="00266877"/>
    <w:rsid w:val="00266B7B"/>
    <w:rsid w:val="00267519"/>
    <w:rsid w:val="00273E53"/>
    <w:rsid w:val="00274374"/>
    <w:rsid w:val="00277FB0"/>
    <w:rsid w:val="00280C65"/>
    <w:rsid w:val="00281568"/>
    <w:rsid w:val="00282291"/>
    <w:rsid w:val="00282B30"/>
    <w:rsid w:val="00283D2B"/>
    <w:rsid w:val="0028668C"/>
    <w:rsid w:val="002869F3"/>
    <w:rsid w:val="00286EA9"/>
    <w:rsid w:val="00290BD1"/>
    <w:rsid w:val="0029102B"/>
    <w:rsid w:val="00295C95"/>
    <w:rsid w:val="00296F64"/>
    <w:rsid w:val="002A14A1"/>
    <w:rsid w:val="002A3962"/>
    <w:rsid w:val="002A443B"/>
    <w:rsid w:val="002A5EE8"/>
    <w:rsid w:val="002A6312"/>
    <w:rsid w:val="002B0F8B"/>
    <w:rsid w:val="002B5125"/>
    <w:rsid w:val="002B7419"/>
    <w:rsid w:val="002C2F5E"/>
    <w:rsid w:val="002D207B"/>
    <w:rsid w:val="002D3EE3"/>
    <w:rsid w:val="002D749F"/>
    <w:rsid w:val="002D74B3"/>
    <w:rsid w:val="002E0354"/>
    <w:rsid w:val="002E0B4D"/>
    <w:rsid w:val="002E33F7"/>
    <w:rsid w:val="002E3C68"/>
    <w:rsid w:val="002F08C8"/>
    <w:rsid w:val="002F14BF"/>
    <w:rsid w:val="002F2328"/>
    <w:rsid w:val="002F476A"/>
    <w:rsid w:val="002F5C75"/>
    <w:rsid w:val="002F654E"/>
    <w:rsid w:val="002F6711"/>
    <w:rsid w:val="003002FE"/>
    <w:rsid w:val="00302094"/>
    <w:rsid w:val="003026FE"/>
    <w:rsid w:val="003031AE"/>
    <w:rsid w:val="00304CD8"/>
    <w:rsid w:val="00305242"/>
    <w:rsid w:val="003064CA"/>
    <w:rsid w:val="003066DA"/>
    <w:rsid w:val="00306C31"/>
    <w:rsid w:val="003142FC"/>
    <w:rsid w:val="003229FE"/>
    <w:rsid w:val="00323FC3"/>
    <w:rsid w:val="003251F2"/>
    <w:rsid w:val="00325AB4"/>
    <w:rsid w:val="00327492"/>
    <w:rsid w:val="00327B26"/>
    <w:rsid w:val="0033195A"/>
    <w:rsid w:val="003341C2"/>
    <w:rsid w:val="00341105"/>
    <w:rsid w:val="00341DB7"/>
    <w:rsid w:val="003423A9"/>
    <w:rsid w:val="00342563"/>
    <w:rsid w:val="0034632E"/>
    <w:rsid w:val="00347CC4"/>
    <w:rsid w:val="00350037"/>
    <w:rsid w:val="003517AB"/>
    <w:rsid w:val="0035769D"/>
    <w:rsid w:val="003576FB"/>
    <w:rsid w:val="00360719"/>
    <w:rsid w:val="00362426"/>
    <w:rsid w:val="00363891"/>
    <w:rsid w:val="0036417B"/>
    <w:rsid w:val="00370C37"/>
    <w:rsid w:val="00372BB9"/>
    <w:rsid w:val="00375B7B"/>
    <w:rsid w:val="003771F7"/>
    <w:rsid w:val="003802EA"/>
    <w:rsid w:val="00380F79"/>
    <w:rsid w:val="00381B0A"/>
    <w:rsid w:val="003825DC"/>
    <w:rsid w:val="00383F17"/>
    <w:rsid w:val="00384656"/>
    <w:rsid w:val="00390144"/>
    <w:rsid w:val="0039136F"/>
    <w:rsid w:val="00392228"/>
    <w:rsid w:val="003930E7"/>
    <w:rsid w:val="003967AA"/>
    <w:rsid w:val="00397DCB"/>
    <w:rsid w:val="003A0A72"/>
    <w:rsid w:val="003A392C"/>
    <w:rsid w:val="003B1E7C"/>
    <w:rsid w:val="003B6300"/>
    <w:rsid w:val="003B6354"/>
    <w:rsid w:val="003B7CE4"/>
    <w:rsid w:val="003C0397"/>
    <w:rsid w:val="003C2DE4"/>
    <w:rsid w:val="003C3A3D"/>
    <w:rsid w:val="003C5859"/>
    <w:rsid w:val="003C59B9"/>
    <w:rsid w:val="003C7868"/>
    <w:rsid w:val="003D3AC9"/>
    <w:rsid w:val="003D449C"/>
    <w:rsid w:val="003D47C8"/>
    <w:rsid w:val="003E01FB"/>
    <w:rsid w:val="003E0DF6"/>
    <w:rsid w:val="003E2148"/>
    <w:rsid w:val="003E38FA"/>
    <w:rsid w:val="003E3D25"/>
    <w:rsid w:val="003E456B"/>
    <w:rsid w:val="003E49F5"/>
    <w:rsid w:val="003E6F7C"/>
    <w:rsid w:val="003F1841"/>
    <w:rsid w:val="003F3213"/>
    <w:rsid w:val="003F680A"/>
    <w:rsid w:val="003F7166"/>
    <w:rsid w:val="003F74DA"/>
    <w:rsid w:val="00407357"/>
    <w:rsid w:val="00411E83"/>
    <w:rsid w:val="00412473"/>
    <w:rsid w:val="004129EC"/>
    <w:rsid w:val="0041363F"/>
    <w:rsid w:val="00413B40"/>
    <w:rsid w:val="00414B03"/>
    <w:rsid w:val="0041501C"/>
    <w:rsid w:val="00416BEF"/>
    <w:rsid w:val="00417C4A"/>
    <w:rsid w:val="00420C87"/>
    <w:rsid w:val="00425DA2"/>
    <w:rsid w:val="00427445"/>
    <w:rsid w:val="004308F0"/>
    <w:rsid w:val="00430DAF"/>
    <w:rsid w:val="0043208A"/>
    <w:rsid w:val="00432CBD"/>
    <w:rsid w:val="004336E9"/>
    <w:rsid w:val="0043375D"/>
    <w:rsid w:val="004474B0"/>
    <w:rsid w:val="00450655"/>
    <w:rsid w:val="00453417"/>
    <w:rsid w:val="00454896"/>
    <w:rsid w:val="004552F2"/>
    <w:rsid w:val="0045639C"/>
    <w:rsid w:val="00460DC9"/>
    <w:rsid w:val="004665C5"/>
    <w:rsid w:val="0046778E"/>
    <w:rsid w:val="00470A30"/>
    <w:rsid w:val="004725C3"/>
    <w:rsid w:val="00474E5C"/>
    <w:rsid w:val="0047669F"/>
    <w:rsid w:val="004773EA"/>
    <w:rsid w:val="004774E8"/>
    <w:rsid w:val="0048166B"/>
    <w:rsid w:val="00483C8D"/>
    <w:rsid w:val="004849D6"/>
    <w:rsid w:val="00486E93"/>
    <w:rsid w:val="00494742"/>
    <w:rsid w:val="004949EE"/>
    <w:rsid w:val="00494FB9"/>
    <w:rsid w:val="0049588F"/>
    <w:rsid w:val="004967BF"/>
    <w:rsid w:val="00496C34"/>
    <w:rsid w:val="004A0FBF"/>
    <w:rsid w:val="004A1006"/>
    <w:rsid w:val="004A4964"/>
    <w:rsid w:val="004A5256"/>
    <w:rsid w:val="004A52D8"/>
    <w:rsid w:val="004A5593"/>
    <w:rsid w:val="004A6DA2"/>
    <w:rsid w:val="004B1381"/>
    <w:rsid w:val="004B1538"/>
    <w:rsid w:val="004B1E15"/>
    <w:rsid w:val="004B258C"/>
    <w:rsid w:val="004B3D2A"/>
    <w:rsid w:val="004B56B0"/>
    <w:rsid w:val="004C04DF"/>
    <w:rsid w:val="004C051D"/>
    <w:rsid w:val="004C05BC"/>
    <w:rsid w:val="004C1D20"/>
    <w:rsid w:val="004C366E"/>
    <w:rsid w:val="004D0504"/>
    <w:rsid w:val="004D3458"/>
    <w:rsid w:val="004D3E29"/>
    <w:rsid w:val="004E3F59"/>
    <w:rsid w:val="004E4F51"/>
    <w:rsid w:val="004F0109"/>
    <w:rsid w:val="004F081A"/>
    <w:rsid w:val="004F487D"/>
    <w:rsid w:val="004F4B84"/>
    <w:rsid w:val="004F55D1"/>
    <w:rsid w:val="004F5DB6"/>
    <w:rsid w:val="00502AA0"/>
    <w:rsid w:val="00505817"/>
    <w:rsid w:val="0050716A"/>
    <w:rsid w:val="005073B3"/>
    <w:rsid w:val="0050785B"/>
    <w:rsid w:val="00507879"/>
    <w:rsid w:val="00511218"/>
    <w:rsid w:val="00514A43"/>
    <w:rsid w:val="00514F33"/>
    <w:rsid w:val="0051517A"/>
    <w:rsid w:val="005152E4"/>
    <w:rsid w:val="005162B7"/>
    <w:rsid w:val="00521A37"/>
    <w:rsid w:val="005222B4"/>
    <w:rsid w:val="00524856"/>
    <w:rsid w:val="0052606A"/>
    <w:rsid w:val="00526AFF"/>
    <w:rsid w:val="00530316"/>
    <w:rsid w:val="005312F4"/>
    <w:rsid w:val="00531ADE"/>
    <w:rsid w:val="00535318"/>
    <w:rsid w:val="00540A8D"/>
    <w:rsid w:val="005425C8"/>
    <w:rsid w:val="005426BD"/>
    <w:rsid w:val="00543C6E"/>
    <w:rsid w:val="00551FB7"/>
    <w:rsid w:val="00553C37"/>
    <w:rsid w:val="005554B5"/>
    <w:rsid w:val="00556DF9"/>
    <w:rsid w:val="0055754D"/>
    <w:rsid w:val="00561DC4"/>
    <w:rsid w:val="005633D2"/>
    <w:rsid w:val="00563556"/>
    <w:rsid w:val="005654F0"/>
    <w:rsid w:val="005660BE"/>
    <w:rsid w:val="00566A42"/>
    <w:rsid w:val="0057112D"/>
    <w:rsid w:val="005723EF"/>
    <w:rsid w:val="005807B3"/>
    <w:rsid w:val="00580D19"/>
    <w:rsid w:val="00585DCB"/>
    <w:rsid w:val="00587471"/>
    <w:rsid w:val="00592D91"/>
    <w:rsid w:val="005955A9"/>
    <w:rsid w:val="005967B3"/>
    <w:rsid w:val="005A0461"/>
    <w:rsid w:val="005A0D8F"/>
    <w:rsid w:val="005A2AED"/>
    <w:rsid w:val="005A3282"/>
    <w:rsid w:val="005A36A6"/>
    <w:rsid w:val="005A61D5"/>
    <w:rsid w:val="005A6887"/>
    <w:rsid w:val="005A6947"/>
    <w:rsid w:val="005B2E1E"/>
    <w:rsid w:val="005B36E2"/>
    <w:rsid w:val="005C0942"/>
    <w:rsid w:val="005C6D34"/>
    <w:rsid w:val="005D517F"/>
    <w:rsid w:val="005D778C"/>
    <w:rsid w:val="005D7AD9"/>
    <w:rsid w:val="005E27EF"/>
    <w:rsid w:val="005E3BDE"/>
    <w:rsid w:val="005E42B6"/>
    <w:rsid w:val="005E722D"/>
    <w:rsid w:val="005F1A32"/>
    <w:rsid w:val="006000E3"/>
    <w:rsid w:val="00601524"/>
    <w:rsid w:val="00603B56"/>
    <w:rsid w:val="006063B6"/>
    <w:rsid w:val="00607DDD"/>
    <w:rsid w:val="006129D9"/>
    <w:rsid w:val="006140B5"/>
    <w:rsid w:val="0061498D"/>
    <w:rsid w:val="00614CAF"/>
    <w:rsid w:val="006158DE"/>
    <w:rsid w:val="00615995"/>
    <w:rsid w:val="00624ABF"/>
    <w:rsid w:val="00630F66"/>
    <w:rsid w:val="006361D3"/>
    <w:rsid w:val="00636FA7"/>
    <w:rsid w:val="00641530"/>
    <w:rsid w:val="006449C3"/>
    <w:rsid w:val="006506C4"/>
    <w:rsid w:val="0065283A"/>
    <w:rsid w:val="006646FD"/>
    <w:rsid w:val="006652C3"/>
    <w:rsid w:val="00667B5B"/>
    <w:rsid w:val="006705C8"/>
    <w:rsid w:val="0067080F"/>
    <w:rsid w:val="0067425C"/>
    <w:rsid w:val="0067437E"/>
    <w:rsid w:val="00674AF7"/>
    <w:rsid w:val="0067538A"/>
    <w:rsid w:val="006755E4"/>
    <w:rsid w:val="00675C55"/>
    <w:rsid w:val="00680CD3"/>
    <w:rsid w:val="006827FC"/>
    <w:rsid w:val="0068347B"/>
    <w:rsid w:val="00684D0D"/>
    <w:rsid w:val="00685255"/>
    <w:rsid w:val="00685DB3"/>
    <w:rsid w:val="0069505C"/>
    <w:rsid w:val="006950C2"/>
    <w:rsid w:val="006A17C6"/>
    <w:rsid w:val="006A1FA0"/>
    <w:rsid w:val="006A2D0D"/>
    <w:rsid w:val="006A3BB6"/>
    <w:rsid w:val="006A45C2"/>
    <w:rsid w:val="006A648E"/>
    <w:rsid w:val="006A64A5"/>
    <w:rsid w:val="006B1EC3"/>
    <w:rsid w:val="006B2110"/>
    <w:rsid w:val="006C0A4B"/>
    <w:rsid w:val="006C216B"/>
    <w:rsid w:val="006C28E6"/>
    <w:rsid w:val="006C574D"/>
    <w:rsid w:val="006C6ABE"/>
    <w:rsid w:val="006C74E0"/>
    <w:rsid w:val="006D6792"/>
    <w:rsid w:val="006D6B33"/>
    <w:rsid w:val="006E0186"/>
    <w:rsid w:val="006E1820"/>
    <w:rsid w:val="006E1EEE"/>
    <w:rsid w:val="006E2865"/>
    <w:rsid w:val="006E33C6"/>
    <w:rsid w:val="006E5B21"/>
    <w:rsid w:val="006F22D2"/>
    <w:rsid w:val="006F45A7"/>
    <w:rsid w:val="006F4655"/>
    <w:rsid w:val="006F4D40"/>
    <w:rsid w:val="006F57BA"/>
    <w:rsid w:val="006F6BF3"/>
    <w:rsid w:val="007026FA"/>
    <w:rsid w:val="00703447"/>
    <w:rsid w:val="00703890"/>
    <w:rsid w:val="00706242"/>
    <w:rsid w:val="00707CD5"/>
    <w:rsid w:val="0071219E"/>
    <w:rsid w:val="007123AD"/>
    <w:rsid w:val="00713FCE"/>
    <w:rsid w:val="00714873"/>
    <w:rsid w:val="007165B2"/>
    <w:rsid w:val="00717CB8"/>
    <w:rsid w:val="00721084"/>
    <w:rsid w:val="00722B2E"/>
    <w:rsid w:val="0072487E"/>
    <w:rsid w:val="00732FD1"/>
    <w:rsid w:val="00735FBB"/>
    <w:rsid w:val="00736719"/>
    <w:rsid w:val="00746DA2"/>
    <w:rsid w:val="007507CC"/>
    <w:rsid w:val="00753D4C"/>
    <w:rsid w:val="007577FA"/>
    <w:rsid w:val="00760659"/>
    <w:rsid w:val="00761640"/>
    <w:rsid w:val="00761C79"/>
    <w:rsid w:val="0076382A"/>
    <w:rsid w:val="007646CB"/>
    <w:rsid w:val="00764824"/>
    <w:rsid w:val="00765D6C"/>
    <w:rsid w:val="00766931"/>
    <w:rsid w:val="00767683"/>
    <w:rsid w:val="00767AF4"/>
    <w:rsid w:val="007709D1"/>
    <w:rsid w:val="00772C55"/>
    <w:rsid w:val="0078029E"/>
    <w:rsid w:val="00780C16"/>
    <w:rsid w:val="00781992"/>
    <w:rsid w:val="0078344A"/>
    <w:rsid w:val="00784E9A"/>
    <w:rsid w:val="00786725"/>
    <w:rsid w:val="00786FA8"/>
    <w:rsid w:val="007871EA"/>
    <w:rsid w:val="0079233A"/>
    <w:rsid w:val="00794178"/>
    <w:rsid w:val="007A2964"/>
    <w:rsid w:val="007A377F"/>
    <w:rsid w:val="007A493A"/>
    <w:rsid w:val="007A52D3"/>
    <w:rsid w:val="007A7437"/>
    <w:rsid w:val="007B0E01"/>
    <w:rsid w:val="007B6E51"/>
    <w:rsid w:val="007C0E25"/>
    <w:rsid w:val="007C41D7"/>
    <w:rsid w:val="007C5110"/>
    <w:rsid w:val="007D1047"/>
    <w:rsid w:val="007D163F"/>
    <w:rsid w:val="007D1C00"/>
    <w:rsid w:val="007D3B2F"/>
    <w:rsid w:val="007D7C44"/>
    <w:rsid w:val="007E349B"/>
    <w:rsid w:val="007E3B6D"/>
    <w:rsid w:val="007E3E94"/>
    <w:rsid w:val="007E4157"/>
    <w:rsid w:val="007E5816"/>
    <w:rsid w:val="007F05B4"/>
    <w:rsid w:val="007F0755"/>
    <w:rsid w:val="007F1029"/>
    <w:rsid w:val="007F2C63"/>
    <w:rsid w:val="007F3C9E"/>
    <w:rsid w:val="007F4858"/>
    <w:rsid w:val="007F5905"/>
    <w:rsid w:val="00800A54"/>
    <w:rsid w:val="00802904"/>
    <w:rsid w:val="00803214"/>
    <w:rsid w:val="00804DD4"/>
    <w:rsid w:val="00806A21"/>
    <w:rsid w:val="00806D67"/>
    <w:rsid w:val="008076D1"/>
    <w:rsid w:val="00815C6A"/>
    <w:rsid w:val="008164E6"/>
    <w:rsid w:val="00820981"/>
    <w:rsid w:val="00823C30"/>
    <w:rsid w:val="0082445D"/>
    <w:rsid w:val="00825B5D"/>
    <w:rsid w:val="00827029"/>
    <w:rsid w:val="00827DE4"/>
    <w:rsid w:val="00832F67"/>
    <w:rsid w:val="00835203"/>
    <w:rsid w:val="00841062"/>
    <w:rsid w:val="00843873"/>
    <w:rsid w:val="00845CB2"/>
    <w:rsid w:val="008548E6"/>
    <w:rsid w:val="00855EE5"/>
    <w:rsid w:val="00855FCE"/>
    <w:rsid w:val="00856EDE"/>
    <w:rsid w:val="00857386"/>
    <w:rsid w:val="00862308"/>
    <w:rsid w:val="00864C17"/>
    <w:rsid w:val="00864EAF"/>
    <w:rsid w:val="00870401"/>
    <w:rsid w:val="00870EBA"/>
    <w:rsid w:val="00874A91"/>
    <w:rsid w:val="008766C3"/>
    <w:rsid w:val="0087745A"/>
    <w:rsid w:val="0088316D"/>
    <w:rsid w:val="008856D4"/>
    <w:rsid w:val="00893E1B"/>
    <w:rsid w:val="00893ECC"/>
    <w:rsid w:val="008942CE"/>
    <w:rsid w:val="008A2366"/>
    <w:rsid w:val="008A2B73"/>
    <w:rsid w:val="008A2C84"/>
    <w:rsid w:val="008A503B"/>
    <w:rsid w:val="008A67C7"/>
    <w:rsid w:val="008A74A9"/>
    <w:rsid w:val="008B012E"/>
    <w:rsid w:val="008B013C"/>
    <w:rsid w:val="008B49E3"/>
    <w:rsid w:val="008B56EF"/>
    <w:rsid w:val="008C09A8"/>
    <w:rsid w:val="008C18FA"/>
    <w:rsid w:val="008C1974"/>
    <w:rsid w:val="008C2923"/>
    <w:rsid w:val="008C38E4"/>
    <w:rsid w:val="008C3BCA"/>
    <w:rsid w:val="008D0C19"/>
    <w:rsid w:val="008D4C9D"/>
    <w:rsid w:val="008D6F05"/>
    <w:rsid w:val="008E0126"/>
    <w:rsid w:val="008E71C5"/>
    <w:rsid w:val="008F29D3"/>
    <w:rsid w:val="008F359D"/>
    <w:rsid w:val="008F5340"/>
    <w:rsid w:val="008F5685"/>
    <w:rsid w:val="008F7021"/>
    <w:rsid w:val="008F73D5"/>
    <w:rsid w:val="009012AD"/>
    <w:rsid w:val="00901AF1"/>
    <w:rsid w:val="00902CAE"/>
    <w:rsid w:val="00904283"/>
    <w:rsid w:val="00906703"/>
    <w:rsid w:val="00907C96"/>
    <w:rsid w:val="0091076D"/>
    <w:rsid w:val="00911F23"/>
    <w:rsid w:val="00914E36"/>
    <w:rsid w:val="009150F5"/>
    <w:rsid w:val="00915C34"/>
    <w:rsid w:val="00915DDB"/>
    <w:rsid w:val="009160AE"/>
    <w:rsid w:val="0092058D"/>
    <w:rsid w:val="00920731"/>
    <w:rsid w:val="00920B99"/>
    <w:rsid w:val="00920EB6"/>
    <w:rsid w:val="00921801"/>
    <w:rsid w:val="00923BD4"/>
    <w:rsid w:val="00930C7D"/>
    <w:rsid w:val="0093118D"/>
    <w:rsid w:val="00932819"/>
    <w:rsid w:val="00932DD1"/>
    <w:rsid w:val="00933E20"/>
    <w:rsid w:val="00935F0F"/>
    <w:rsid w:val="00937E54"/>
    <w:rsid w:val="00941660"/>
    <w:rsid w:val="0095145F"/>
    <w:rsid w:val="00952958"/>
    <w:rsid w:val="009604CE"/>
    <w:rsid w:val="00964836"/>
    <w:rsid w:val="009659BC"/>
    <w:rsid w:val="009665B7"/>
    <w:rsid w:val="00967AFC"/>
    <w:rsid w:val="00970C9D"/>
    <w:rsid w:val="00973108"/>
    <w:rsid w:val="0098048C"/>
    <w:rsid w:val="00980C9B"/>
    <w:rsid w:val="009811FC"/>
    <w:rsid w:val="00984048"/>
    <w:rsid w:val="00992578"/>
    <w:rsid w:val="00992FE0"/>
    <w:rsid w:val="00993797"/>
    <w:rsid w:val="00997A20"/>
    <w:rsid w:val="00997E90"/>
    <w:rsid w:val="009A02DF"/>
    <w:rsid w:val="009A3E23"/>
    <w:rsid w:val="009A58EE"/>
    <w:rsid w:val="009A62E6"/>
    <w:rsid w:val="009A684F"/>
    <w:rsid w:val="009A78F2"/>
    <w:rsid w:val="009A7D31"/>
    <w:rsid w:val="009B0EC8"/>
    <w:rsid w:val="009B11D1"/>
    <w:rsid w:val="009B1FC7"/>
    <w:rsid w:val="009B274E"/>
    <w:rsid w:val="009B59BB"/>
    <w:rsid w:val="009C177B"/>
    <w:rsid w:val="009C289E"/>
    <w:rsid w:val="009C3198"/>
    <w:rsid w:val="009C761C"/>
    <w:rsid w:val="009D3419"/>
    <w:rsid w:val="009D5269"/>
    <w:rsid w:val="009D6D40"/>
    <w:rsid w:val="009D78C8"/>
    <w:rsid w:val="009E067E"/>
    <w:rsid w:val="009E1F6E"/>
    <w:rsid w:val="009E5978"/>
    <w:rsid w:val="009E74D4"/>
    <w:rsid w:val="009E7821"/>
    <w:rsid w:val="009F2F25"/>
    <w:rsid w:val="009F4035"/>
    <w:rsid w:val="009F4188"/>
    <w:rsid w:val="009F597A"/>
    <w:rsid w:val="009F611B"/>
    <w:rsid w:val="00A02B17"/>
    <w:rsid w:val="00A03667"/>
    <w:rsid w:val="00A05410"/>
    <w:rsid w:val="00A062FA"/>
    <w:rsid w:val="00A123BB"/>
    <w:rsid w:val="00A2024D"/>
    <w:rsid w:val="00A225EA"/>
    <w:rsid w:val="00A240BE"/>
    <w:rsid w:val="00A25A8A"/>
    <w:rsid w:val="00A25E42"/>
    <w:rsid w:val="00A27E2E"/>
    <w:rsid w:val="00A30F13"/>
    <w:rsid w:val="00A314F7"/>
    <w:rsid w:val="00A321AC"/>
    <w:rsid w:val="00A34CAE"/>
    <w:rsid w:val="00A34DF9"/>
    <w:rsid w:val="00A34EAE"/>
    <w:rsid w:val="00A36306"/>
    <w:rsid w:val="00A36493"/>
    <w:rsid w:val="00A42A93"/>
    <w:rsid w:val="00A433F4"/>
    <w:rsid w:val="00A43A5F"/>
    <w:rsid w:val="00A44855"/>
    <w:rsid w:val="00A455EF"/>
    <w:rsid w:val="00A47845"/>
    <w:rsid w:val="00A4785B"/>
    <w:rsid w:val="00A5036C"/>
    <w:rsid w:val="00A50A9D"/>
    <w:rsid w:val="00A510C0"/>
    <w:rsid w:val="00A511B6"/>
    <w:rsid w:val="00A51D59"/>
    <w:rsid w:val="00A5351E"/>
    <w:rsid w:val="00A5428E"/>
    <w:rsid w:val="00A57045"/>
    <w:rsid w:val="00A571F6"/>
    <w:rsid w:val="00A576C0"/>
    <w:rsid w:val="00A60FCC"/>
    <w:rsid w:val="00A65E6F"/>
    <w:rsid w:val="00A72197"/>
    <w:rsid w:val="00A7583C"/>
    <w:rsid w:val="00A76C5A"/>
    <w:rsid w:val="00A770A1"/>
    <w:rsid w:val="00A77498"/>
    <w:rsid w:val="00A778C7"/>
    <w:rsid w:val="00A81063"/>
    <w:rsid w:val="00A81D52"/>
    <w:rsid w:val="00A83E0C"/>
    <w:rsid w:val="00A8406C"/>
    <w:rsid w:val="00A86727"/>
    <w:rsid w:val="00A867C1"/>
    <w:rsid w:val="00A90E88"/>
    <w:rsid w:val="00A92C8C"/>
    <w:rsid w:val="00A963CC"/>
    <w:rsid w:val="00AA34EB"/>
    <w:rsid w:val="00AA425C"/>
    <w:rsid w:val="00AD0E92"/>
    <w:rsid w:val="00AD6015"/>
    <w:rsid w:val="00AD708E"/>
    <w:rsid w:val="00AD718A"/>
    <w:rsid w:val="00AE19AB"/>
    <w:rsid w:val="00AE2E3B"/>
    <w:rsid w:val="00AE5750"/>
    <w:rsid w:val="00AE6D4A"/>
    <w:rsid w:val="00AE7786"/>
    <w:rsid w:val="00AE7880"/>
    <w:rsid w:val="00AF034D"/>
    <w:rsid w:val="00AF0856"/>
    <w:rsid w:val="00AF1EF3"/>
    <w:rsid w:val="00AF3653"/>
    <w:rsid w:val="00B00D33"/>
    <w:rsid w:val="00B02B2D"/>
    <w:rsid w:val="00B04D1C"/>
    <w:rsid w:val="00B04F00"/>
    <w:rsid w:val="00B05531"/>
    <w:rsid w:val="00B06482"/>
    <w:rsid w:val="00B0665F"/>
    <w:rsid w:val="00B06957"/>
    <w:rsid w:val="00B076E5"/>
    <w:rsid w:val="00B077E2"/>
    <w:rsid w:val="00B11B03"/>
    <w:rsid w:val="00B12070"/>
    <w:rsid w:val="00B15CB2"/>
    <w:rsid w:val="00B16C2D"/>
    <w:rsid w:val="00B201F7"/>
    <w:rsid w:val="00B20D9D"/>
    <w:rsid w:val="00B225C7"/>
    <w:rsid w:val="00B229DE"/>
    <w:rsid w:val="00B22C5E"/>
    <w:rsid w:val="00B24D6A"/>
    <w:rsid w:val="00B27006"/>
    <w:rsid w:val="00B27A55"/>
    <w:rsid w:val="00B3269F"/>
    <w:rsid w:val="00B347A7"/>
    <w:rsid w:val="00B3515F"/>
    <w:rsid w:val="00B403CD"/>
    <w:rsid w:val="00B43DC9"/>
    <w:rsid w:val="00B45B75"/>
    <w:rsid w:val="00B510FC"/>
    <w:rsid w:val="00B51ACD"/>
    <w:rsid w:val="00B5390F"/>
    <w:rsid w:val="00B55994"/>
    <w:rsid w:val="00B62D44"/>
    <w:rsid w:val="00B64A9C"/>
    <w:rsid w:val="00B65CF5"/>
    <w:rsid w:val="00B667E7"/>
    <w:rsid w:val="00B70A5E"/>
    <w:rsid w:val="00B72025"/>
    <w:rsid w:val="00B72535"/>
    <w:rsid w:val="00B7257B"/>
    <w:rsid w:val="00B73561"/>
    <w:rsid w:val="00B74161"/>
    <w:rsid w:val="00B76535"/>
    <w:rsid w:val="00B76B7A"/>
    <w:rsid w:val="00B7738B"/>
    <w:rsid w:val="00B77E0C"/>
    <w:rsid w:val="00B81728"/>
    <w:rsid w:val="00B830E0"/>
    <w:rsid w:val="00B842CD"/>
    <w:rsid w:val="00B84640"/>
    <w:rsid w:val="00B87C29"/>
    <w:rsid w:val="00B924B3"/>
    <w:rsid w:val="00B94BB2"/>
    <w:rsid w:val="00B963AE"/>
    <w:rsid w:val="00BA01D2"/>
    <w:rsid w:val="00BA0D36"/>
    <w:rsid w:val="00BA230A"/>
    <w:rsid w:val="00BA2CEE"/>
    <w:rsid w:val="00BA71BE"/>
    <w:rsid w:val="00BB0420"/>
    <w:rsid w:val="00BB66B8"/>
    <w:rsid w:val="00BB68CA"/>
    <w:rsid w:val="00BB7369"/>
    <w:rsid w:val="00BC1A6D"/>
    <w:rsid w:val="00BC25F5"/>
    <w:rsid w:val="00BC2AA3"/>
    <w:rsid w:val="00BC3917"/>
    <w:rsid w:val="00BC3937"/>
    <w:rsid w:val="00BC3A63"/>
    <w:rsid w:val="00BD29E3"/>
    <w:rsid w:val="00BD29FE"/>
    <w:rsid w:val="00BD2E2D"/>
    <w:rsid w:val="00BD2EC3"/>
    <w:rsid w:val="00BD3EE1"/>
    <w:rsid w:val="00BD4E64"/>
    <w:rsid w:val="00BD58E2"/>
    <w:rsid w:val="00BD6FB0"/>
    <w:rsid w:val="00BE0BCC"/>
    <w:rsid w:val="00BE1B94"/>
    <w:rsid w:val="00BE3637"/>
    <w:rsid w:val="00BE3762"/>
    <w:rsid w:val="00BE7040"/>
    <w:rsid w:val="00BF2136"/>
    <w:rsid w:val="00BF2C93"/>
    <w:rsid w:val="00BF2E61"/>
    <w:rsid w:val="00BF4021"/>
    <w:rsid w:val="00BF73AA"/>
    <w:rsid w:val="00BF766F"/>
    <w:rsid w:val="00C00F29"/>
    <w:rsid w:val="00C048BE"/>
    <w:rsid w:val="00C04E5D"/>
    <w:rsid w:val="00C1481F"/>
    <w:rsid w:val="00C15182"/>
    <w:rsid w:val="00C15379"/>
    <w:rsid w:val="00C1563F"/>
    <w:rsid w:val="00C17FB3"/>
    <w:rsid w:val="00C23045"/>
    <w:rsid w:val="00C265B6"/>
    <w:rsid w:val="00C279D9"/>
    <w:rsid w:val="00C33063"/>
    <w:rsid w:val="00C35045"/>
    <w:rsid w:val="00C35688"/>
    <w:rsid w:val="00C37273"/>
    <w:rsid w:val="00C37489"/>
    <w:rsid w:val="00C37D31"/>
    <w:rsid w:val="00C41487"/>
    <w:rsid w:val="00C42866"/>
    <w:rsid w:val="00C43891"/>
    <w:rsid w:val="00C444F8"/>
    <w:rsid w:val="00C45BB6"/>
    <w:rsid w:val="00C463BC"/>
    <w:rsid w:val="00C47C79"/>
    <w:rsid w:val="00C5003E"/>
    <w:rsid w:val="00C509D2"/>
    <w:rsid w:val="00C50B50"/>
    <w:rsid w:val="00C529A4"/>
    <w:rsid w:val="00C53285"/>
    <w:rsid w:val="00C534AB"/>
    <w:rsid w:val="00C537E3"/>
    <w:rsid w:val="00C57C02"/>
    <w:rsid w:val="00C63638"/>
    <w:rsid w:val="00C63A8A"/>
    <w:rsid w:val="00C65272"/>
    <w:rsid w:val="00C704FD"/>
    <w:rsid w:val="00C70F2D"/>
    <w:rsid w:val="00C762A5"/>
    <w:rsid w:val="00C77B5C"/>
    <w:rsid w:val="00C850EC"/>
    <w:rsid w:val="00C85220"/>
    <w:rsid w:val="00C87BD6"/>
    <w:rsid w:val="00C9020A"/>
    <w:rsid w:val="00C96DFD"/>
    <w:rsid w:val="00CA2616"/>
    <w:rsid w:val="00CA2A08"/>
    <w:rsid w:val="00CA348A"/>
    <w:rsid w:val="00CA3E4A"/>
    <w:rsid w:val="00CA48DF"/>
    <w:rsid w:val="00CA5144"/>
    <w:rsid w:val="00CA5630"/>
    <w:rsid w:val="00CA7A17"/>
    <w:rsid w:val="00CB501B"/>
    <w:rsid w:val="00CB7112"/>
    <w:rsid w:val="00CC0A66"/>
    <w:rsid w:val="00CC1099"/>
    <w:rsid w:val="00CC1253"/>
    <w:rsid w:val="00CC1B6F"/>
    <w:rsid w:val="00CC4CC4"/>
    <w:rsid w:val="00CD362B"/>
    <w:rsid w:val="00CD38BB"/>
    <w:rsid w:val="00CD3EBD"/>
    <w:rsid w:val="00CD6AA4"/>
    <w:rsid w:val="00CD6DF2"/>
    <w:rsid w:val="00CE00A8"/>
    <w:rsid w:val="00CE64D7"/>
    <w:rsid w:val="00CE7823"/>
    <w:rsid w:val="00CF0423"/>
    <w:rsid w:val="00CF2BAC"/>
    <w:rsid w:val="00CF2F94"/>
    <w:rsid w:val="00CF468B"/>
    <w:rsid w:val="00CF49A1"/>
    <w:rsid w:val="00CF6184"/>
    <w:rsid w:val="00CF6719"/>
    <w:rsid w:val="00CF6CDC"/>
    <w:rsid w:val="00D0029C"/>
    <w:rsid w:val="00D01A0B"/>
    <w:rsid w:val="00D03C6B"/>
    <w:rsid w:val="00D03EF8"/>
    <w:rsid w:val="00D05E90"/>
    <w:rsid w:val="00D12BB1"/>
    <w:rsid w:val="00D131F2"/>
    <w:rsid w:val="00D16CBD"/>
    <w:rsid w:val="00D22849"/>
    <w:rsid w:val="00D22C90"/>
    <w:rsid w:val="00D23894"/>
    <w:rsid w:val="00D310A8"/>
    <w:rsid w:val="00D32562"/>
    <w:rsid w:val="00D32C03"/>
    <w:rsid w:val="00D32E28"/>
    <w:rsid w:val="00D35B7A"/>
    <w:rsid w:val="00D35F65"/>
    <w:rsid w:val="00D40F55"/>
    <w:rsid w:val="00D4129D"/>
    <w:rsid w:val="00D42314"/>
    <w:rsid w:val="00D44B18"/>
    <w:rsid w:val="00D45D24"/>
    <w:rsid w:val="00D47544"/>
    <w:rsid w:val="00D52701"/>
    <w:rsid w:val="00D55003"/>
    <w:rsid w:val="00D557E1"/>
    <w:rsid w:val="00D57953"/>
    <w:rsid w:val="00D6289E"/>
    <w:rsid w:val="00D637EC"/>
    <w:rsid w:val="00D65D49"/>
    <w:rsid w:val="00D74C0E"/>
    <w:rsid w:val="00D754FA"/>
    <w:rsid w:val="00D77533"/>
    <w:rsid w:val="00D80CC5"/>
    <w:rsid w:val="00D81A4B"/>
    <w:rsid w:val="00D82BE2"/>
    <w:rsid w:val="00D867B2"/>
    <w:rsid w:val="00D91CD6"/>
    <w:rsid w:val="00D920ED"/>
    <w:rsid w:val="00DA0FBC"/>
    <w:rsid w:val="00DA2748"/>
    <w:rsid w:val="00DA5727"/>
    <w:rsid w:val="00DB1616"/>
    <w:rsid w:val="00DB68EC"/>
    <w:rsid w:val="00DC2990"/>
    <w:rsid w:val="00DC4090"/>
    <w:rsid w:val="00DC674C"/>
    <w:rsid w:val="00DC69F9"/>
    <w:rsid w:val="00DD36E4"/>
    <w:rsid w:val="00DD6BAD"/>
    <w:rsid w:val="00DD712F"/>
    <w:rsid w:val="00DE32B5"/>
    <w:rsid w:val="00DE3DBD"/>
    <w:rsid w:val="00DE5125"/>
    <w:rsid w:val="00DE53B3"/>
    <w:rsid w:val="00DE67B5"/>
    <w:rsid w:val="00DE7EED"/>
    <w:rsid w:val="00DF05D4"/>
    <w:rsid w:val="00DF07D4"/>
    <w:rsid w:val="00DF40FB"/>
    <w:rsid w:val="00DF4AC7"/>
    <w:rsid w:val="00DF79A8"/>
    <w:rsid w:val="00E016A4"/>
    <w:rsid w:val="00E031B4"/>
    <w:rsid w:val="00E163E2"/>
    <w:rsid w:val="00E2027F"/>
    <w:rsid w:val="00E2103E"/>
    <w:rsid w:val="00E21B28"/>
    <w:rsid w:val="00E246A9"/>
    <w:rsid w:val="00E24B42"/>
    <w:rsid w:val="00E263F6"/>
    <w:rsid w:val="00E304EB"/>
    <w:rsid w:val="00E3202C"/>
    <w:rsid w:val="00E32817"/>
    <w:rsid w:val="00E35381"/>
    <w:rsid w:val="00E40973"/>
    <w:rsid w:val="00E42109"/>
    <w:rsid w:val="00E426ED"/>
    <w:rsid w:val="00E42D44"/>
    <w:rsid w:val="00E42DCA"/>
    <w:rsid w:val="00E454C4"/>
    <w:rsid w:val="00E45518"/>
    <w:rsid w:val="00E458BE"/>
    <w:rsid w:val="00E47251"/>
    <w:rsid w:val="00E50475"/>
    <w:rsid w:val="00E50533"/>
    <w:rsid w:val="00E510E2"/>
    <w:rsid w:val="00E51164"/>
    <w:rsid w:val="00E549B3"/>
    <w:rsid w:val="00E54D45"/>
    <w:rsid w:val="00E55252"/>
    <w:rsid w:val="00E56218"/>
    <w:rsid w:val="00E56AE9"/>
    <w:rsid w:val="00E56C64"/>
    <w:rsid w:val="00E57C4C"/>
    <w:rsid w:val="00E64C25"/>
    <w:rsid w:val="00E66941"/>
    <w:rsid w:val="00E806B2"/>
    <w:rsid w:val="00E80B34"/>
    <w:rsid w:val="00E81C78"/>
    <w:rsid w:val="00E83A98"/>
    <w:rsid w:val="00E83BFF"/>
    <w:rsid w:val="00E842DF"/>
    <w:rsid w:val="00E91822"/>
    <w:rsid w:val="00E94408"/>
    <w:rsid w:val="00E94B0D"/>
    <w:rsid w:val="00EA06E2"/>
    <w:rsid w:val="00EA32E2"/>
    <w:rsid w:val="00EA484F"/>
    <w:rsid w:val="00EA7A20"/>
    <w:rsid w:val="00EB04CE"/>
    <w:rsid w:val="00EB41E1"/>
    <w:rsid w:val="00EB5B16"/>
    <w:rsid w:val="00EB7E09"/>
    <w:rsid w:val="00EC0346"/>
    <w:rsid w:val="00EC16D4"/>
    <w:rsid w:val="00EC3CCC"/>
    <w:rsid w:val="00EC5DD3"/>
    <w:rsid w:val="00EC6DCC"/>
    <w:rsid w:val="00ED08D0"/>
    <w:rsid w:val="00ED2B38"/>
    <w:rsid w:val="00ED2E13"/>
    <w:rsid w:val="00ED4A96"/>
    <w:rsid w:val="00ED5069"/>
    <w:rsid w:val="00EE03C4"/>
    <w:rsid w:val="00EE09AF"/>
    <w:rsid w:val="00EE4C46"/>
    <w:rsid w:val="00EE6ACC"/>
    <w:rsid w:val="00EE714E"/>
    <w:rsid w:val="00EE7A61"/>
    <w:rsid w:val="00EF161E"/>
    <w:rsid w:val="00EF36E6"/>
    <w:rsid w:val="00EF6841"/>
    <w:rsid w:val="00F02BAB"/>
    <w:rsid w:val="00F0345A"/>
    <w:rsid w:val="00F07D6C"/>
    <w:rsid w:val="00F10348"/>
    <w:rsid w:val="00F10A6A"/>
    <w:rsid w:val="00F13895"/>
    <w:rsid w:val="00F2120F"/>
    <w:rsid w:val="00F215AB"/>
    <w:rsid w:val="00F2175D"/>
    <w:rsid w:val="00F2213B"/>
    <w:rsid w:val="00F259B0"/>
    <w:rsid w:val="00F34B71"/>
    <w:rsid w:val="00F3798E"/>
    <w:rsid w:val="00F37A47"/>
    <w:rsid w:val="00F424EA"/>
    <w:rsid w:val="00F42F6A"/>
    <w:rsid w:val="00F5087D"/>
    <w:rsid w:val="00F50B95"/>
    <w:rsid w:val="00F51386"/>
    <w:rsid w:val="00F51AC5"/>
    <w:rsid w:val="00F51F6E"/>
    <w:rsid w:val="00F526C5"/>
    <w:rsid w:val="00F53D71"/>
    <w:rsid w:val="00F544F2"/>
    <w:rsid w:val="00F54570"/>
    <w:rsid w:val="00F55781"/>
    <w:rsid w:val="00F56147"/>
    <w:rsid w:val="00F57A65"/>
    <w:rsid w:val="00F6113D"/>
    <w:rsid w:val="00F626E7"/>
    <w:rsid w:val="00F663DC"/>
    <w:rsid w:val="00F66917"/>
    <w:rsid w:val="00F71F20"/>
    <w:rsid w:val="00F73917"/>
    <w:rsid w:val="00F73E14"/>
    <w:rsid w:val="00F73F2A"/>
    <w:rsid w:val="00F7483C"/>
    <w:rsid w:val="00F755CC"/>
    <w:rsid w:val="00F77136"/>
    <w:rsid w:val="00F82EFF"/>
    <w:rsid w:val="00F848DE"/>
    <w:rsid w:val="00F84A9C"/>
    <w:rsid w:val="00F87C9F"/>
    <w:rsid w:val="00F9087A"/>
    <w:rsid w:val="00F9121F"/>
    <w:rsid w:val="00F91FF1"/>
    <w:rsid w:val="00F94D3C"/>
    <w:rsid w:val="00F94EB1"/>
    <w:rsid w:val="00FA2DAD"/>
    <w:rsid w:val="00FA4D2A"/>
    <w:rsid w:val="00FA5FC0"/>
    <w:rsid w:val="00FA6711"/>
    <w:rsid w:val="00FB2854"/>
    <w:rsid w:val="00FB35EA"/>
    <w:rsid w:val="00FB3EBD"/>
    <w:rsid w:val="00FB507A"/>
    <w:rsid w:val="00FC10EB"/>
    <w:rsid w:val="00FC1E1D"/>
    <w:rsid w:val="00FC4CE5"/>
    <w:rsid w:val="00FC5317"/>
    <w:rsid w:val="00FC6A87"/>
    <w:rsid w:val="00FC737B"/>
    <w:rsid w:val="00FC773F"/>
    <w:rsid w:val="00FD0429"/>
    <w:rsid w:val="00FD06FD"/>
    <w:rsid w:val="00FD1A99"/>
    <w:rsid w:val="00FD2D1D"/>
    <w:rsid w:val="00FD5966"/>
    <w:rsid w:val="00FD6A18"/>
    <w:rsid w:val="00FE0685"/>
    <w:rsid w:val="00FE06E6"/>
    <w:rsid w:val="00FE3532"/>
    <w:rsid w:val="00FE3CE9"/>
    <w:rsid w:val="00FF02EA"/>
    <w:rsid w:val="00FF295A"/>
    <w:rsid w:val="00FF461E"/>
    <w:rsid w:val="00FF4C50"/>
    <w:rsid w:val="00FF5689"/>
    <w:rsid w:val="00FF5C33"/>
    <w:rsid w:val="00FF600E"/>
    <w:rsid w:val="00FF72A7"/>
    <w:rsid w:val="01180385"/>
    <w:rsid w:val="018C0D95"/>
    <w:rsid w:val="01BE14C8"/>
    <w:rsid w:val="025C5E26"/>
    <w:rsid w:val="03C34B60"/>
    <w:rsid w:val="0483120D"/>
    <w:rsid w:val="05AF97C4"/>
    <w:rsid w:val="06233D40"/>
    <w:rsid w:val="0630335C"/>
    <w:rsid w:val="0723B107"/>
    <w:rsid w:val="0738178D"/>
    <w:rsid w:val="076E3B69"/>
    <w:rsid w:val="07A10441"/>
    <w:rsid w:val="0843E518"/>
    <w:rsid w:val="08EE00F2"/>
    <w:rsid w:val="099E1D41"/>
    <w:rsid w:val="09F2F7D8"/>
    <w:rsid w:val="0A482ADA"/>
    <w:rsid w:val="0A7BA6D5"/>
    <w:rsid w:val="0B53E15F"/>
    <w:rsid w:val="0B6B20ED"/>
    <w:rsid w:val="0C53C807"/>
    <w:rsid w:val="0C821743"/>
    <w:rsid w:val="0CAC1B92"/>
    <w:rsid w:val="0CC902A6"/>
    <w:rsid w:val="0D875172"/>
    <w:rsid w:val="0F14ADCE"/>
    <w:rsid w:val="0FBB26F5"/>
    <w:rsid w:val="12CE120E"/>
    <w:rsid w:val="139E5268"/>
    <w:rsid w:val="13D4387C"/>
    <w:rsid w:val="1539A417"/>
    <w:rsid w:val="1594B447"/>
    <w:rsid w:val="161A35A0"/>
    <w:rsid w:val="17408145"/>
    <w:rsid w:val="17B19115"/>
    <w:rsid w:val="17D909CE"/>
    <w:rsid w:val="19D903BA"/>
    <w:rsid w:val="19F4CD11"/>
    <w:rsid w:val="1AE022B6"/>
    <w:rsid w:val="1B5EAE2F"/>
    <w:rsid w:val="1B77CD90"/>
    <w:rsid w:val="1B8DC5F3"/>
    <w:rsid w:val="1BECF519"/>
    <w:rsid w:val="1C20F379"/>
    <w:rsid w:val="1CB213CD"/>
    <w:rsid w:val="1E8C4650"/>
    <w:rsid w:val="1EA9ABDF"/>
    <w:rsid w:val="1F1722D6"/>
    <w:rsid w:val="1F23657F"/>
    <w:rsid w:val="21722C10"/>
    <w:rsid w:val="227FBCA6"/>
    <w:rsid w:val="268361C0"/>
    <w:rsid w:val="29C25822"/>
    <w:rsid w:val="2A065CEC"/>
    <w:rsid w:val="2C0FB707"/>
    <w:rsid w:val="2EA5F75A"/>
    <w:rsid w:val="2F7416A1"/>
    <w:rsid w:val="2FB417CC"/>
    <w:rsid w:val="2FF67AA8"/>
    <w:rsid w:val="30358990"/>
    <w:rsid w:val="317EBDC8"/>
    <w:rsid w:val="33DF1669"/>
    <w:rsid w:val="3628E854"/>
    <w:rsid w:val="36681AFA"/>
    <w:rsid w:val="371E063D"/>
    <w:rsid w:val="3B0FB17D"/>
    <w:rsid w:val="3B28E70A"/>
    <w:rsid w:val="3C007496"/>
    <w:rsid w:val="3C952A45"/>
    <w:rsid w:val="3DA2F1DF"/>
    <w:rsid w:val="3E20DF42"/>
    <w:rsid w:val="3E30B5BB"/>
    <w:rsid w:val="3E65F386"/>
    <w:rsid w:val="40BFD37E"/>
    <w:rsid w:val="447E52C3"/>
    <w:rsid w:val="44C7D3DD"/>
    <w:rsid w:val="45058313"/>
    <w:rsid w:val="4681B374"/>
    <w:rsid w:val="46C7C4B3"/>
    <w:rsid w:val="4949D5B9"/>
    <w:rsid w:val="49613960"/>
    <w:rsid w:val="49B3F273"/>
    <w:rsid w:val="4AFB6C3F"/>
    <w:rsid w:val="4ED98906"/>
    <w:rsid w:val="4F67225F"/>
    <w:rsid w:val="521DC06F"/>
    <w:rsid w:val="52D01EFB"/>
    <w:rsid w:val="5379B72A"/>
    <w:rsid w:val="539A2952"/>
    <w:rsid w:val="5549D07A"/>
    <w:rsid w:val="555B4687"/>
    <w:rsid w:val="55891F67"/>
    <w:rsid w:val="55C86177"/>
    <w:rsid w:val="560A7670"/>
    <w:rsid w:val="56A73D30"/>
    <w:rsid w:val="584DBFE9"/>
    <w:rsid w:val="5917A944"/>
    <w:rsid w:val="59C6E5DF"/>
    <w:rsid w:val="5A123820"/>
    <w:rsid w:val="5AD7ED5B"/>
    <w:rsid w:val="5B002B65"/>
    <w:rsid w:val="5B575A8F"/>
    <w:rsid w:val="5B91F881"/>
    <w:rsid w:val="5BAA77BD"/>
    <w:rsid w:val="5D3059B0"/>
    <w:rsid w:val="5DD94AC3"/>
    <w:rsid w:val="5E041609"/>
    <w:rsid w:val="5F48FC8B"/>
    <w:rsid w:val="5F4BC1B0"/>
    <w:rsid w:val="5F85A00A"/>
    <w:rsid w:val="5FFDB27A"/>
    <w:rsid w:val="6109C750"/>
    <w:rsid w:val="61136677"/>
    <w:rsid w:val="61230D11"/>
    <w:rsid w:val="612DE07E"/>
    <w:rsid w:val="61B43A28"/>
    <w:rsid w:val="6257F373"/>
    <w:rsid w:val="646F2B9C"/>
    <w:rsid w:val="64E36A49"/>
    <w:rsid w:val="659516F9"/>
    <w:rsid w:val="65AADDCE"/>
    <w:rsid w:val="65F31E42"/>
    <w:rsid w:val="65FBFB43"/>
    <w:rsid w:val="65FC3265"/>
    <w:rsid w:val="675EEE09"/>
    <w:rsid w:val="67E573D5"/>
    <w:rsid w:val="69554D14"/>
    <w:rsid w:val="6961233B"/>
    <w:rsid w:val="69C5DD2E"/>
    <w:rsid w:val="69CEDB42"/>
    <w:rsid w:val="6B9AD3FB"/>
    <w:rsid w:val="6C264CB3"/>
    <w:rsid w:val="6D272E20"/>
    <w:rsid w:val="6D937DB3"/>
    <w:rsid w:val="721C830B"/>
    <w:rsid w:val="721F7840"/>
    <w:rsid w:val="7311DE32"/>
    <w:rsid w:val="7452D7FB"/>
    <w:rsid w:val="754EFC58"/>
    <w:rsid w:val="75C4B381"/>
    <w:rsid w:val="76D9695B"/>
    <w:rsid w:val="78D26E15"/>
    <w:rsid w:val="78FFD317"/>
    <w:rsid w:val="7924B62A"/>
    <w:rsid w:val="7AEAFEB0"/>
    <w:rsid w:val="7C50A664"/>
    <w:rsid w:val="7C5D4D49"/>
    <w:rsid w:val="7DAE0FA4"/>
    <w:rsid w:val="7DE66B96"/>
    <w:rsid w:val="7E7DA49E"/>
    <w:rsid w:val="7EC9478A"/>
    <w:rsid w:val="7FF5B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1550"/>
  <w15:chartTrackingRefBased/>
  <w15:docId w15:val="{932D1795-E691-473D-AF8B-2C925D18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9F"/>
    <w:pPr>
      <w:keepNext/>
      <w:numPr>
        <w:numId w:val="36"/>
      </w:numPr>
      <w:spacing w:before="360" w:after="360" w:line="360" w:lineRule="auto"/>
      <w:jc w:val="both"/>
      <w:outlineLvl w:val="0"/>
    </w:pPr>
    <w:rPr>
      <w:rFonts w:ascii="Times New Roman" w:eastAsia="Times New Roman" w:hAnsi="Times New Roman" w:cs="Arial"/>
      <w:b/>
      <w:bCs/>
      <w:kern w:val="32"/>
      <w:sz w:val="28"/>
      <w:szCs w:val="32"/>
      <w:lang w:val="en-US" w:eastAsia="de-DE"/>
    </w:rPr>
  </w:style>
  <w:style w:type="paragraph" w:styleId="Heading2">
    <w:name w:val="heading 2"/>
    <w:basedOn w:val="Normal"/>
    <w:next w:val="Normal"/>
    <w:link w:val="Heading2Char"/>
    <w:uiPriority w:val="9"/>
    <w:unhideWhenUsed/>
    <w:qFormat/>
    <w:rsid w:val="004F0109"/>
    <w:pPr>
      <w:keepNext/>
      <w:keepLines/>
      <w:numPr>
        <w:ilvl w:val="1"/>
        <w:numId w:val="36"/>
      </w:numPr>
      <w:spacing w:before="40" w:after="0"/>
      <w:outlineLvl w:val="1"/>
    </w:pPr>
    <w:rPr>
      <w:rFonts w:asciiTheme="majorHAnsi" w:eastAsiaTheme="majorEastAsia" w:hAnsiTheme="majorHAnsi" w:cstheme="majorBidi"/>
      <w:b/>
      <w:szCs w:val="26"/>
    </w:rPr>
  </w:style>
  <w:style w:type="paragraph" w:styleId="Heading3">
    <w:name w:val="heading 3"/>
    <w:basedOn w:val="Normal"/>
    <w:next w:val="Normal"/>
    <w:link w:val="Heading3Char"/>
    <w:unhideWhenUsed/>
    <w:qFormat/>
    <w:rsid w:val="00D754FA"/>
    <w:pPr>
      <w:keepNext/>
      <w:keepLines/>
      <w:numPr>
        <w:ilvl w:val="2"/>
        <w:numId w:val="36"/>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C509D2"/>
    <w:pPr>
      <w:keepNext/>
      <w:keepLines/>
      <w:numPr>
        <w:ilvl w:val="3"/>
        <w:numId w:val="36"/>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877"/>
    <w:pPr>
      <w:keepNext/>
      <w:keepLines/>
      <w:numPr>
        <w:ilvl w:val="4"/>
        <w:numId w:val="36"/>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66877"/>
    <w:pPr>
      <w:keepNext/>
      <w:keepLines/>
      <w:numPr>
        <w:ilvl w:val="5"/>
        <w:numId w:val="36"/>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66877"/>
    <w:pPr>
      <w:keepNext/>
      <w:keepLines/>
      <w:numPr>
        <w:ilvl w:val="6"/>
        <w:numId w:val="36"/>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66877"/>
    <w:pPr>
      <w:keepNext/>
      <w:keepLines/>
      <w:numPr>
        <w:ilvl w:val="7"/>
        <w:numId w:val="3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6877"/>
    <w:pPr>
      <w:keepNext/>
      <w:keepLines/>
      <w:numPr>
        <w:ilvl w:val="8"/>
        <w:numId w:val="3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6AE9"/>
    <w:rPr>
      <w:color w:val="467886" w:themeColor="hyperlink"/>
      <w:u w:val="single"/>
    </w:rPr>
  </w:style>
  <w:style w:type="character" w:styleId="UnresolvedMention">
    <w:name w:val="Unresolved Mention"/>
    <w:basedOn w:val="DefaultParagraphFont"/>
    <w:uiPriority w:val="99"/>
    <w:semiHidden/>
    <w:unhideWhenUsed/>
    <w:rsid w:val="00E56AE9"/>
    <w:rPr>
      <w:color w:val="605E5C"/>
      <w:shd w:val="clear" w:color="auto" w:fill="E1DFDD"/>
    </w:rPr>
  </w:style>
  <w:style w:type="paragraph" w:styleId="ListParagraph">
    <w:name w:val="List Paragraph"/>
    <w:basedOn w:val="Normal"/>
    <w:uiPriority w:val="34"/>
    <w:qFormat/>
    <w:rsid w:val="00781992"/>
    <w:pPr>
      <w:spacing w:after="0" w:line="240" w:lineRule="auto"/>
      <w:ind w:left="720"/>
      <w:contextualSpacing/>
    </w:pPr>
    <w:rPr>
      <w:rFonts w:ascii="Times New Roman" w:eastAsia="Times New Roman" w:hAnsi="Times New Roman" w:cs="Times New Roman"/>
      <w:lang w:val="en-US" w:eastAsia="en-GB"/>
    </w:rPr>
  </w:style>
  <w:style w:type="paragraph" w:styleId="TableofFigures">
    <w:name w:val="table of figures"/>
    <w:basedOn w:val="Normal"/>
    <w:next w:val="Normal"/>
    <w:uiPriority w:val="99"/>
    <w:rsid w:val="00C45BB6"/>
    <w:pPr>
      <w:spacing w:before="120" w:after="120" w:line="360" w:lineRule="auto"/>
      <w:ind w:left="482" w:hanging="482"/>
      <w:jc w:val="both"/>
    </w:pPr>
    <w:rPr>
      <w:rFonts w:ascii="Times New Roman" w:eastAsia="Times New Roman" w:hAnsi="Times New Roman" w:cs="Times New Roman"/>
      <w:spacing w:val="-2"/>
      <w:lang w:val="en-US" w:eastAsia="de-DE"/>
    </w:rPr>
  </w:style>
  <w:style w:type="character" w:customStyle="1" w:styleId="Heading1Char">
    <w:name w:val="Heading 1 Char"/>
    <w:basedOn w:val="DefaultParagraphFont"/>
    <w:link w:val="Heading1"/>
    <w:uiPriority w:val="9"/>
    <w:rsid w:val="00031D9F"/>
    <w:rPr>
      <w:rFonts w:ascii="Times New Roman" w:eastAsia="Times New Roman" w:hAnsi="Times New Roman" w:cs="Arial"/>
      <w:b/>
      <w:bCs/>
      <w:kern w:val="32"/>
      <w:sz w:val="28"/>
      <w:szCs w:val="32"/>
      <w:lang w:val="en-US" w:eastAsia="de-DE"/>
    </w:rPr>
  </w:style>
  <w:style w:type="paragraph" w:styleId="TOC1">
    <w:name w:val="toc 1"/>
    <w:basedOn w:val="Normal"/>
    <w:next w:val="Normal"/>
    <w:autoRedefine/>
    <w:uiPriority w:val="39"/>
    <w:rsid w:val="00A86727"/>
    <w:pPr>
      <w:tabs>
        <w:tab w:val="left" w:pos="0"/>
        <w:tab w:val="left" w:pos="284"/>
        <w:tab w:val="right" w:leader="dot" w:pos="8504"/>
      </w:tabs>
      <w:spacing w:before="280" w:after="120" w:line="360" w:lineRule="auto"/>
      <w:jc w:val="both"/>
    </w:pPr>
    <w:rPr>
      <w:rFonts w:ascii="Times New Roman" w:eastAsia="Times New Roman" w:hAnsi="Times New Roman" w:cs="Times New Roman"/>
      <w:b/>
      <w:lang w:val="en-US" w:eastAsia="de-DE"/>
    </w:rPr>
  </w:style>
  <w:style w:type="paragraph" w:styleId="TOC2">
    <w:name w:val="toc 2"/>
    <w:basedOn w:val="Normal"/>
    <w:next w:val="Normal"/>
    <w:autoRedefine/>
    <w:uiPriority w:val="39"/>
    <w:rsid w:val="00A86727"/>
    <w:pPr>
      <w:tabs>
        <w:tab w:val="left" w:pos="709"/>
        <w:tab w:val="left" w:pos="1134"/>
        <w:tab w:val="right" w:leader="dot" w:pos="8504"/>
      </w:tabs>
      <w:spacing w:before="40" w:after="120" w:line="360" w:lineRule="auto"/>
      <w:ind w:left="482" w:hanging="198"/>
      <w:jc w:val="both"/>
    </w:pPr>
    <w:rPr>
      <w:rFonts w:ascii="Times New Roman" w:eastAsia="Times New Roman" w:hAnsi="Times New Roman" w:cs="Times New Roman"/>
      <w:lang w:val="en-US" w:eastAsia="de-DE"/>
    </w:rPr>
  </w:style>
  <w:style w:type="paragraph" w:styleId="TOC3">
    <w:name w:val="toc 3"/>
    <w:basedOn w:val="Normal"/>
    <w:next w:val="Normal"/>
    <w:autoRedefine/>
    <w:uiPriority w:val="39"/>
    <w:rsid w:val="00A86727"/>
    <w:pPr>
      <w:tabs>
        <w:tab w:val="left" w:pos="1701"/>
        <w:tab w:val="left" w:pos="2225"/>
        <w:tab w:val="right" w:leader="dot" w:pos="8504"/>
      </w:tabs>
      <w:spacing w:after="120" w:line="360" w:lineRule="auto"/>
      <w:ind w:left="1276" w:hanging="567"/>
      <w:jc w:val="both"/>
    </w:pPr>
    <w:rPr>
      <w:rFonts w:ascii="Times New Roman" w:eastAsia="Times New Roman" w:hAnsi="Times New Roman" w:cs="Times New Roman"/>
      <w:lang w:val="en-US" w:eastAsia="de-DE"/>
    </w:rPr>
  </w:style>
  <w:style w:type="paragraph" w:customStyle="1" w:styleId="Unsichtbareberschrift">
    <w:name w:val="Unsichtbare Überschrift"/>
    <w:basedOn w:val="Normal"/>
    <w:qFormat/>
    <w:rsid w:val="00A86727"/>
    <w:pPr>
      <w:spacing w:before="120" w:after="120" w:line="360" w:lineRule="auto"/>
      <w:jc w:val="both"/>
    </w:pPr>
    <w:rPr>
      <w:rFonts w:ascii="Times New Roman" w:eastAsia="Times New Roman" w:hAnsi="Times New Roman" w:cs="Arial"/>
      <w:b/>
      <w:bCs/>
      <w:kern w:val="32"/>
      <w:sz w:val="32"/>
      <w:szCs w:val="32"/>
      <w:lang w:val="en-US" w:eastAsia="de-DE"/>
    </w:rPr>
  </w:style>
  <w:style w:type="character" w:styleId="CommentReference">
    <w:name w:val="annotation reference"/>
    <w:basedOn w:val="DefaultParagraphFont"/>
    <w:uiPriority w:val="99"/>
    <w:semiHidden/>
    <w:unhideWhenUsed/>
    <w:rsid w:val="00BF2E61"/>
    <w:rPr>
      <w:sz w:val="16"/>
      <w:szCs w:val="16"/>
    </w:rPr>
  </w:style>
  <w:style w:type="paragraph" w:styleId="CommentText">
    <w:name w:val="annotation text"/>
    <w:basedOn w:val="Normal"/>
    <w:link w:val="CommentTextChar"/>
    <w:uiPriority w:val="99"/>
    <w:unhideWhenUsed/>
    <w:rsid w:val="00BF2E61"/>
    <w:pPr>
      <w:spacing w:line="240" w:lineRule="auto"/>
    </w:pPr>
    <w:rPr>
      <w:sz w:val="20"/>
      <w:szCs w:val="20"/>
    </w:rPr>
  </w:style>
  <w:style w:type="character" w:customStyle="1" w:styleId="CommentTextChar">
    <w:name w:val="Comment Text Char"/>
    <w:basedOn w:val="DefaultParagraphFont"/>
    <w:link w:val="CommentText"/>
    <w:uiPriority w:val="99"/>
    <w:rsid w:val="00BF2E61"/>
    <w:rPr>
      <w:sz w:val="20"/>
      <w:szCs w:val="20"/>
    </w:rPr>
  </w:style>
  <w:style w:type="paragraph" w:styleId="CommentSubject">
    <w:name w:val="annotation subject"/>
    <w:basedOn w:val="CommentText"/>
    <w:next w:val="CommentText"/>
    <w:link w:val="CommentSubjectChar"/>
    <w:uiPriority w:val="99"/>
    <w:semiHidden/>
    <w:unhideWhenUsed/>
    <w:rsid w:val="00BF2E61"/>
    <w:rPr>
      <w:b/>
      <w:bCs/>
    </w:rPr>
  </w:style>
  <w:style w:type="character" w:customStyle="1" w:styleId="CommentSubjectChar">
    <w:name w:val="Comment Subject Char"/>
    <w:basedOn w:val="CommentTextChar"/>
    <w:link w:val="CommentSubject"/>
    <w:uiPriority w:val="99"/>
    <w:semiHidden/>
    <w:rsid w:val="00BF2E61"/>
    <w:rPr>
      <w:b/>
      <w:bCs/>
      <w:sz w:val="20"/>
      <w:szCs w:val="20"/>
    </w:rPr>
  </w:style>
  <w:style w:type="character" w:customStyle="1" w:styleId="Heading2Char">
    <w:name w:val="Heading 2 Char"/>
    <w:basedOn w:val="DefaultParagraphFont"/>
    <w:link w:val="Heading2"/>
    <w:uiPriority w:val="9"/>
    <w:rsid w:val="004F0109"/>
    <w:rPr>
      <w:rFonts w:asciiTheme="majorHAnsi" w:eastAsiaTheme="majorEastAsia" w:hAnsiTheme="majorHAnsi" w:cstheme="majorBidi"/>
      <w:b/>
      <w:szCs w:val="26"/>
    </w:rPr>
  </w:style>
  <w:style w:type="character" w:customStyle="1" w:styleId="Heading3Char">
    <w:name w:val="Heading 3 Char"/>
    <w:basedOn w:val="DefaultParagraphFont"/>
    <w:link w:val="Heading3"/>
    <w:rsid w:val="00D754FA"/>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7E3E94"/>
    <w:rPr>
      <w:rFonts w:ascii="Times New Roman" w:hAnsi="Times New Roman" w:cs="Times New Roman"/>
    </w:rPr>
  </w:style>
  <w:style w:type="paragraph" w:styleId="Header">
    <w:name w:val="header"/>
    <w:basedOn w:val="Normal"/>
    <w:link w:val="HeaderChar"/>
    <w:uiPriority w:val="99"/>
    <w:unhideWhenUsed/>
    <w:rsid w:val="007A493A"/>
    <w:pPr>
      <w:tabs>
        <w:tab w:val="center" w:pos="4252"/>
        <w:tab w:val="right" w:pos="8504"/>
      </w:tabs>
      <w:spacing w:after="0" w:line="240" w:lineRule="auto"/>
    </w:pPr>
  </w:style>
  <w:style w:type="character" w:customStyle="1" w:styleId="HeaderChar">
    <w:name w:val="Header Char"/>
    <w:basedOn w:val="DefaultParagraphFont"/>
    <w:link w:val="Header"/>
    <w:uiPriority w:val="99"/>
    <w:rsid w:val="00E54D45"/>
  </w:style>
  <w:style w:type="paragraph" w:styleId="Footer">
    <w:name w:val="footer"/>
    <w:basedOn w:val="Normal"/>
    <w:link w:val="FooterChar"/>
    <w:uiPriority w:val="99"/>
    <w:unhideWhenUsed/>
    <w:rsid w:val="007A493A"/>
    <w:pPr>
      <w:tabs>
        <w:tab w:val="center" w:pos="4252"/>
        <w:tab w:val="right" w:pos="8504"/>
      </w:tabs>
      <w:spacing w:after="0" w:line="240" w:lineRule="auto"/>
    </w:pPr>
  </w:style>
  <w:style w:type="character" w:customStyle="1" w:styleId="FooterChar">
    <w:name w:val="Footer Char"/>
    <w:basedOn w:val="DefaultParagraphFont"/>
    <w:link w:val="Footer"/>
    <w:uiPriority w:val="99"/>
    <w:rsid w:val="00E54D45"/>
  </w:style>
  <w:style w:type="character" w:styleId="PageNumber">
    <w:name w:val="page number"/>
    <w:basedOn w:val="DefaultParagraphFont"/>
    <w:uiPriority w:val="99"/>
    <w:semiHidden/>
    <w:unhideWhenUsed/>
    <w:rsid w:val="00E54D45"/>
  </w:style>
  <w:style w:type="character" w:customStyle="1" w:styleId="Heading4Char">
    <w:name w:val="Heading 4 Char"/>
    <w:basedOn w:val="DefaultParagraphFont"/>
    <w:link w:val="Heading4"/>
    <w:uiPriority w:val="9"/>
    <w:rsid w:val="00C509D2"/>
    <w:rPr>
      <w:rFonts w:asciiTheme="majorHAnsi" w:eastAsiaTheme="majorEastAsia" w:hAnsiTheme="majorHAnsi" w:cstheme="majorBidi"/>
      <w:i/>
      <w:iCs/>
      <w:color w:val="0F4761" w:themeColor="accent1" w:themeShade="BF"/>
    </w:rPr>
  </w:style>
  <w:style w:type="numbering" w:customStyle="1" w:styleId="Style1">
    <w:name w:val="Style1"/>
    <w:uiPriority w:val="99"/>
    <w:rsid w:val="00114977"/>
    <w:pPr>
      <w:numPr>
        <w:numId w:val="29"/>
      </w:numPr>
    </w:pPr>
  </w:style>
  <w:style w:type="numbering" w:customStyle="1" w:styleId="CurrentList1">
    <w:name w:val="Current List1"/>
    <w:uiPriority w:val="99"/>
    <w:rsid w:val="00370C37"/>
    <w:pPr>
      <w:numPr>
        <w:numId w:val="31"/>
      </w:numPr>
    </w:pPr>
  </w:style>
  <w:style w:type="character" w:customStyle="1" w:styleId="Heading5Char">
    <w:name w:val="Heading 5 Char"/>
    <w:basedOn w:val="DefaultParagraphFont"/>
    <w:link w:val="Heading5"/>
    <w:uiPriority w:val="9"/>
    <w:semiHidden/>
    <w:rsid w:val="00266877"/>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266877"/>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26687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668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6877"/>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65D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2.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12BB566EBD991428E7980F1E6942682" ma:contentTypeVersion="7" ma:contentTypeDescription="Criar um novo documento." ma:contentTypeScope="" ma:versionID="a85ca32d53d33f5fe36eee1030d43a8e">
  <xsd:schema xmlns:xsd="http://www.w3.org/2001/XMLSchema" xmlns:xs="http://www.w3.org/2001/XMLSchema" xmlns:p="http://schemas.microsoft.com/office/2006/metadata/properties" xmlns:ns2="7819a277-b60c-48a2-99f2-59ceb487b933" targetNamespace="http://schemas.microsoft.com/office/2006/metadata/properties" ma:root="true" ma:fieldsID="770bd22518bc1e4142f56832e7911f5e" ns2:_="">
    <xsd:import namespace="7819a277-b60c-48a2-99f2-59ceb487b9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9a277-b60c-48a2-99f2-59ceb487b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A3CFA8-E1F4-4FD5-A7F7-B5D69E6F0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9a277-b60c-48a2-99f2-59ceb487b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758B3-8F53-4F3A-8A79-E12D03A499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10E2DB-91E6-415A-ADF8-1ED226D6E817}">
  <ds:schemaRefs>
    <ds:schemaRef ds:uri="http://schemas.openxmlformats.org/officeDocument/2006/bibliography"/>
  </ds:schemaRefs>
</ds:datastoreItem>
</file>

<file path=customXml/itemProps4.xml><?xml version="1.0" encoding="utf-8"?>
<ds:datastoreItem xmlns:ds="http://schemas.openxmlformats.org/officeDocument/2006/customXml" ds:itemID="{5219A6DC-5E03-429C-BBC1-4D73D06059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5506</Words>
  <Characters>31388</Characters>
  <Application>Microsoft Office Word</Application>
  <DocSecurity>4</DocSecurity>
  <Lines>261</Lines>
  <Paragraphs>73</Paragraphs>
  <ScaleCrop>false</ScaleCrop>
  <Company/>
  <LinksUpToDate>false</LinksUpToDate>
  <CharactersWithSpaces>36821</CharactersWithSpaces>
  <SharedDoc>false</SharedDoc>
  <HLinks>
    <vt:vector size="114" baseType="variant">
      <vt:variant>
        <vt:i4>1900594</vt:i4>
      </vt:variant>
      <vt:variant>
        <vt:i4>116</vt:i4>
      </vt:variant>
      <vt:variant>
        <vt:i4>0</vt:i4>
      </vt:variant>
      <vt:variant>
        <vt:i4>5</vt:i4>
      </vt:variant>
      <vt:variant>
        <vt:lpwstr/>
      </vt:variant>
      <vt:variant>
        <vt:lpwstr>_Toc223269534</vt:lpwstr>
      </vt:variant>
      <vt:variant>
        <vt:i4>1900594</vt:i4>
      </vt:variant>
      <vt:variant>
        <vt:i4>110</vt:i4>
      </vt:variant>
      <vt:variant>
        <vt:i4>0</vt:i4>
      </vt:variant>
      <vt:variant>
        <vt:i4>5</vt:i4>
      </vt:variant>
      <vt:variant>
        <vt:lpwstr/>
      </vt:variant>
      <vt:variant>
        <vt:lpwstr>_Toc223269533</vt:lpwstr>
      </vt:variant>
      <vt:variant>
        <vt:i4>1900594</vt:i4>
      </vt:variant>
      <vt:variant>
        <vt:i4>104</vt:i4>
      </vt:variant>
      <vt:variant>
        <vt:i4>0</vt:i4>
      </vt:variant>
      <vt:variant>
        <vt:i4>5</vt:i4>
      </vt:variant>
      <vt:variant>
        <vt:lpwstr/>
      </vt:variant>
      <vt:variant>
        <vt:lpwstr>_Toc223269532</vt:lpwstr>
      </vt:variant>
      <vt:variant>
        <vt:i4>1900594</vt:i4>
      </vt:variant>
      <vt:variant>
        <vt:i4>98</vt:i4>
      </vt:variant>
      <vt:variant>
        <vt:i4>0</vt:i4>
      </vt:variant>
      <vt:variant>
        <vt:i4>5</vt:i4>
      </vt:variant>
      <vt:variant>
        <vt:lpwstr/>
      </vt:variant>
      <vt:variant>
        <vt:lpwstr>_Toc223269531</vt:lpwstr>
      </vt:variant>
      <vt:variant>
        <vt:i4>1900594</vt:i4>
      </vt:variant>
      <vt:variant>
        <vt:i4>92</vt:i4>
      </vt:variant>
      <vt:variant>
        <vt:i4>0</vt:i4>
      </vt:variant>
      <vt:variant>
        <vt:i4>5</vt:i4>
      </vt:variant>
      <vt:variant>
        <vt:lpwstr/>
      </vt:variant>
      <vt:variant>
        <vt:lpwstr>_Toc223269530</vt:lpwstr>
      </vt:variant>
      <vt:variant>
        <vt:i4>1835058</vt:i4>
      </vt:variant>
      <vt:variant>
        <vt:i4>86</vt:i4>
      </vt:variant>
      <vt:variant>
        <vt:i4>0</vt:i4>
      </vt:variant>
      <vt:variant>
        <vt:i4>5</vt:i4>
      </vt:variant>
      <vt:variant>
        <vt:lpwstr/>
      </vt:variant>
      <vt:variant>
        <vt:lpwstr>_Toc223269529</vt:lpwstr>
      </vt:variant>
      <vt:variant>
        <vt:i4>1835058</vt:i4>
      </vt:variant>
      <vt:variant>
        <vt:i4>80</vt:i4>
      </vt:variant>
      <vt:variant>
        <vt:i4>0</vt:i4>
      </vt:variant>
      <vt:variant>
        <vt:i4>5</vt:i4>
      </vt:variant>
      <vt:variant>
        <vt:lpwstr/>
      </vt:variant>
      <vt:variant>
        <vt:lpwstr>_Toc223269528</vt:lpwstr>
      </vt:variant>
      <vt:variant>
        <vt:i4>1835058</vt:i4>
      </vt:variant>
      <vt:variant>
        <vt:i4>74</vt:i4>
      </vt:variant>
      <vt:variant>
        <vt:i4>0</vt:i4>
      </vt:variant>
      <vt:variant>
        <vt:i4>5</vt:i4>
      </vt:variant>
      <vt:variant>
        <vt:lpwstr/>
      </vt:variant>
      <vt:variant>
        <vt:lpwstr>_Toc223269527</vt:lpwstr>
      </vt:variant>
      <vt:variant>
        <vt:i4>1835058</vt:i4>
      </vt:variant>
      <vt:variant>
        <vt:i4>68</vt:i4>
      </vt:variant>
      <vt:variant>
        <vt:i4>0</vt:i4>
      </vt:variant>
      <vt:variant>
        <vt:i4>5</vt:i4>
      </vt:variant>
      <vt:variant>
        <vt:lpwstr/>
      </vt:variant>
      <vt:variant>
        <vt:lpwstr>_Toc223269526</vt:lpwstr>
      </vt:variant>
      <vt:variant>
        <vt:i4>1835058</vt:i4>
      </vt:variant>
      <vt:variant>
        <vt:i4>62</vt:i4>
      </vt:variant>
      <vt:variant>
        <vt:i4>0</vt:i4>
      </vt:variant>
      <vt:variant>
        <vt:i4>5</vt:i4>
      </vt:variant>
      <vt:variant>
        <vt:lpwstr/>
      </vt:variant>
      <vt:variant>
        <vt:lpwstr>_Toc223269525</vt:lpwstr>
      </vt:variant>
      <vt:variant>
        <vt:i4>1835058</vt:i4>
      </vt:variant>
      <vt:variant>
        <vt:i4>56</vt:i4>
      </vt:variant>
      <vt:variant>
        <vt:i4>0</vt:i4>
      </vt:variant>
      <vt:variant>
        <vt:i4>5</vt:i4>
      </vt:variant>
      <vt:variant>
        <vt:lpwstr/>
      </vt:variant>
      <vt:variant>
        <vt:lpwstr>_Toc223269524</vt:lpwstr>
      </vt:variant>
      <vt:variant>
        <vt:i4>1835058</vt:i4>
      </vt:variant>
      <vt:variant>
        <vt:i4>50</vt:i4>
      </vt:variant>
      <vt:variant>
        <vt:i4>0</vt:i4>
      </vt:variant>
      <vt:variant>
        <vt:i4>5</vt:i4>
      </vt:variant>
      <vt:variant>
        <vt:lpwstr/>
      </vt:variant>
      <vt:variant>
        <vt:lpwstr>_Toc223269523</vt:lpwstr>
      </vt:variant>
      <vt:variant>
        <vt:i4>1835058</vt:i4>
      </vt:variant>
      <vt:variant>
        <vt:i4>44</vt:i4>
      </vt:variant>
      <vt:variant>
        <vt:i4>0</vt:i4>
      </vt:variant>
      <vt:variant>
        <vt:i4>5</vt:i4>
      </vt:variant>
      <vt:variant>
        <vt:lpwstr/>
      </vt:variant>
      <vt:variant>
        <vt:lpwstr>_Toc223269522</vt:lpwstr>
      </vt:variant>
      <vt:variant>
        <vt:i4>1835058</vt:i4>
      </vt:variant>
      <vt:variant>
        <vt:i4>38</vt:i4>
      </vt:variant>
      <vt:variant>
        <vt:i4>0</vt:i4>
      </vt:variant>
      <vt:variant>
        <vt:i4>5</vt:i4>
      </vt:variant>
      <vt:variant>
        <vt:lpwstr/>
      </vt:variant>
      <vt:variant>
        <vt:lpwstr>_Toc223269521</vt:lpwstr>
      </vt:variant>
      <vt:variant>
        <vt:i4>1835058</vt:i4>
      </vt:variant>
      <vt:variant>
        <vt:i4>32</vt:i4>
      </vt:variant>
      <vt:variant>
        <vt:i4>0</vt:i4>
      </vt:variant>
      <vt:variant>
        <vt:i4>5</vt:i4>
      </vt:variant>
      <vt:variant>
        <vt:lpwstr/>
      </vt:variant>
      <vt:variant>
        <vt:lpwstr>_Toc223269520</vt:lpwstr>
      </vt:variant>
      <vt:variant>
        <vt:i4>2031666</vt:i4>
      </vt:variant>
      <vt:variant>
        <vt:i4>26</vt:i4>
      </vt:variant>
      <vt:variant>
        <vt:i4>0</vt:i4>
      </vt:variant>
      <vt:variant>
        <vt:i4>5</vt:i4>
      </vt:variant>
      <vt:variant>
        <vt:lpwstr/>
      </vt:variant>
      <vt:variant>
        <vt:lpwstr>_Toc223269519</vt:lpwstr>
      </vt:variant>
      <vt:variant>
        <vt:i4>2031666</vt:i4>
      </vt:variant>
      <vt:variant>
        <vt:i4>20</vt:i4>
      </vt:variant>
      <vt:variant>
        <vt:i4>0</vt:i4>
      </vt:variant>
      <vt:variant>
        <vt:i4>5</vt:i4>
      </vt:variant>
      <vt:variant>
        <vt:lpwstr/>
      </vt:variant>
      <vt:variant>
        <vt:lpwstr>_Toc223269518</vt:lpwstr>
      </vt:variant>
      <vt:variant>
        <vt:i4>2031666</vt:i4>
      </vt:variant>
      <vt:variant>
        <vt:i4>14</vt:i4>
      </vt:variant>
      <vt:variant>
        <vt:i4>0</vt:i4>
      </vt:variant>
      <vt:variant>
        <vt:i4>5</vt:i4>
      </vt:variant>
      <vt:variant>
        <vt:lpwstr/>
      </vt:variant>
      <vt:variant>
        <vt:lpwstr>_Toc223269517</vt:lpwstr>
      </vt:variant>
      <vt:variant>
        <vt:i4>2031666</vt:i4>
      </vt:variant>
      <vt:variant>
        <vt:i4>8</vt:i4>
      </vt:variant>
      <vt:variant>
        <vt:i4>0</vt:i4>
      </vt:variant>
      <vt:variant>
        <vt:i4>5</vt:i4>
      </vt:variant>
      <vt:variant>
        <vt:lpwstr/>
      </vt:variant>
      <vt:variant>
        <vt:lpwstr>_Toc223269516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Endreß</dc:creator>
  <cp:keywords/>
  <dc:description/>
  <cp:lastModifiedBy>Julian Endreß</cp:lastModifiedBy>
  <cp:revision>356</cp:revision>
  <dcterms:created xsi:type="dcterms:W3CDTF">2026-02-10T12:29:00Z</dcterms:created>
  <dcterms:modified xsi:type="dcterms:W3CDTF">2026-03-01T15:00:00Z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0x010100212BB566EBD991428E7980F1E6942682</vt:lpwstr>
  </property>
</Properties>
</file>