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r="http://schemas.openxmlformats.org/officeDocument/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0E1E" w14:textId="13AC8819" w:rsidR="00980C9B" w:rsidRPr="0071219E" w:rsidRDefault="001F131F" w:rsidP="00F94EB1">
      <w:pPr>
        <w:spacing w:before="240" w:after="240" w:line="360" w:lineRule="auto"/>
        <w:jc w:val="center"/>
        <w:rPr>
          <w:rFonts w:ascii="Times New Roman" w:eastAsia="Times New Roman" w:hAnsi="Times New Roman" w:cs="Times New Roman"/>
          <w:b/>
          <w:bCs/>
          <w:sz w:val="36"/>
          <w:szCs w:val="36"/>
          <w:lang w:val="en-GB"/>
        </w:rPr>
      </w:pPr>
      <w:r>
        <w:rPr>
          <w:rFonts w:ascii="Times New Roman" w:hAnsi="Times New Roman" w:cs="Times New Roman"/>
          <w:noProof/>
          <w:lang w:val="en-GB"/>
        </w:rPr>
        <w:drawing>
          <wp:inline distT="0" distB="0" distL="0" distR="0" wp14:anchorId="6E91520E" wp14:editId="24C143F7">
            <wp:extent cx="2402840" cy="1701165"/>
            <wp:effectExtent l="0" t="0" r="0" b="0"/>
            <wp:docPr id="29133581" name="Picture 1" descr="Nova School of Business and Economics - Business school rankings from the  Financial Times - FT.com">
              <a:extLst xmlns:a="http://schemas.openxmlformats.org/drawingml/2006/main">
                <a:ext uri="{FF2B5EF4-FFF2-40B4-BE49-F238E27FC236}">
                  <a16:creationId xmlns:a16="http://schemas.microsoft.com/office/drawing/2014/main" id="{E5BA7281-5E54-494E-A456-265613FC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School of Business and Economics - Business school rankings from the  Financial Times - FT.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2840" cy="1701165"/>
                    </a:xfrm>
                    <a:prstGeom prst="rect">
                      <a:avLst/>
                    </a:prstGeom>
                    <a:noFill/>
                    <a:ln>
                      <a:noFill/>
                    </a:ln>
                  </pic:spPr>
                </pic:pic>
              </a:graphicData>
            </a:graphic>
          </wp:inline>
        </w:drawing>
      </w:r>
    </w:p>
    <w:p w14:paraId="1DB897F9" w14:textId="45B4E97C" w:rsidR="00B963AE" w:rsidRDefault="5F4BC1B0" w:rsidP="00F94EB1">
      <w:pPr>
        <w:spacing w:before="240" w:after="240" w:line="360" w:lineRule="auto"/>
        <w:jc w:val="center"/>
        <w:rPr>
          <w:rFonts w:ascii="Times New Roman" w:eastAsia="Times New Roman" w:hAnsi="Times New Roman" w:cs="Times New Roman"/>
          <w:b/>
          <w:bCs/>
          <w:sz w:val="36"/>
          <w:szCs w:val="36"/>
          <w:lang w:val="en-GB"/>
        </w:rPr>
      </w:pPr>
      <w:r>
        <w:rPr>
          <w:rFonts w:ascii="Times New Roman" w:eastAsia="Times New Roman" w:hAnsi="Times New Roman" w:cs="Times New Roman"/>
          <w:b/>
          <w:bCs/>
          <w:sz w:val="36"/>
          <w:szCs w:val="36"/>
          <w:lang w:val="en-GB"/>
        </w:rPr>
        <w:t>Nova School of Business &amp; Economics</w:t>
      </w:r>
    </w:p>
    <w:p w14:paraId="6212BDEE" w14:textId="77777777" w:rsidR="00BE7040" w:rsidRPr="00CC1B6F" w:rsidRDefault="00BE7040" w:rsidP="00F94EB1">
      <w:pPr>
        <w:spacing w:line="360" w:lineRule="auto"/>
        <w:rPr>
          <w:rFonts w:ascii="Times New Roman" w:hAnsi="Times New Roman" w:cs="Times New Roman"/>
          <w:highlight w:val="yellow"/>
          <w:lang w:val="en-GB" w:eastAsia="zh-CN"/>
        </w:rPr>
      </w:pPr>
      <w:r>
        <w:rPr>
          <w:rFonts w:ascii="Times New Roman" w:hAnsi="Times New Roman" w:cs="Times New Roman"/>
          <w:lang w:val="en-GB" w:eastAsia="zh-CN"/>
        </w:rPr>
        <w:fldChar w:fldCharType="begin"/>
        <w:instrText xml:space="preserve"> INCLUDEPICTURE "/var/folders/2n/r9_894l11jbbcnbv4tn9__4c0000gn/T/com.microsoft.Word/WebArchiveCopyPasteTempFiles/page1image21449344" \* MERGEFORMATINET </w:instrText>
        <w:fldChar w:fldCharType="separate"/>
      </w:r>
      <w:r>
        <w:rPr>
          <w:rFonts w:ascii="Times New Roman" w:hAnsi="Times New Roman" w:cs="Times New Roman"/>
          <w:lang w:val="en-GB"/>
        </w:rPr>
        <w:drawing>
          <wp:inline distT="0" distB="0" distL="0" distR="0" wp14:anchorId="1B87520F" wp14:editId="3163C624">
            <wp:extent cx="5393690" cy="13335"/>
            <wp:effectExtent l="0" t="0" r="3810" b="0"/>
            <wp:docPr id="2" name="Grafik 2" descr="page1image21449344">
              <a:extLst xmlns:a="http://schemas.openxmlformats.org/drawingml/2006/main">
                <a:ext uri="{FF2B5EF4-FFF2-40B4-BE49-F238E27FC236}">
                  <a16:creationId xmlns:a16="http://schemas.microsoft.com/office/drawing/2014/main" id="{85D1163C-3A32-4391-9FA2-4A194CFCD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214493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r>
      <w:r>
        <w:rPr>
          <w:rFonts w:ascii="Times New Roman" w:hAnsi="Times New Roman" w:cs="Times New Roman"/>
          <w:lang w:val="en-GB" w:eastAsia="zh-CN"/>
        </w:rPr>
        <w:fldChar w:fldCharType="end"/>
      </w:r>
    </w:p>
    <w:p w14:paraId="1282642F" w14:textId="0D572C09" w:rsidR="00037DB6" w:rsidRPr="00DD143B" w:rsidRDefault="7AF1030D" w:rsidP="00DD143B">
      <w:pPr>
        <w:spacing w:after="0" w:line="360" w:lineRule="auto"/>
        <w:jc w:val="center"/>
        <w:rPr>
          <w:rFonts w:ascii="Helvetica" w:eastAsia="Helvetica" w:hAnsi="Helvetica" w:cs="Helvetica"/>
          <w:sz w:val="18"/>
          <w:szCs w:val="18"/>
          <w:lang w:val="en-GB"/>
        </w:rPr>
      </w:pPr>
      <w:commentRangeStart w:id="0"/>
      <w:r>
        <w:rPr>
          <w:rFonts w:ascii="Times New Roman" w:hAnsi="Times New Roman" w:cs="Times New Roman"/>
          <w:b/>
          <w:bCs/>
          <w:sz w:val="40"/>
          <w:szCs w:val="40"/>
          <w:lang w:val="en-GB" w:eastAsia="zh-CN"/>
        </w:rPr>
        <w:t xml:space="preserve">The Causal Effect of Minimum Tick Size Increases on Turnover </w:t>
      </w:r>
      <w:commentRangeEnd w:id="0"/>
      <w:r>
        <w:rPr>
          <w:rStyle w:val="CommentReference"/>
          <w:rFonts w:ascii="Helvetica" w:eastAsia="Helvetica" w:hAnsi="Helvetica" w:cs="Helvetica"/>
          <w:sz w:val="18"/>
          <w:szCs w:val="18"/>
          <w:lang w:val="en-GB"/>
        </w:rPr>
        <w:commentReference w:id="0"/>
      </w:r>
    </w:p>
    <w:p w14:paraId="0A55E037" w14:textId="77777777" w:rsidR="00BE7040" w:rsidRPr="00CC1B6F" w:rsidRDefault="00BE7040" w:rsidP="00F94EB1">
      <w:pPr>
        <w:spacing w:line="360" w:lineRule="auto"/>
        <w:rPr>
          <w:rFonts w:ascii="Times New Roman" w:hAnsi="Times New Roman" w:cs="Times New Roman"/>
          <w:lang w:val="en-GB" w:eastAsia="zh-CN"/>
        </w:rPr>
      </w:pPr>
      <w:r>
        <w:rPr>
          <w:rFonts w:ascii="Times New Roman" w:hAnsi="Times New Roman" w:cs="Times New Roman"/>
          <w:lang w:val="en-GB" w:eastAsia="zh-CN"/>
        </w:rPr>
        <w:fldChar w:fldCharType="begin"/>
        <w:instrText xml:space="preserve"> INCLUDEPICTURE "/var/folders/2n/r9_894l11jbbcnbv4tn9__4c0000gn/T/com.microsoft.Word/WebArchiveCopyPasteTempFiles/page1image21451264" \* MERGEFORMATINET </w:instrText>
        <w:fldChar w:fldCharType="separate"/>
        <w:drawing>
          <wp:inline distT="0" distB="0" distL="0" distR="0" wp14:anchorId="5BB531DC" wp14:editId="5146BC82">
            <wp:extent cx="5393690" cy="13335"/>
            <wp:effectExtent l="0" t="0" r="3810" b="0"/>
            <wp:docPr id="1" name="Grafik 1" descr="page1image21451264">
              <a:extLst xmlns:a="http://schemas.openxmlformats.org/drawingml/2006/main">
                <a:ext uri="{FF2B5EF4-FFF2-40B4-BE49-F238E27FC236}">
                  <a16:creationId xmlns:a16="http://schemas.microsoft.com/office/drawing/2014/main" id="{CBD39065-59B4-4657-8CB0-3E14C9BD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214512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3690" cy="13335"/>
                    </a:xfrm>
                    <a:prstGeom prst="rect">
                      <a:avLst/>
                    </a:prstGeom>
                    <a:noFill/>
                    <a:ln>
                      <a:noFill/>
                    </a:ln>
                  </pic:spPr>
                </pic:pic>
              </a:graphicData>
            </a:graphic>
          </wp:inline>
        </w:drawing>
        <w:fldChar w:fldCharType="end"/>
      </w:r>
    </w:p>
    <w:p w14:paraId="171F428D" w14:textId="77777777" w:rsidR="0022659F" w:rsidRPr="00DB1616" w:rsidRDefault="0022659F" w:rsidP="00F94EB1">
      <w:pPr>
        <w:spacing w:before="240" w:after="240" w:line="360" w:lineRule="auto"/>
        <w:jc w:val="center"/>
        <w:rPr>
          <w:rFonts w:ascii="Times New Roman" w:hAnsi="Times New Roman" w:cs="Times New Roman"/>
          <w:lang w:val="en-GB"/>
        </w:rPr>
      </w:pPr>
    </w:p>
    <w:p w14:paraId="2CD1A745" w14:textId="3AA74258" w:rsidR="00EF6841" w:rsidRPr="00DB1616" w:rsidRDefault="00EF6841" w:rsidP="00F94EB1">
      <w:pPr>
        <w:spacing w:before="240" w:after="240" w:line="360" w:lineRule="auto"/>
        <w:jc w:val="center"/>
        <w:rPr>
          <w:rFonts w:ascii="Times New Roman" w:hAnsi="Times New Roman" w:cs="Times New Roman"/>
          <w:lang w:val="en-GB"/>
        </w:rPr>
      </w:pPr>
      <w:r>
        <w:rPr>
          <w:rFonts w:ascii="Times New Roman" w:hAnsi="Times New Roman" w:cs="Times New Roman"/>
          <w:lang w:val="en-GB"/>
        </w:rPr>
        <w:t>Group Assignment Research Methods for Finance</w:t>
      </w:r>
    </w:p>
    <w:p w14:paraId="3B9A7CC7" w14:textId="4ECC8E64" w:rsidR="00EF6841" w:rsidRPr="00EA32E2" w:rsidRDefault="00EF6841" w:rsidP="00F94EB1">
      <w:pPr>
        <w:spacing w:before="240" w:after="240" w:line="360" w:lineRule="auto"/>
        <w:jc w:val="center"/>
        <w:rPr>
          <w:rFonts w:ascii="Times New Roman" w:hAnsi="Times New Roman" w:cs="Times New Roman"/>
          <w:lang w:val="en-GB"/>
        </w:rPr>
      </w:pPr>
      <w:r>
        <w:rPr>
          <w:rFonts w:ascii="Times New Roman" w:hAnsi="Times New Roman" w:cs="Times New Roman"/>
          <w:lang w:val="en-GB"/>
        </w:rPr>
        <w:t>Spring Semester 2026</w:t>
      </w:r>
    </w:p>
    <w:p w14:paraId="5975A9C1" w14:textId="77777777" w:rsidR="0010759F" w:rsidRPr="00EA32E2" w:rsidRDefault="0010759F" w:rsidP="00F94EB1">
      <w:pPr>
        <w:spacing w:before="240" w:after="240" w:line="360" w:lineRule="auto"/>
        <w:jc w:val="center"/>
        <w:rPr>
          <w:rFonts w:ascii="Times New Roman" w:hAnsi="Times New Roman" w:cs="Times New Roman"/>
          <w:lang w:val="en-GB"/>
        </w:rPr>
      </w:pPr>
    </w:p>
    <w:p w14:paraId="2B5CB96C" w14:textId="64637C52" w:rsidR="005A3282" w:rsidRPr="00EA32E2" w:rsidRDefault="5F4BC1B0" w:rsidP="00F94EB1">
      <w:pPr>
        <w:spacing w:before="240" w:after="240" w:line="360" w:lineRule="auto"/>
        <w:ind w:left="3540" w:hanging="3540"/>
        <w:rPr>
          <w:rFonts w:ascii="Times New Roman" w:eastAsia="Times New Roman" w:hAnsi="Times New Roman" w:cs="Times New Roman"/>
          <w:lang w:val="en-GB"/>
        </w:rPr>
      </w:pPr>
      <w:r>
        <w:rPr>
          <w:rFonts w:ascii="Times New Roman" w:eastAsia="Times New Roman" w:hAnsi="Times New Roman" w:cs="Times New Roman"/>
          <w:lang w:val="en-GB"/>
        </w:rPr>
        <w:t>Authors:                                             Pietro De Bernardi, Julian Endreß, Darius Richter, Samia Snen, António Vicente Gonçalves da Rocha</w:t>
      </w:r>
    </w:p>
    <w:p w14:paraId="7A396EF4" w14:textId="2902C126" w:rsidR="00B963AE" w:rsidRPr="00DB1616" w:rsidRDefault="5F4BC1B0" w:rsidP="00F94EB1">
      <w:pPr>
        <w:spacing w:before="240" w:after="240" w:line="360" w:lineRule="auto"/>
        <w:rPr>
          <w:rFonts w:ascii="Times New Roman" w:hAnsi="Times New Roman" w:cs="Times New Roman"/>
          <w:lang w:val="en-GB"/>
        </w:rPr>
      </w:pPr>
      <w:r>
        <w:rPr>
          <w:rFonts w:ascii="Times New Roman" w:eastAsia="Times New Roman" w:hAnsi="Times New Roman" w:cs="Times New Roman"/>
          <w:lang w:val="en-GB"/>
        </w:rPr>
        <w:t>Immatriculation Numbers:</w:t>
      </w:r>
      <w:r>
        <w:rPr>
          <w:rFonts w:ascii="Times New Roman" w:hAnsi="Times New Roman" w:cs="Times New Roman"/>
          <w:lang w:val="en-GB"/>
        </w:rPr>
        <w:tab/>
        <w:tab/>
      </w:r>
      <w:r>
        <w:rPr>
          <w:rFonts w:ascii="Times New Roman" w:eastAsia="Times New Roman" w:hAnsi="Times New Roman" w:cs="Times New Roman"/>
          <w:lang w:val="en-GB"/>
        </w:rPr>
        <w:t>69791, 70474, 71362, 72931, 70191</w:t>
      </w:r>
    </w:p>
    <w:p w14:paraId="3B9874E4" w14:textId="28D3B861" w:rsidR="00B963AE" w:rsidRDefault="5F4BC1B0"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Group:</w:t>
      </w:r>
      <w:r>
        <w:rPr>
          <w:rFonts w:ascii="Times New Roman" w:hAnsi="Times New Roman" w:cs="Times New Roman"/>
          <w:lang w:val="en-GB"/>
        </w:rPr>
        <w:tab/>
        <w:tab/>
        <w:tab/>
        <w:tab/>
        <w:tab/>
      </w:r>
      <w:r>
        <w:rPr>
          <w:rFonts w:ascii="Times New Roman" w:eastAsia="Times New Roman" w:hAnsi="Times New Roman" w:cs="Times New Roman"/>
          <w:lang w:val="en-GB"/>
        </w:rPr>
        <w:t>18</w:t>
      </w:r>
    </w:p>
    <w:p w14:paraId="65336845" w14:textId="5D85D332" w:rsidR="008B49E3" w:rsidRPr="008B49E3" w:rsidRDefault="008B49E3"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Subject:</w:t>
        <w:tab/>
        <w:tab/>
        <w:tab/>
        <w:tab/>
        <w:t>Research Methods for Finance</w:t>
      </w:r>
    </w:p>
    <w:p w14:paraId="1E3463D9" w14:textId="4511917C" w:rsidR="00EF6841" w:rsidRPr="00EF6841" w:rsidRDefault="5F4BC1B0" w:rsidP="00F94EB1">
      <w:pPr>
        <w:spacing w:before="240" w:after="240" w:line="360" w:lineRule="auto"/>
        <w:rPr>
          <w:rFonts w:ascii="Times New Roman" w:eastAsia="Times New Roman" w:hAnsi="Times New Roman" w:cs="Times New Roman"/>
          <w:lang w:val="en-GB"/>
        </w:rPr>
      </w:pPr>
      <w:r>
        <w:rPr>
          <w:rFonts w:ascii="Times New Roman" w:eastAsia="Times New Roman" w:hAnsi="Times New Roman" w:cs="Times New Roman"/>
          <w:lang w:val="en-GB"/>
        </w:rPr>
        <w:t>Supervisor:</w:t>
        <w:tab/>
        <w:tab/>
        <w:tab/>
        <w:tab/>
        <w:t>Julio A. Crego, Fabian Waßmann</w:t>
      </w:r>
    </w:p>
    <w:p w14:paraId="45AF8FDD" w14:textId="41F94E13" w:rsidR="00973108" w:rsidRDefault="00973108" w:rsidP="00F94EB1">
      <w:pPr>
        <w:spacing w:line="360" w:lineRule="auto"/>
        <w:rPr>
          <w:rFonts w:ascii="Times New Roman" w:eastAsia="Times New Roman" w:hAnsi="Times New Roman" w:cs="Times New Roman"/>
          <w:lang w:val="en-GB"/>
        </w:rPr>
        <w:sectPr w:rsidR="00973108" w:rsidSect="00F71F20">
          <w:footerReference w:type="even" r:id="rId17"/>
          <w:footerReference w:type="default" r:id="rId18"/>
          <w:pgSz w:w="11906" w:h="16838"/>
          <w:pgMar w:top="1440" w:right="1440" w:bottom="1440" w:left="1440" w:header="720" w:footer="720" w:gutter="0"/>
          <w:cols w:space="720"/>
          <w:titlePg/>
          <w:docGrid w:linePitch="360"/>
        </w:sectPr>
      </w:pPr>
    </w:p>
    <w:p w14:paraId="77B6F607" w14:textId="77777777" w:rsidR="00A86727" w:rsidRPr="00CC1B6F" w:rsidRDefault="00A86727" w:rsidP="00F94EB1">
      <w:pPr>
        <w:pStyle w:val="Unsichtbareberschrift"/>
        <w:rPr>
          <w:rFonts w:cs="Times New Roman"/>
          <w:lang w:val="en-GB"/>
        </w:rPr>
      </w:pPr>
      <w:r>
        <w:rPr>
          <w:rFonts w:cs="Times New Roman"/>
          <w:lang w:val="en-GB"/>
        </w:rPr>
        <w:t>Table of Contents</w:t>
      </w:r>
    </w:p>
    <w:p w14:paraId="7338F5FA" w14:textId="39B12DA5" w:rsidR="00C733AF" w:rsidRDefault="00A86727">
      <w:pPr>
        <w:pStyle w:val="TOC1"/>
        <w:rPr>
          <w:rFonts w:asciiTheme="minorHAnsi" w:eastAsiaTheme="minorEastAsia" w:hAnsiTheme="minorHAnsi" w:cstheme="minorBidi"/>
          <w:b w:val="0"/>
          <w:noProof/>
          <w:kern w:val="2"/>
          <w:lang w:eastAsia="en-US"/>
          <w14:ligatures w14:val="standardContextual"/>
        </w:rPr>
      </w:pPr>
      <w:r>
        <w:rPr>
          <w:rFonts w:eastAsiaTheme="minorHAnsi"/>
          <w:lang w:val="en-GB"/>
        </w:rPr>
        <w:fldChar w:fldCharType="begin"/>
      </w:r>
      <w:r>
        <w:rPr>
          <w:lang w:val="en-GB"/>
        </w:rPr>
        <w:instrText xml:space="preserve"> TOC \o "1-3" \h \z \t "Zwischenverzeichnis;1" </w:instrText>
      </w:r>
      <w:r>
        <w:rPr>
          <w:rFonts w:eastAsiaTheme="minorHAnsi"/>
          <w:lang w:val="en-GB"/>
        </w:rPr>
        <w:fldChar w:fldCharType="separate"/>
      </w:r>
      <w:hyperlink w:anchor="_Toc223276449" w:history="1">
        <w:r>
          <w:rPr>
            <w:rStyle w:val="Hyperlink"/>
            <w:noProof/>
            <w:lang w:val="en-GB"/>
          </w:rPr>
          <w:t>1</w:t>
        </w:r>
        <w:r>
          <w:rPr>
            <w:rFonts w:asciiTheme="minorHAnsi" w:eastAsiaTheme="minorEastAsia" w:hAnsiTheme="minorHAnsi" w:cstheme="minorBidi"/>
            <w:b w:val="0"/>
            <w:noProof/>
            <w:kern w:val="2"/>
            <w:lang w:eastAsia="en-US"/>
            <w14:ligatures w14:val="standardContextual"/>
          </w:rPr>
          <w:tab/>
        </w:r>
        <w:r>
          <w:rPr>
            <w:rStyle w:val="Hyperlink"/>
            <w:noProof/>
            <w:lang w:val="en-GB"/>
          </w:rPr>
          <w:t>Hypotheses Development</w:t>
        </w:r>
        <w:r>
          <w:rPr>
            <w:noProof/>
            <w:webHidden/>
          </w:rPr>
          <w:tab/>
          <w:fldChar w:fldCharType="begin"/>
          <w:instrText xml:space="preserve"> PAGEREF _Toc223276449 \h </w:instrText>
          <w:fldChar w:fldCharType="separate"/>
          <w:t>4</w:t>
          <w:fldChar w:fldCharType="end"/>
        </w:r>
      </w:hyperlink>
    </w:p>
    <w:p w14:paraId="6B417087" w14:textId="3754D936"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0" w:history="1">
        <w:r>
          <w:rPr>
            <w:rStyle w:val="Hyperlink"/>
            <w:noProof/>
          </w:rPr>
          <w:t>1.1</w:t>
        </w:r>
        <w:r>
          <w:rPr>
            <w:rFonts w:asciiTheme="minorHAnsi" w:eastAsiaTheme="minorEastAsia" w:hAnsiTheme="minorHAnsi" w:cstheme="minorBidi"/>
            <w:noProof/>
            <w:kern w:val="2"/>
            <w:lang w:eastAsia="en-US"/>
            <w14:ligatures w14:val="standardContextual"/>
          </w:rPr>
          <w:tab/>
        </w:r>
        <w:r>
          <w:rPr>
            <w:rStyle w:val="Hyperlink"/>
            <w:noProof/>
          </w:rPr>
          <w:t>Research Question</w:t>
        </w:r>
        <w:r>
          <w:rPr>
            <w:noProof/>
            <w:webHidden/>
          </w:rPr>
          <w:tab/>
          <w:fldChar w:fldCharType="begin"/>
          <w:instrText xml:space="preserve"> PAGEREF _Toc223276450 \h </w:instrText>
          <w:fldChar w:fldCharType="separate"/>
          <w:t>4</w:t>
          <w:fldChar w:fldCharType="end"/>
        </w:r>
      </w:hyperlink>
    </w:p>
    <w:p w14:paraId="4886DCDC" w14:textId="08705DE8"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1" w:history="1">
        <w:r>
          <w:rPr>
            <w:rStyle w:val="Hyperlink"/>
            <w:noProof/>
            <w:lang w:val="en-GB"/>
          </w:rPr>
          <w:t>1.1</w:t>
        </w:r>
        <w:r>
          <w:rPr>
            <w:rFonts w:asciiTheme="minorHAnsi" w:eastAsiaTheme="minorEastAsia" w:hAnsiTheme="minorHAnsi" w:cstheme="minorBidi"/>
            <w:noProof/>
            <w:kern w:val="2"/>
            <w:lang w:eastAsia="en-US"/>
            <w14:ligatures w14:val="standardContextual"/>
          </w:rPr>
          <w:tab/>
        </w:r>
        <w:r>
          <w:rPr>
            <w:rStyle w:val="Hyperlink"/>
            <w:noProof/>
            <w:lang w:val="en-GB"/>
          </w:rPr>
          <w:t>Economic Framework</w:t>
        </w:r>
        <w:r>
          <w:rPr>
            <w:noProof/>
            <w:webHidden/>
          </w:rPr>
          <w:tab/>
          <w:fldChar w:fldCharType="begin"/>
          <w:instrText xml:space="preserve"> PAGEREF _Toc223276451 \h </w:instrText>
          <w:fldChar w:fldCharType="separate"/>
          <w:t>4</w:t>
          <w:fldChar w:fldCharType="end"/>
        </w:r>
      </w:hyperlink>
    </w:p>
    <w:p w14:paraId="78D3BA76" w14:textId="7F27E1D1"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2" w:history="1">
        <w:r>
          <w:rPr>
            <w:rStyle w:val="Hyperlink"/>
            <w:noProof/>
            <w:lang w:val="en-GB"/>
          </w:rPr>
          <w:t>1.2</w:t>
        </w:r>
        <w:r>
          <w:rPr>
            <w:rFonts w:asciiTheme="minorHAnsi" w:eastAsiaTheme="minorEastAsia" w:hAnsiTheme="minorHAnsi" w:cstheme="minorBidi"/>
            <w:noProof/>
            <w:kern w:val="2"/>
            <w:lang w:eastAsia="en-US"/>
            <w14:ligatures w14:val="standardContextual"/>
          </w:rPr>
          <w:tab/>
        </w:r>
        <w:r>
          <w:rPr>
            <w:rStyle w:val="Hyperlink"/>
            <w:noProof/>
            <w:lang w:val="en-GB"/>
          </w:rPr>
          <w:t>Hypothesis 1: Average Treatment Effect</w:t>
        </w:r>
        <w:r>
          <w:rPr>
            <w:noProof/>
            <w:webHidden/>
          </w:rPr>
          <w:tab/>
          <w:fldChar w:fldCharType="begin"/>
          <w:instrText xml:space="preserve"> PAGEREF _Toc223276452 \h </w:instrText>
          <w:fldChar w:fldCharType="separate"/>
          <w:t>5</w:t>
          <w:fldChar w:fldCharType="end"/>
        </w:r>
      </w:hyperlink>
    </w:p>
    <w:p w14:paraId="6DA53933" w14:textId="3514B31D"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3" w:history="1">
        <w:r>
          <w:rPr>
            <w:rStyle w:val="Hyperlink"/>
            <w:noProof/>
            <w:lang w:val="en-GB"/>
          </w:rPr>
          <w:t>1.3</w:t>
        </w:r>
        <w:r>
          <w:rPr>
            <w:rFonts w:asciiTheme="minorHAnsi" w:eastAsiaTheme="minorEastAsia" w:hAnsiTheme="minorHAnsi" w:cstheme="minorBidi"/>
            <w:noProof/>
            <w:kern w:val="2"/>
            <w:lang w:eastAsia="en-US"/>
            <w14:ligatures w14:val="standardContextual"/>
          </w:rPr>
          <w:tab/>
        </w:r>
        <w:r>
          <w:rPr>
            <w:rStyle w:val="Hyperlink"/>
            <w:noProof/>
            <w:lang w:val="en-GB"/>
          </w:rPr>
          <w:t>Hypothesis 2: Heterogeneous Effects by Pre-Pilot Spread Narrowness</w:t>
        </w:r>
        <w:r>
          <w:rPr>
            <w:noProof/>
            <w:webHidden/>
          </w:rPr>
          <w:tab/>
          <w:fldChar w:fldCharType="begin"/>
          <w:instrText xml:space="preserve"> PAGEREF _Toc223276453 \h </w:instrText>
          <w:fldChar w:fldCharType="separate"/>
          <w:t>5</w:t>
          <w:fldChar w:fldCharType="end"/>
        </w:r>
      </w:hyperlink>
    </w:p>
    <w:p w14:paraId="76904EF0" w14:textId="011C7ED1" w:rsidR="00C733AF" w:rsidRDefault="00C733AF">
      <w:pPr>
        <w:pStyle w:val="TOC1"/>
        <w:rPr>
          <w:rFonts w:asciiTheme="minorHAnsi" w:eastAsiaTheme="minorEastAsia" w:hAnsiTheme="minorHAnsi" w:cstheme="minorBidi"/>
          <w:b w:val="0"/>
          <w:noProof/>
          <w:kern w:val="2"/>
          <w:lang w:eastAsia="en-US"/>
          <w14:ligatures w14:val="standardContextual"/>
        </w:rPr>
      </w:pPr>
      <w:hyperlink w:anchor="_Toc223276454" w:history="1">
        <w:r>
          <w:rPr>
            <w:rStyle w:val="Hyperlink"/>
            <w:noProof/>
            <w:lang w:val="en-GB"/>
          </w:rPr>
          <w:t>2</w:t>
        </w:r>
        <w:r>
          <w:rPr>
            <w:rFonts w:asciiTheme="minorHAnsi" w:eastAsiaTheme="minorEastAsia" w:hAnsiTheme="minorHAnsi" w:cstheme="minorBidi"/>
            <w:b w:val="0"/>
            <w:noProof/>
            <w:kern w:val="2"/>
            <w:lang w:eastAsia="en-US"/>
            <w14:ligatures w14:val="standardContextual"/>
          </w:rPr>
          <w:tab/>
        </w:r>
        <w:r>
          <w:rPr>
            <w:rStyle w:val="Hyperlink"/>
            <w:noProof/>
            <w:lang w:val="en-GB"/>
          </w:rPr>
          <w:t>Empirical Methodology</w:t>
        </w:r>
        <w:r>
          <w:rPr>
            <w:noProof/>
            <w:webHidden/>
          </w:rPr>
          <w:tab/>
          <w:fldChar w:fldCharType="begin"/>
          <w:instrText xml:space="preserve"> PAGEREF _Toc223276454 \h </w:instrText>
          <w:fldChar w:fldCharType="separate"/>
          <w:t>6</w:t>
          <w:fldChar w:fldCharType="end"/>
        </w:r>
      </w:hyperlink>
    </w:p>
    <w:p w14:paraId="19313F4E" w14:textId="6DAA3B2D"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5" w:history="1">
        <w:r>
          <w:rPr>
            <w:rStyle w:val="Hyperlink"/>
            <w:noProof/>
          </w:rPr>
          <w:t>2.1</w:t>
        </w:r>
        <w:r>
          <w:rPr>
            <w:rFonts w:asciiTheme="minorHAnsi" w:eastAsiaTheme="minorEastAsia" w:hAnsiTheme="minorHAnsi" w:cstheme="minorBidi"/>
            <w:noProof/>
            <w:kern w:val="2"/>
            <w:lang w:eastAsia="en-US"/>
            <w14:ligatures w14:val="standardContextual"/>
          </w:rPr>
          <w:tab/>
        </w:r>
        <w:r>
          <w:rPr>
            <w:rStyle w:val="Hyperlink"/>
            <w:noProof/>
          </w:rPr>
          <w:t>Identification Strategy</w:t>
        </w:r>
        <w:r>
          <w:rPr>
            <w:noProof/>
            <w:webHidden/>
          </w:rPr>
          <w:tab/>
          <w:fldChar w:fldCharType="begin"/>
          <w:instrText xml:space="preserve"> PAGEREF _Toc223276455 \h </w:instrText>
          <w:fldChar w:fldCharType="separate"/>
          <w:t>6</w:t>
          <w:fldChar w:fldCharType="end"/>
        </w:r>
      </w:hyperlink>
    </w:p>
    <w:p w14:paraId="11565F64" w14:textId="28276088"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6" w:history="1">
        <w:r>
          <w:rPr>
            <w:rStyle w:val="Hyperlink"/>
            <w:noProof/>
            <w:lang w:val="en-GB"/>
          </w:rPr>
          <w:t>2.2</w:t>
        </w:r>
        <w:r>
          <w:rPr>
            <w:rFonts w:asciiTheme="minorHAnsi" w:eastAsiaTheme="minorEastAsia" w:hAnsiTheme="minorHAnsi" w:cstheme="minorBidi"/>
            <w:noProof/>
            <w:kern w:val="2"/>
            <w:lang w:eastAsia="en-US"/>
            <w14:ligatures w14:val="standardContextual"/>
          </w:rPr>
          <w:tab/>
        </w:r>
        <w:r>
          <w:rPr>
            <w:rStyle w:val="Hyperlink"/>
            <w:noProof/>
            <w:lang w:val="en-GB"/>
          </w:rPr>
          <w:t>Baseline Specification</w:t>
        </w:r>
        <w:r>
          <w:rPr>
            <w:noProof/>
            <w:webHidden/>
          </w:rPr>
          <w:tab/>
          <w:fldChar w:fldCharType="begin"/>
          <w:instrText xml:space="preserve"> PAGEREF _Toc223276456 \h </w:instrText>
          <w:fldChar w:fldCharType="separate"/>
          <w:t>6</w:t>
          <w:fldChar w:fldCharType="end"/>
        </w:r>
      </w:hyperlink>
    </w:p>
    <w:p w14:paraId="399640D1" w14:textId="1C08C4D5"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7" w:history="1">
        <w:r>
          <w:rPr>
            <w:rStyle w:val="Hyperlink"/>
            <w:noProof/>
            <w:lang w:val="en-GB"/>
          </w:rPr>
          <w:t>2.3</w:t>
        </w:r>
        <w:r>
          <w:rPr>
            <w:rFonts w:asciiTheme="minorHAnsi" w:eastAsiaTheme="minorEastAsia" w:hAnsiTheme="minorHAnsi" w:cstheme="minorBidi"/>
            <w:noProof/>
            <w:kern w:val="2"/>
            <w:lang w:eastAsia="en-US"/>
            <w14:ligatures w14:val="standardContextual"/>
          </w:rPr>
          <w:tab/>
        </w:r>
        <w:r>
          <w:rPr>
            <w:rStyle w:val="Hyperlink"/>
            <w:noProof/>
            <w:lang w:val="en-GB"/>
          </w:rPr>
          <w:t>Extended Specification</w:t>
        </w:r>
        <w:r>
          <w:rPr>
            <w:noProof/>
            <w:webHidden/>
          </w:rPr>
          <w:tab/>
          <w:fldChar w:fldCharType="begin"/>
          <w:instrText xml:space="preserve"> PAGEREF _Toc223276457 \h </w:instrText>
          <w:fldChar w:fldCharType="separate"/>
          <w:t>7</w:t>
          <w:fldChar w:fldCharType="end"/>
        </w:r>
      </w:hyperlink>
    </w:p>
    <w:p w14:paraId="54416253" w14:textId="51644D9E"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58" w:history="1">
        <w:r>
          <w:rPr>
            <w:rStyle w:val="Hyperlink"/>
            <w:noProof/>
            <w:lang w:val="en-GB"/>
          </w:rPr>
          <w:t>2.4</w:t>
        </w:r>
        <w:r>
          <w:rPr>
            <w:rFonts w:asciiTheme="minorHAnsi" w:eastAsiaTheme="minorEastAsia" w:hAnsiTheme="minorHAnsi" w:cstheme="minorBidi"/>
            <w:noProof/>
            <w:kern w:val="2"/>
            <w:lang w:eastAsia="en-US"/>
            <w14:ligatures w14:val="standardContextual"/>
          </w:rPr>
          <w:tab/>
        </w:r>
        <w:r>
          <w:rPr>
            <w:rStyle w:val="Hyperlink"/>
            <w:noProof/>
            <w:lang w:val="en-GB"/>
          </w:rPr>
          <w:t>Control Variables</w:t>
        </w:r>
        <w:r>
          <w:rPr>
            <w:noProof/>
            <w:webHidden/>
          </w:rPr>
          <w:tab/>
          <w:fldChar w:fldCharType="begin"/>
          <w:instrText xml:space="preserve"> PAGEREF _Toc223276458 \h </w:instrText>
          <w:fldChar w:fldCharType="separate"/>
          <w:t>7</w:t>
          <w:fldChar w:fldCharType="end"/>
        </w:r>
      </w:hyperlink>
    </w:p>
    <w:p w14:paraId="6B65E02B" w14:textId="4CC78145" w:rsidR="00C733AF" w:rsidRDefault="00C733AF">
      <w:pPr>
        <w:pStyle w:val="TOC1"/>
        <w:rPr>
          <w:rFonts w:asciiTheme="minorHAnsi" w:eastAsiaTheme="minorEastAsia" w:hAnsiTheme="minorHAnsi" w:cstheme="minorBidi"/>
          <w:b w:val="0"/>
          <w:noProof/>
          <w:kern w:val="2"/>
          <w:lang w:eastAsia="en-US"/>
          <w14:ligatures w14:val="standardContextual"/>
        </w:rPr>
      </w:pPr>
      <w:hyperlink w:anchor="_Toc223276459" w:history="1">
        <w:r>
          <w:rPr>
            <w:rStyle w:val="Hyperlink"/>
            <w:noProof/>
            <w:lang w:val="en-GB"/>
          </w:rPr>
          <w:t>3.</w:t>
        </w:r>
        <w:r>
          <w:rPr>
            <w:rFonts w:asciiTheme="minorHAnsi" w:eastAsiaTheme="minorEastAsia" w:hAnsiTheme="minorHAnsi" w:cstheme="minorBidi"/>
            <w:b w:val="0"/>
            <w:noProof/>
            <w:kern w:val="2"/>
            <w:lang w:eastAsia="en-US"/>
            <w14:ligatures w14:val="standardContextual"/>
          </w:rPr>
          <w:tab/>
        </w:r>
        <w:r>
          <w:rPr>
            <w:rStyle w:val="Hyperlink"/>
            <w:noProof/>
            <w:lang w:val="en-GB"/>
          </w:rPr>
          <w:t>Data</w:t>
        </w:r>
        <w:r>
          <w:rPr>
            <w:noProof/>
            <w:webHidden/>
          </w:rPr>
          <w:tab/>
          <w:fldChar w:fldCharType="begin"/>
          <w:instrText xml:space="preserve"> PAGEREF _Toc223276459 \h </w:instrText>
          <w:fldChar w:fldCharType="separate"/>
          <w:t>9</w:t>
          <w:fldChar w:fldCharType="end"/>
        </w:r>
      </w:hyperlink>
    </w:p>
    <w:p w14:paraId="3E55BF8B" w14:textId="35163508"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60" w:history="1">
        <w:r>
          <w:rPr>
            <w:rStyle w:val="Hyperlink"/>
            <w:noProof/>
            <w:lang w:val="en-GB"/>
          </w:rPr>
          <w:t>3.1</w:t>
        </w:r>
        <w:r>
          <w:rPr>
            <w:rFonts w:asciiTheme="minorHAnsi" w:eastAsiaTheme="minorEastAsia" w:hAnsiTheme="minorHAnsi" w:cstheme="minorBidi"/>
            <w:noProof/>
            <w:kern w:val="2"/>
            <w:lang w:eastAsia="en-US"/>
            <w14:ligatures w14:val="standardContextual"/>
          </w:rPr>
          <w:tab/>
        </w:r>
        <w:r>
          <w:rPr>
            <w:rStyle w:val="Hyperlink"/>
            <w:noProof/>
            <w:lang w:val="en-GB"/>
          </w:rPr>
          <w:t>Data Construction and Sample Selection</w:t>
        </w:r>
        <w:r>
          <w:rPr>
            <w:noProof/>
            <w:webHidden/>
          </w:rPr>
          <w:tab/>
          <w:fldChar w:fldCharType="begin"/>
          <w:instrText xml:space="preserve"> PAGEREF _Toc223276460 \h </w:instrText>
          <w:fldChar w:fldCharType="separate"/>
          <w:t>9</w:t>
          <w:fldChar w:fldCharType="end"/>
        </w:r>
      </w:hyperlink>
    </w:p>
    <w:p w14:paraId="7AA1FCF4" w14:textId="23D3079A"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61" w:history="1">
        <w:r>
          <w:rPr>
            <w:rStyle w:val="Hyperlink"/>
            <w:noProof/>
            <w:lang w:val="en-GB"/>
          </w:rPr>
          <w:t xml:space="preserve">3.2 </w:t>
        </w:r>
        <w:r>
          <w:rPr>
            <w:rFonts w:asciiTheme="minorHAnsi" w:eastAsiaTheme="minorEastAsia" w:hAnsiTheme="minorHAnsi" w:cstheme="minorBidi"/>
            <w:noProof/>
            <w:kern w:val="2"/>
            <w:lang w:eastAsia="en-US"/>
            <w14:ligatures w14:val="standardContextual"/>
          </w:rPr>
          <w:tab/>
        </w:r>
        <w:r>
          <w:rPr>
            <w:rStyle w:val="Hyperlink"/>
            <w:noProof/>
            <w:lang w:val="en-GB"/>
          </w:rPr>
          <w:t>Variable Construction</w:t>
        </w:r>
        <w:r>
          <w:rPr>
            <w:noProof/>
            <w:webHidden/>
          </w:rPr>
          <w:tab/>
          <w:fldChar w:fldCharType="begin"/>
          <w:instrText xml:space="preserve"> PAGEREF _Toc223276461 \h </w:instrText>
          <w:fldChar w:fldCharType="separate"/>
          <w:t>10</w:t>
          <w:fldChar w:fldCharType="end"/>
        </w:r>
      </w:hyperlink>
    </w:p>
    <w:p w14:paraId="33720517" w14:textId="71F3EC2E"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62" w:history="1">
        <w:r>
          <w:rPr>
            <w:rStyle w:val="Hyperlink"/>
            <w:noProof/>
            <w:lang w:val="en-GB"/>
          </w:rPr>
          <w:t xml:space="preserve">3.3 </w:t>
        </w:r>
        <w:r>
          <w:rPr>
            <w:rFonts w:asciiTheme="minorHAnsi" w:eastAsiaTheme="minorEastAsia" w:hAnsiTheme="minorHAnsi" w:cstheme="minorBidi"/>
            <w:noProof/>
            <w:kern w:val="2"/>
            <w:lang w:eastAsia="en-US"/>
            <w14:ligatures w14:val="standardContextual"/>
          </w:rPr>
          <w:tab/>
        </w:r>
        <w:r>
          <w:rPr>
            <w:rStyle w:val="Hyperlink"/>
            <w:noProof/>
            <w:lang w:val="en-GB"/>
          </w:rPr>
          <w:t>Summary Statistics</w:t>
        </w:r>
        <w:r>
          <w:rPr>
            <w:noProof/>
            <w:webHidden/>
          </w:rPr>
          <w:tab/>
          <w:fldChar w:fldCharType="begin"/>
          <w:instrText xml:space="preserve"> PAGEREF _Toc223276462 \h </w:instrText>
          <w:fldChar w:fldCharType="separate"/>
          <w:t>11</w:t>
          <w:fldChar w:fldCharType="end"/>
        </w:r>
      </w:hyperlink>
    </w:p>
    <w:p w14:paraId="383A254A" w14:textId="06610A00" w:rsidR="00C733AF" w:rsidRDefault="00C733AF">
      <w:pPr>
        <w:pStyle w:val="TOC1"/>
        <w:rPr>
          <w:rFonts w:asciiTheme="minorHAnsi" w:eastAsiaTheme="minorEastAsia" w:hAnsiTheme="minorHAnsi" w:cstheme="minorBidi"/>
          <w:b w:val="0"/>
          <w:noProof/>
          <w:kern w:val="2"/>
          <w:lang w:eastAsia="en-US"/>
          <w14:ligatures w14:val="standardContextual"/>
        </w:rPr>
      </w:pPr>
      <w:hyperlink w:anchor="_Toc223276463" w:history="1">
        <w:r>
          <w:rPr>
            <w:rStyle w:val="Hyperlink"/>
            <w:noProof/>
          </w:rPr>
          <w:t>4</w:t>
        </w:r>
        <w:r>
          <w:rPr>
            <w:rFonts w:asciiTheme="minorHAnsi" w:eastAsiaTheme="minorEastAsia" w:hAnsiTheme="minorHAnsi" w:cstheme="minorBidi"/>
            <w:b w:val="0"/>
            <w:noProof/>
            <w:kern w:val="2"/>
            <w:lang w:eastAsia="en-US"/>
            <w14:ligatures w14:val="standardContextual"/>
          </w:rPr>
          <w:tab/>
        </w:r>
        <w:r>
          <w:rPr>
            <w:rStyle w:val="Hyperlink"/>
            <w:noProof/>
          </w:rPr>
          <w:t>Results</w:t>
        </w:r>
        <w:r>
          <w:rPr>
            <w:noProof/>
            <w:webHidden/>
          </w:rPr>
          <w:tab/>
          <w:fldChar w:fldCharType="begin"/>
          <w:instrText xml:space="preserve"> PAGEREF _Toc223276463 \h </w:instrText>
          <w:fldChar w:fldCharType="separate"/>
          <w:t>13</w:t>
          <w:fldChar w:fldCharType="end"/>
        </w:r>
      </w:hyperlink>
    </w:p>
    <w:p w14:paraId="29B54ADF" w14:textId="6EF20EB4"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64" w:history="1">
        <w:r>
          <w:rPr>
            <w:rStyle w:val="Hyperlink"/>
            <w:noProof/>
            <w:lang w:val="en-GB"/>
          </w:rPr>
          <w:t>4.1</w:t>
        </w:r>
        <w:r>
          <w:rPr>
            <w:rFonts w:asciiTheme="minorHAnsi" w:eastAsiaTheme="minorEastAsia" w:hAnsiTheme="minorHAnsi" w:cstheme="minorBidi"/>
            <w:noProof/>
            <w:kern w:val="2"/>
            <w:lang w:eastAsia="en-US"/>
            <w14:ligatures w14:val="standardContextual"/>
          </w:rPr>
          <w:tab/>
        </w:r>
        <w:r>
          <w:rPr>
            <w:rStyle w:val="Hyperlink"/>
            <w:noProof/>
            <w:lang w:val="en-GB"/>
          </w:rPr>
          <w:t>Result Explanation</w:t>
        </w:r>
        <w:r>
          <w:rPr>
            <w:noProof/>
            <w:webHidden/>
          </w:rPr>
          <w:tab/>
          <w:fldChar w:fldCharType="begin"/>
          <w:instrText xml:space="preserve"> PAGEREF _Toc223276464 \h </w:instrText>
          <w:fldChar w:fldCharType="separate"/>
          <w:t>13</w:t>
          <w:fldChar w:fldCharType="end"/>
        </w:r>
      </w:hyperlink>
    </w:p>
    <w:p w14:paraId="2B060F53" w14:textId="28C2FA3F" w:rsidR="00C733AF" w:rsidRPr="00C733AF" w:rsidRDefault="00C733AF">
      <w:pPr>
        <w:pStyle w:val="TOC3"/>
        <w:rPr>
          <w:rFonts w:asciiTheme="minorHAnsi" w:eastAsiaTheme="minorEastAsia" w:hAnsiTheme="minorHAnsi" w:cstheme="minorBidi"/>
          <w:noProof/>
          <w:kern w:val="2"/>
          <w:lang w:eastAsia="en-US"/>
          <w14:ligatures w14:val="standardContextual"/>
        </w:rPr>
      </w:pPr>
      <w:hyperlink w:anchor="_Toc223276465" w:history="1">
        <w:r>
          <w:rPr>
            <w:rStyle w:val="Hyperlink"/>
            <w:noProof/>
            <w:lang w:val="en-GB"/>
          </w:rPr>
          <w:t>4.1.1</w:t>
        </w:r>
        <w:r>
          <w:rPr>
            <w:rFonts w:asciiTheme="minorHAnsi" w:eastAsiaTheme="minorEastAsia" w:hAnsiTheme="minorHAnsi" w:cstheme="minorBidi"/>
            <w:noProof/>
            <w:kern w:val="2"/>
            <w:lang w:eastAsia="en-US"/>
            <w14:ligatures w14:val="standardContextual"/>
          </w:rPr>
          <w:tab/>
        </w:r>
        <w:r>
          <w:rPr>
            <w:rStyle w:val="Hyperlink"/>
            <w:noProof/>
            <w:lang w:val="en-GB"/>
          </w:rPr>
          <w:t>Average Treatment Effect</w:t>
        </w:r>
        <w:r>
          <w:rPr>
            <w:noProof/>
            <w:webHidden/>
          </w:rPr>
          <w:tab/>
          <w:fldChar w:fldCharType="begin"/>
          <w:instrText xml:space="preserve"> PAGEREF _Toc223276465 \h </w:instrText>
          <w:fldChar w:fldCharType="separate"/>
          <w:t>14</w:t>
          <w:fldChar w:fldCharType="end"/>
        </w:r>
      </w:hyperlink>
    </w:p>
    <w:p w14:paraId="2286B37A" w14:textId="3A648310" w:rsidR="00C733AF" w:rsidRDefault="00C733AF">
      <w:pPr>
        <w:pStyle w:val="TOC3"/>
        <w:rPr>
          <w:rFonts w:asciiTheme="minorHAnsi" w:eastAsiaTheme="minorEastAsia" w:hAnsiTheme="minorHAnsi" w:cstheme="minorBidi"/>
          <w:noProof/>
          <w:kern w:val="2"/>
          <w:lang w:eastAsia="en-US"/>
          <w14:ligatures w14:val="standardContextual"/>
        </w:rPr>
      </w:pPr>
      <w:hyperlink w:anchor="_Toc223276466" w:history="1">
        <w:r>
          <w:rPr>
            <w:rStyle w:val="Hyperlink"/>
            <w:noProof/>
            <w:lang w:val="en-GB"/>
          </w:rPr>
          <w:t>4.1.2</w:t>
        </w:r>
        <w:r>
          <w:rPr>
            <w:rFonts w:asciiTheme="minorHAnsi" w:eastAsiaTheme="minorEastAsia" w:hAnsiTheme="minorHAnsi" w:cstheme="minorBidi"/>
            <w:noProof/>
            <w:kern w:val="2"/>
            <w:lang w:eastAsia="en-US"/>
            <w14:ligatures w14:val="standardContextual"/>
          </w:rPr>
          <w:tab/>
        </w:r>
        <w:r>
          <w:rPr>
            <w:rStyle w:val="Hyperlink"/>
            <w:noProof/>
            <w:lang w:val="en-GB"/>
          </w:rPr>
          <w:t>Heterogeneous Effects by Pre-Treatment Spread</w:t>
        </w:r>
        <w:r>
          <w:rPr>
            <w:noProof/>
            <w:webHidden/>
          </w:rPr>
          <w:tab/>
          <w:fldChar w:fldCharType="begin"/>
          <w:instrText xml:space="preserve"> PAGEREF _Toc223276466 \h </w:instrText>
          <w:fldChar w:fldCharType="separate"/>
          <w:t>15</w:t>
          <w:fldChar w:fldCharType="end"/>
        </w:r>
      </w:hyperlink>
    </w:p>
    <w:p w14:paraId="24A01E5F" w14:textId="7CA6021B" w:rsidR="00C733AF" w:rsidRDefault="00C733AF">
      <w:pPr>
        <w:pStyle w:val="TOC2"/>
        <w:rPr>
          <w:rFonts w:asciiTheme="minorHAnsi" w:eastAsiaTheme="minorEastAsia" w:hAnsiTheme="minorHAnsi" w:cstheme="minorBidi"/>
          <w:noProof/>
          <w:kern w:val="2"/>
          <w:lang w:eastAsia="en-US"/>
          <w14:ligatures w14:val="standardContextual"/>
        </w:rPr>
      </w:pPr>
      <w:hyperlink w:anchor="_Toc223276467" w:history="1">
        <w:r>
          <w:rPr>
            <w:rStyle w:val="Hyperlink"/>
            <w:noProof/>
            <w:lang w:val="en-GB"/>
          </w:rPr>
          <w:t>4.2</w:t>
        </w:r>
        <w:r>
          <w:rPr>
            <w:rFonts w:asciiTheme="minorHAnsi" w:eastAsiaTheme="minorEastAsia" w:hAnsiTheme="minorHAnsi" w:cstheme="minorBidi"/>
            <w:noProof/>
            <w:kern w:val="2"/>
            <w:lang w:eastAsia="en-US"/>
            <w14:ligatures w14:val="standardContextual"/>
          </w:rPr>
          <w:tab/>
        </w:r>
        <w:r>
          <w:rPr>
            <w:rStyle w:val="Hyperlink"/>
            <w:noProof/>
            <w:lang w:val="en-GB"/>
          </w:rPr>
          <w:t>Economic Interpretation and Implications</w:t>
        </w:r>
        <w:r>
          <w:rPr>
            <w:noProof/>
            <w:webHidden/>
          </w:rPr>
          <w:tab/>
          <w:fldChar w:fldCharType="begin"/>
          <w:instrText xml:space="preserve"> PAGEREF _Toc223276467 \h </w:instrText>
          <w:fldChar w:fldCharType="separate"/>
          <w:t>16</w:t>
          <w:fldChar w:fldCharType="end"/>
        </w:r>
      </w:hyperlink>
    </w:p>
    <w:p w14:paraId="2DB9EE31" w14:textId="627C628F" w:rsidR="00C733AF" w:rsidRDefault="00C733AF">
      <w:pPr>
        <w:pStyle w:val="TOC1"/>
        <w:rPr>
          <w:rFonts w:asciiTheme="minorHAnsi" w:eastAsiaTheme="minorEastAsia" w:hAnsiTheme="minorHAnsi" w:cstheme="minorBidi"/>
          <w:b w:val="0"/>
          <w:noProof/>
          <w:kern w:val="2"/>
          <w:lang w:eastAsia="en-US"/>
          <w14:ligatures w14:val="standardContextual"/>
        </w:rPr>
      </w:pPr>
      <w:hyperlink w:anchor="_Toc223276468" w:history="1">
        <w:r>
          <w:rPr>
            <w:rStyle w:val="Hyperlink"/>
            <w:noProof/>
          </w:rPr>
          <w:t>References</w:t>
        </w:r>
        <w:r>
          <w:rPr>
            <w:noProof/>
            <w:webHidden/>
          </w:rPr>
          <w:tab/>
          <w:fldChar w:fldCharType="begin"/>
          <w:instrText xml:space="preserve"> PAGEREF _Toc223276468 \h </w:instrText>
          <w:fldChar w:fldCharType="separate"/>
          <w:t>17</w:t>
          <w:fldChar w:fldCharType="end"/>
        </w:r>
      </w:hyperlink>
    </w:p>
    <w:p w14:paraId="50F392CF" w14:textId="552E5CE8" w:rsidR="00C733AF" w:rsidRDefault="00C733AF">
      <w:pPr>
        <w:pStyle w:val="TOC1"/>
        <w:rPr>
          <w:rFonts w:asciiTheme="minorHAnsi" w:eastAsiaTheme="minorEastAsia" w:hAnsiTheme="minorHAnsi" w:cstheme="minorBidi"/>
          <w:b w:val="0"/>
          <w:noProof/>
          <w:kern w:val="2"/>
          <w:lang w:eastAsia="en-US"/>
          <w14:ligatures w14:val="standardContextual"/>
        </w:rPr>
      </w:pPr>
      <w:hyperlink w:anchor="_Toc223276469" w:history="1">
        <w:r>
          <w:rPr>
            <w:rStyle w:val="Hyperlink"/>
            <w:noProof/>
          </w:rPr>
          <w:t>Appendix</w:t>
        </w:r>
        <w:r>
          <w:rPr>
            <w:noProof/>
            <w:webHidden/>
          </w:rPr>
          <w:tab/>
          <w:fldChar w:fldCharType="begin"/>
          <w:instrText xml:space="preserve"> PAGEREF _Toc223276469 \h </w:instrText>
          <w:fldChar w:fldCharType="separate"/>
          <w:t>18</w:t>
          <w:fldChar w:fldCharType="end"/>
        </w:r>
      </w:hyperlink>
    </w:p>
    <w:p w14:paraId="204498F7" w14:textId="2B53F434" w:rsidR="0014407E" w:rsidRPr="0071219E" w:rsidRDefault="00A86727" w:rsidP="00721084">
      <w:pPr>
        <w:spacing w:line="240" w:lineRule="auto"/>
        <w:rPr>
          <w:rFonts w:ascii="Times New Roman" w:hAnsi="Times New Roman" w:cs="Times New Roman"/>
          <w:b/>
          <w:sz w:val="32"/>
          <w:szCs w:val="32"/>
          <w:lang w:val="en-GB"/>
        </w:rPr>
      </w:pPr>
      <w:r>
        <w:rPr>
          <w:rFonts w:ascii="Times New Roman" w:hAnsi="Times New Roman" w:cs="Times New Roman"/>
          <w:lang w:val="en-GB"/>
        </w:rPr>
        <w:fldChar w:fldCharType="end"/>
      </w:r>
      <w:r>
        <w:rPr>
          <w:rFonts w:ascii="Times New Roman" w:hAnsi="Times New Roman" w:cs="Times New Roman"/>
          <w:b/>
          <w:sz w:val="32"/>
          <w:szCs w:val="32"/>
          <w:lang w:val="en-GB"/>
        </w:rPr>
        <w:br w:type="page"/>
      </w:r>
    </w:p>
    <w:p w14:paraId="535B7FD5" w14:textId="77777777" w:rsidR="004138AE" w:rsidRPr="00394193" w:rsidRDefault="004138AE" w:rsidP="004138AE">
      <w:pPr>
        <w:spacing w:after="60"/>
        <w:rPr>
          <w:b/>
          <w:bCs/>
          <w:sz w:val="32"/>
          <w:szCs w:val="32"/>
        </w:rPr>
      </w:pPr>
      <w:r>
        <w:rPr>
          <w:b/>
          <w:bCs/>
          <w:sz w:val="32"/>
          <w:szCs w:val="32"/>
        </w:rPr>
        <w:t>List of Figures</w:t>
      </w:r>
    </w:p>
    <w:p w14:paraId="15888345" w14:textId="47706AEF" w:rsidR="00E94F53" w:rsidRPr="00E94F53" w:rsidRDefault="004138AE">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r>
        <w:fldChar w:fldCharType="begin"/>
        <w:instrText xml:space="preserve"> TOC \h \z \c "Figure" </w:instrText>
        <w:fldChar w:fldCharType="separate"/>
      </w:r>
      <w:hyperlink w:anchor="_Toc223276156" w:history="1">
        <w:r>
          <w:rPr>
            <w:rStyle w:val="Hyperlink"/>
            <w:noProof/>
          </w:rPr>
          <w:t>Figure 1: Monthly Average Log Turnover by Group</w:t>
        </w:r>
        <w:r>
          <w:rPr>
            <w:noProof/>
            <w:webHidden/>
          </w:rPr>
          <w:tab/>
          <w:fldChar w:fldCharType="begin"/>
          <w:instrText xml:space="preserve"> PAGEREF _Toc223276156 \h </w:instrText>
          <w:fldChar w:fldCharType="separate"/>
          <w:t>18</w:t>
          <w:fldChar w:fldCharType="end"/>
        </w:r>
      </w:hyperlink>
    </w:p>
    <w:p w14:paraId="3120A045" w14:textId="62167619"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57" w:history="1">
        <w:r>
          <w:rPr>
            <w:rStyle w:val="Hyperlink"/>
            <w:noProof/>
          </w:rPr>
          <w:t xml:space="preserve">Figure 2: Paralle Trends </w:t>
        </w:r>
        <w:r>
          <w:rPr>
            <w:rStyle w:val="Hyperlink"/>
            <w:rFonts w:eastAsia="Aptos"/>
            <w:noProof/>
            <w:lang w:val="en-GB"/>
          </w:rPr>
          <w:t>— Pre-Treatment Period</w:t>
        </w:r>
        <w:r>
          <w:rPr>
            <w:noProof/>
            <w:webHidden/>
          </w:rPr>
          <w:tab/>
          <w:fldChar w:fldCharType="begin"/>
          <w:instrText xml:space="preserve"> PAGEREF _Toc223276157 \h </w:instrText>
          <w:fldChar w:fldCharType="separate"/>
          <w:t>18</w:t>
          <w:fldChar w:fldCharType="end"/>
        </w:r>
      </w:hyperlink>
    </w:p>
    <w:p w14:paraId="4BB1455E" w14:textId="0CF1E618"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58" w:history="1">
        <w:r>
          <w:rPr>
            <w:rStyle w:val="Hyperlink"/>
            <w:noProof/>
          </w:rPr>
          <w:t>Figure 3: Mean Log Turnover by Group and Period</w:t>
        </w:r>
        <w:r>
          <w:rPr>
            <w:noProof/>
            <w:webHidden/>
          </w:rPr>
          <w:tab/>
          <w:fldChar w:fldCharType="begin"/>
          <w:instrText xml:space="preserve"> PAGEREF _Toc223276158 \h </w:instrText>
          <w:fldChar w:fldCharType="separate"/>
          <w:t>19</w:t>
          <w:fldChar w:fldCharType="end"/>
        </w:r>
      </w:hyperlink>
    </w:p>
    <w:p w14:paraId="6ABEF9DE" w14:textId="37EC2BDA"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59" w:history="1">
        <w:r>
          <w:rPr>
            <w:rStyle w:val="Hyperlink"/>
            <w:noProof/>
          </w:rPr>
          <w:t>Figure 4: Pre-Treatment Spread Distrubtion by Group</w:t>
        </w:r>
        <w:r>
          <w:rPr>
            <w:noProof/>
            <w:webHidden/>
          </w:rPr>
          <w:tab/>
          <w:fldChar w:fldCharType="begin"/>
          <w:instrText xml:space="preserve"> PAGEREF _Toc223276159 \h </w:instrText>
          <w:fldChar w:fldCharType="separate"/>
          <w:t>19</w:t>
          <w:fldChar w:fldCharType="end"/>
        </w:r>
      </w:hyperlink>
    </w:p>
    <w:p w14:paraId="3B84A7DE" w14:textId="13EFD10D"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60" w:history="1">
        <w:r>
          <w:rPr>
            <w:rStyle w:val="Hyperlink"/>
            <w:noProof/>
          </w:rPr>
          <w:t>Figure 5: Binding Constraint Heterogeneity</w:t>
        </w:r>
        <w:r>
          <w:rPr>
            <w:noProof/>
            <w:webHidden/>
          </w:rPr>
          <w:tab/>
          <w:fldChar w:fldCharType="begin"/>
          <w:instrText xml:space="preserve"> PAGEREF _Toc223276160 \h </w:instrText>
          <w:fldChar w:fldCharType="separate"/>
          <w:t>20</w:t>
          <w:fldChar w:fldCharType="end"/>
        </w:r>
      </w:hyperlink>
    </w:p>
    <w:p w14:paraId="6B28D0E7" w14:textId="3FD0DB21"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61" w:history="1">
        <w:r>
          <w:rPr>
            <w:rStyle w:val="Hyperlink"/>
            <w:noProof/>
          </w:rPr>
          <w:t xml:space="preserve">Figure 6: Log Turnover Distribution </w:t>
        </w:r>
        <w:r>
          <w:rPr>
            <w:rStyle w:val="Hyperlink"/>
            <w:rFonts w:eastAsia="Aptos"/>
            <w:noProof/>
            <w:lang w:val="en-GB"/>
          </w:rPr>
          <w:t>— Pre vs. During Pilot</w:t>
        </w:r>
        <w:r>
          <w:rPr>
            <w:noProof/>
            <w:webHidden/>
          </w:rPr>
          <w:tab/>
          <w:fldChar w:fldCharType="begin"/>
          <w:instrText xml:space="preserve"> PAGEREF _Toc223276161 \h </w:instrText>
          <w:fldChar w:fldCharType="separate"/>
          <w:t>20</w:t>
          <w:fldChar w:fldCharType="end"/>
        </w:r>
      </w:hyperlink>
    </w:p>
    <w:p w14:paraId="17E32548" w14:textId="4802B695"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62" w:history="1">
        <w:r>
          <w:rPr>
            <w:rStyle w:val="Hyperlink"/>
            <w:noProof/>
          </w:rPr>
          <w:t>Figure 7: Average Treatment Effects (H1 Model)</w:t>
        </w:r>
        <w:r>
          <w:rPr>
            <w:noProof/>
            <w:webHidden/>
          </w:rPr>
          <w:tab/>
          <w:fldChar w:fldCharType="begin"/>
          <w:instrText xml:space="preserve"> PAGEREF _Toc223276162 \h </w:instrText>
          <w:fldChar w:fldCharType="separate"/>
          <w:t>21</w:t>
          <w:fldChar w:fldCharType="end"/>
        </w:r>
      </w:hyperlink>
    </w:p>
    <w:p w14:paraId="0019FC46" w14:textId="03DB7E22"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163" w:history="1">
        <w:r>
          <w:rPr>
            <w:rStyle w:val="Hyperlink"/>
            <w:noProof/>
          </w:rPr>
          <w:t>Figure 8: Heterogeneous Treatment Effects (H2 Model)</w:t>
        </w:r>
        <w:r>
          <w:rPr>
            <w:noProof/>
            <w:webHidden/>
          </w:rPr>
          <w:tab/>
          <w:fldChar w:fldCharType="begin"/>
          <w:instrText xml:space="preserve"> PAGEREF _Toc223276163 \h </w:instrText>
          <w:fldChar w:fldCharType="separate"/>
          <w:t>21</w:t>
          <w:fldChar w:fldCharType="end"/>
        </w:r>
      </w:hyperlink>
    </w:p>
    <w:p w14:paraId="3343EC4E" w14:textId="336A37DE" w:rsidR="5FFDB27A" w:rsidRDefault="004138AE" w:rsidP="00E94F53">
      <w:pPr>
        <w:spacing w:after="60" w:line="360" w:lineRule="auto"/>
        <w:rPr>
          <w:rFonts w:ascii="Times New Roman" w:hAnsi="Times New Roman" w:cs="Times New Roman"/>
          <w:lang w:val="en-GB"/>
        </w:rPr>
      </w:pPr>
      <w:r>
        <w:fldChar w:fldCharType="end"/>
      </w:r>
    </w:p>
    <w:p w14:paraId="1CED89F0" w14:textId="41B8B0B7" w:rsidR="009665B7" w:rsidRDefault="00C45BB6" w:rsidP="00F94EB1">
      <w:pPr>
        <w:spacing w:after="60" w:line="360" w:lineRule="auto"/>
        <w:rPr>
          <w:rFonts w:ascii="Times New Roman" w:hAnsi="Times New Roman" w:cs="Times New Roman"/>
          <w:b/>
          <w:sz w:val="32"/>
          <w:szCs w:val="32"/>
          <w:lang w:val="en-GB"/>
        </w:rPr>
      </w:pPr>
      <w:r>
        <w:rPr>
          <w:rFonts w:ascii="Times New Roman" w:hAnsi="Times New Roman" w:cs="Times New Roman"/>
          <w:b/>
          <w:sz w:val="32"/>
          <w:szCs w:val="32"/>
          <w:lang w:val="en-GB"/>
        </w:rPr>
        <w:t>List of Tables</w:t>
      </w:r>
    </w:p>
    <w:p w14:paraId="45841754" w14:textId="30D66437" w:rsidR="00E94F53" w:rsidRPr="00E94F53" w:rsidRDefault="0051344C">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r>
        <w:fldChar w:fldCharType="begin"/>
        <w:instrText xml:space="preserve"> TOC \h \z \c "Table" </w:instrText>
        <w:fldChar w:fldCharType="separate"/>
      </w:r>
      <w:hyperlink w:anchor="_Toc223276214" w:history="1">
        <w:r>
          <w:rPr>
            <w:rStyle w:val="Hyperlink"/>
            <w:noProof/>
          </w:rPr>
          <w:t>Table 1</w:t>
        </w:r>
        <w:r>
          <w:rPr>
            <w:rStyle w:val="Hyperlink"/>
            <w:rFonts w:eastAsia="Aptos"/>
            <w:noProof/>
            <w:lang w:val="en-GB"/>
          </w:rPr>
          <w:t>: Pre-Treatment Summary Statistics</w:t>
        </w:r>
        <w:r>
          <w:rPr>
            <w:noProof/>
            <w:webHidden/>
          </w:rPr>
          <w:tab/>
          <w:fldChar w:fldCharType="begin"/>
          <w:instrText xml:space="preserve"> PAGEREF _Toc223276214 \h </w:instrText>
          <w:fldChar w:fldCharType="separate"/>
          <w:t>12</w:t>
          <w:fldChar w:fldCharType="end"/>
        </w:r>
      </w:hyperlink>
    </w:p>
    <w:p w14:paraId="777FD624" w14:textId="4E1D97D5" w:rsidR="00E94F53" w:rsidRPr="00E94F53" w:rsidRDefault="00E94F53">
      <w:pPr>
        <w:pStyle w:val="TableofFigures"/>
        <w:tabs>
          <w:tab w:val="right" w:leader="dot" w:pos="9016"/>
        </w:tabs>
        <w:rPr>
          <w:rFonts w:asciiTheme="minorHAnsi" w:eastAsiaTheme="minorEastAsia" w:hAnsiTheme="minorHAnsi" w:cstheme="minorBidi"/>
          <w:noProof/>
          <w:spacing w:val="0"/>
          <w:kern w:val="2"/>
          <w:lang w:eastAsia="en-US"/>
          <w14:ligatures w14:val="standardContextual"/>
        </w:rPr>
      </w:pPr>
      <w:hyperlink w:anchor="_Toc223276215" w:history="1">
        <w:r>
          <w:rPr>
            <w:rStyle w:val="Hyperlink"/>
            <w:noProof/>
          </w:rPr>
          <w:t>Table 2</w:t>
        </w:r>
        <w:r>
          <w:rPr>
            <w:rStyle w:val="Hyperlink"/>
            <w:rFonts w:eastAsia="Aptos"/>
            <w:noProof/>
            <w:lang w:val="en-GB"/>
          </w:rPr>
          <w:t>: Impact of the Tick Size Increase on Trading Turnover</w:t>
        </w:r>
        <w:r>
          <w:rPr>
            <w:noProof/>
            <w:webHidden/>
          </w:rPr>
          <w:tab/>
          <w:fldChar w:fldCharType="begin"/>
          <w:instrText xml:space="preserve"> PAGEREF _Toc223276215 \h </w:instrText>
          <w:fldChar w:fldCharType="separate"/>
          <w:t>13</w:t>
          <w:fldChar w:fldCharType="end"/>
        </w:r>
      </w:hyperlink>
    </w:p>
    <w:p w14:paraId="1B6C1B39" w14:textId="7E47211B" w:rsidR="001D670D" w:rsidRPr="003702E2" w:rsidRDefault="0051344C" w:rsidP="00F94EB1">
      <w:pPr>
        <w:spacing w:after="60" w:line="360" w:lineRule="auto"/>
        <w:rPr>
          <w:rFonts w:ascii="Times New Roman" w:eastAsia="Times New Roman" w:hAnsi="Times New Roman" w:cs="Times New Roman"/>
          <w:spacing w:val="-2"/>
          <w:lang w:val="en-GB" w:eastAsia="de-DE"/>
        </w:rPr>
      </w:pPr>
      <w:r>
        <w:fldChar w:fldCharType="end"/>
      </w:r>
    </w:p>
    <w:p w14:paraId="4B25786A" w14:textId="7A74248F" w:rsidR="00E537C5" w:rsidRPr="0071219E" w:rsidRDefault="00781992" w:rsidP="00F94EB1">
      <w:pPr>
        <w:spacing w:after="60" w:line="360" w:lineRule="auto"/>
        <w:rPr>
          <w:rFonts w:ascii="Times New Roman" w:hAnsi="Times New Roman" w:cs="Times New Roman"/>
          <w:b/>
          <w:sz w:val="32"/>
          <w:szCs w:val="32"/>
          <w:lang w:val="en-GB"/>
        </w:rPr>
      </w:pPr>
      <w:r>
        <w:rPr>
          <w:rFonts w:ascii="Times New Roman" w:hAnsi="Times New Roman" w:cs="Times New Roman"/>
          <w:b/>
          <w:sz w:val="32"/>
          <w:szCs w:val="32"/>
          <w:lang w:val="en-GB"/>
        </w:rPr>
        <w:t>List of Abbreviations</w:t>
      </w:r>
    </w:p>
    <w:p w14:paraId="403E2EF1" w14:textId="49757093" w:rsidR="00E537C5" w:rsidRPr="00E537C5" w:rsidRDefault="00A109E5" w:rsidP="00E537C5">
      <w:pPr>
        <w:tabs>
          <w:tab w:val="left" w:pos="1640"/>
        </w:tabs>
        <w:rPr>
          <w:rFonts w:ascii="Times New Roman" w:hAnsi="Times New Roman" w:cs="Times New Roman"/>
          <w:lang w:val="en-US"/>
        </w:rPr>
      </w:pPr>
      <w:r>
        <w:rPr>
          <w:rFonts w:ascii="Times New Roman" w:hAnsi="Times New Roman" w:cs="Times New Roman"/>
          <w:lang w:val="en-US"/>
        </w:rPr>
        <w:t>CRSP</w:t>
        <w:tab/>
        <w:t>Center for Research in Security Prices</w:t>
      </w:r>
    </w:p>
    <w:p w14:paraId="655CDE54" w14:textId="4FA907B4" w:rsidR="00A109E5" w:rsidRPr="00E537C5" w:rsidRDefault="00A109E5" w:rsidP="00A109E5">
      <w:pPr>
        <w:tabs>
          <w:tab w:val="left" w:pos="1640"/>
        </w:tabs>
        <w:rPr>
          <w:rFonts w:ascii="Times New Roman" w:hAnsi="Times New Roman" w:cs="Times New Roman"/>
          <w:lang w:val="en-US"/>
        </w:rPr>
      </w:pPr>
      <w:r>
        <w:rPr>
          <w:rFonts w:ascii="Times New Roman" w:hAnsi="Times New Roman" w:cs="Times New Roman"/>
          <w:lang w:val="en-GB"/>
        </w:rPr>
        <w:t>DiD</w:t>
      </w:r>
      <w:r>
        <w:rPr>
          <w:rFonts w:ascii="Times New Roman" w:hAnsi="Times New Roman" w:cs="Times New Roman"/>
          <w:lang w:val="en-US"/>
        </w:rPr>
        <w:tab/>
      </w:r>
      <w:r>
        <w:rPr>
          <w:rFonts w:ascii="Times New Roman" w:hAnsi="Times New Roman" w:cs="Times New Roman"/>
          <w:lang w:val="en-GB"/>
        </w:rPr>
        <w:t>Difference-in-Differences</w:t>
      </w:r>
    </w:p>
    <w:p w14:paraId="54B5BF00" w14:textId="2E259601" w:rsidR="00A109E5" w:rsidRPr="00E537C5" w:rsidRDefault="00A109E5" w:rsidP="00A109E5">
      <w:pPr>
        <w:tabs>
          <w:tab w:val="left" w:pos="1640"/>
        </w:tabs>
        <w:rPr>
          <w:rFonts w:ascii="Times New Roman" w:hAnsi="Times New Roman" w:cs="Times New Roman"/>
          <w:lang w:val="en-US"/>
        </w:rPr>
      </w:pPr>
      <w:r>
        <w:rPr>
          <w:rFonts w:ascii="Times New Roman" w:hAnsi="Times New Roman" w:cs="Times New Roman"/>
          <w:lang w:val="en-GB"/>
        </w:rPr>
        <w:t>G1</w:t>
      </w:r>
      <w:r>
        <w:rPr>
          <w:rFonts w:ascii="Times New Roman" w:hAnsi="Times New Roman" w:cs="Times New Roman"/>
          <w:lang w:val="en-US"/>
        </w:rPr>
        <w:tab/>
        <w:t>Pilot Group 1</w:t>
      </w:r>
    </w:p>
    <w:p w14:paraId="18C69782" w14:textId="4CEDAB13" w:rsidR="00A109E5" w:rsidRPr="00E537C5" w:rsidRDefault="00A109E5" w:rsidP="00A109E5">
      <w:pPr>
        <w:tabs>
          <w:tab w:val="left" w:pos="1640"/>
        </w:tabs>
        <w:rPr>
          <w:rFonts w:ascii="Times New Roman" w:hAnsi="Times New Roman" w:cs="Times New Roman"/>
          <w:lang w:val="en-US"/>
        </w:rPr>
      </w:pPr>
      <w:r>
        <w:rPr>
          <w:rFonts w:ascii="Times New Roman" w:hAnsi="Times New Roman" w:cs="Times New Roman"/>
          <w:lang w:val="en-GB"/>
        </w:rPr>
        <w:t>G2</w:t>
      </w:r>
      <w:r>
        <w:rPr>
          <w:rFonts w:ascii="Times New Roman" w:hAnsi="Times New Roman" w:cs="Times New Roman"/>
          <w:lang w:val="en-US"/>
        </w:rPr>
        <w:tab/>
        <w:t>Pilot Group 2</w:t>
      </w:r>
    </w:p>
    <w:p w14:paraId="2024A221" w14:textId="52128B6F" w:rsidR="00A109E5" w:rsidRDefault="00A109E5" w:rsidP="00A109E5">
      <w:pPr>
        <w:tabs>
          <w:tab w:val="left" w:pos="1640"/>
        </w:tabs>
        <w:rPr>
          <w:rFonts w:ascii="Times New Roman" w:hAnsi="Times New Roman" w:cs="Times New Roman"/>
          <w:lang w:val="en-US"/>
        </w:rPr>
      </w:pPr>
      <w:r>
        <w:rPr>
          <w:rFonts w:ascii="Times New Roman" w:hAnsi="Times New Roman" w:cs="Times New Roman"/>
          <w:lang w:val="en-GB"/>
        </w:rPr>
        <w:t>G3</w:t>
      </w:r>
      <w:r>
        <w:rPr>
          <w:rFonts w:ascii="Times New Roman" w:hAnsi="Times New Roman" w:cs="Times New Roman"/>
          <w:lang w:val="en-US"/>
        </w:rPr>
        <w:tab/>
        <w:t>Pilot Group 3</w:t>
      </w:r>
    </w:p>
    <w:p w14:paraId="0D382786" w14:textId="3FCE78F2" w:rsidR="00266093" w:rsidRDefault="00266093" w:rsidP="00266093">
      <w:pPr>
        <w:tabs>
          <w:tab w:val="left" w:pos="1640"/>
        </w:tabs>
        <w:rPr>
          <w:rFonts w:ascii="Times New Roman" w:hAnsi="Times New Roman" w:cs="Times New Roman"/>
          <w:lang w:val="en-US"/>
        </w:rPr>
      </w:pPr>
      <w:r>
        <w:rPr>
          <w:rFonts w:ascii="Times New Roman" w:hAnsi="Times New Roman" w:cs="Times New Roman"/>
          <w:lang w:val="en-GB"/>
        </w:rPr>
        <w:t>H1</w:t>
      </w:r>
      <w:r>
        <w:rPr>
          <w:rFonts w:ascii="Times New Roman" w:hAnsi="Times New Roman" w:cs="Times New Roman"/>
          <w:lang w:val="en-US"/>
        </w:rPr>
        <w:tab/>
        <w:t>Hypothesis 1 (Average Treatment Effect)</w:t>
      </w:r>
    </w:p>
    <w:p w14:paraId="2F2B5A76" w14:textId="52FE503A" w:rsidR="00266093" w:rsidRDefault="00266093" w:rsidP="00266093">
      <w:pPr>
        <w:tabs>
          <w:tab w:val="left" w:pos="1640"/>
        </w:tabs>
        <w:rPr>
          <w:rFonts w:ascii="Times New Roman" w:hAnsi="Times New Roman" w:cs="Times New Roman"/>
          <w:lang w:val="en-US"/>
        </w:rPr>
      </w:pPr>
      <w:r>
        <w:rPr>
          <w:rFonts w:ascii="Times New Roman" w:hAnsi="Times New Roman" w:cs="Times New Roman"/>
          <w:lang w:val="en-GB"/>
        </w:rPr>
        <w:t>H2</w:t>
      </w:r>
      <w:r>
        <w:rPr>
          <w:rFonts w:ascii="Times New Roman" w:hAnsi="Times New Roman" w:cs="Times New Roman"/>
          <w:lang w:val="en-US"/>
        </w:rPr>
        <w:tab/>
        <w:t>Hypothesis 2 (Heterogeneous Treatment Effect)</w:t>
      </w:r>
    </w:p>
    <w:p w14:paraId="76CCE077" w14:textId="587DE9FB" w:rsidR="009B5024" w:rsidRDefault="009B5024" w:rsidP="009B5024">
      <w:pPr>
        <w:tabs>
          <w:tab w:val="left" w:pos="1640"/>
        </w:tabs>
        <w:rPr>
          <w:rFonts w:ascii="Times New Roman" w:hAnsi="Times New Roman" w:cs="Times New Roman"/>
          <w:lang w:val="en-US"/>
        </w:rPr>
      </w:pPr>
      <w:r>
        <w:rPr>
          <w:rFonts w:ascii="Times New Roman" w:hAnsi="Times New Roman" w:cs="Times New Roman"/>
          <w:lang w:val="en-GB"/>
        </w:rPr>
        <w:t>ITT</w:t>
      </w:r>
      <w:r>
        <w:rPr>
          <w:rFonts w:ascii="Times New Roman" w:hAnsi="Times New Roman" w:cs="Times New Roman"/>
          <w:lang w:val="en-US"/>
        </w:rPr>
        <w:tab/>
        <w:t>Intention-to-Treat</w:t>
      </w:r>
    </w:p>
    <w:p w14:paraId="413F3A44" w14:textId="44B203DA"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L_abs_ret</w:t>
        <w:tab/>
        <w:t>One-Day Lagged Absolute Return</w:t>
      </w:r>
    </w:p>
    <w:p w14:paraId="31AB18A6" w14:textId="396F1C8A"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Ln</w:t>
        <w:tab/>
        <w:t>Natural Logarithm</w:t>
      </w:r>
    </w:p>
    <w:p w14:paraId="0BDD58E5" w14:textId="54FB45F4"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PERMNO</w:t>
        <w:tab/>
        <w:t>Permanent Identification Number (CRSP Stock Identifier)</w:t>
      </w:r>
    </w:p>
    <w:p w14:paraId="5BE217C5" w14:textId="7503AC98"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SEC</w:t>
        <w:tab/>
        <w:t>Securities and Exchange Commission</w:t>
      </w:r>
    </w:p>
    <w:p w14:paraId="041949E3" w14:textId="33D630FF"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vol</w:t>
        <w:tab/>
        <w:t>Daily Share Volume</w:t>
      </w:r>
    </w:p>
    <w:p w14:paraId="5934323A" w14:textId="384B2409" w:rsidR="00D34FF9" w:rsidRPr="00D34FF9" w:rsidRDefault="00D34FF9" w:rsidP="00D34FF9">
      <w:pPr>
        <w:tabs>
          <w:tab w:val="left" w:pos="1640"/>
        </w:tabs>
        <w:rPr>
          <w:rFonts w:ascii="Times New Roman" w:hAnsi="Times New Roman" w:cs="Times New Roman"/>
          <w:lang w:val="en-GB"/>
        </w:rPr>
      </w:pPr>
      <w:r>
        <w:rPr>
          <w:rFonts w:ascii="Times New Roman" w:hAnsi="Times New Roman" w:cs="Times New Roman"/>
          <w:lang w:val="en-GB"/>
        </w:rPr>
        <w:t>shrout</w:t>
        <w:tab/>
        <w:t>Shares Outstanding</w:t>
      </w:r>
    </w:p>
    <w:p w14:paraId="702409DE" w14:textId="230D4629" w:rsidR="00135E7B" w:rsidRPr="00DB1616" w:rsidRDefault="00135E7B" w:rsidP="5FFDB27A">
      <w:pPr>
        <w:spacing w:before="120" w:after="60" w:line="360" w:lineRule="auto"/>
        <w:rPr>
          <w:rFonts w:ascii="Times New Roman" w:hAnsi="Times New Roman" w:cs="Times New Roman"/>
          <w:b/>
          <w:sz w:val="32"/>
          <w:szCs w:val="32"/>
          <w:lang w:val="en-GB"/>
        </w:rPr>
        <w:sectPr w:rsidR="00135E7B" w:rsidRPr="00DB1616" w:rsidSect="00F60593">
          <w:footerReference w:type="default" r:id="rId19"/>
          <w:pgSz w:w="11906" w:h="16838"/>
          <w:pgMar w:top="1440" w:right="1440" w:bottom="1440" w:left="1440" w:header="720" w:footer="720" w:gutter="0"/>
          <w:pgNumType w:fmt="upperRoman" w:start="1"/>
          <w:cols w:space="720"/>
          <w:docGrid w:linePitch="360"/>
        </w:sectPr>
      </w:pPr>
    </w:p>
    <w:p w14:paraId="4531F081" w14:textId="7284BEEE" w:rsidR="00E56AE9" w:rsidRPr="00CC1B6F" w:rsidRDefault="00EF6841" w:rsidP="00EC3CCC">
      <w:pPr>
        <w:pStyle w:val="Heading1"/>
        <w:numPr>
          <w:ilvl w:val="0"/>
          <w:numId w:val="37"/>
        </w:numPr>
        <w:spacing w:before="0" w:after="200"/>
        <w:rPr>
          <w:rFonts w:cs="Times New Roman"/>
          <w:lang w:val="en-GB"/>
        </w:rPr>
      </w:pPr>
      <w:bookmarkStart w:id="1" w:name="_Toc223276449"/>
      <w:r>
        <w:rPr>
          <w:rFonts w:cs="Times New Roman"/>
          <w:lang w:val="en-GB"/>
        </w:rPr>
        <w:t>Hypotheses Development</w:t>
      </w:r>
      <w:bookmarkEnd w:id="1"/>
    </w:p>
    <w:p w14:paraId="2AD8C3F6" w14:textId="77BF8BF6" w:rsidR="00B229DE" w:rsidRPr="00DB1616" w:rsidRDefault="00717CB8" w:rsidP="00B229DE">
      <w:pPr>
        <w:spacing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This section develops the theoretical framework guiding the empirical analysis of the SEC Tick Size Pilot Program. Building on market microstructure theory, testable predictions are formulated regarding the effect of an exogenous tick size increase </w:t>
      </w:r>
      <w:commentRangeStart w:id="2"/>
      <w:r>
        <w:rPr>
          <w:rFonts w:ascii="Times New Roman" w:eastAsia="Aptos" w:hAnsi="Times New Roman" w:cs="Times New Roman"/>
          <w:sz w:val="22"/>
          <w:szCs w:val="22"/>
          <w:lang w:val="en-GB"/>
        </w:rPr>
        <w:t xml:space="preserve">on trading volume. </w:t>
      </w:r>
      <w:commentRangeEnd w:id="2"/>
      <w:r>
        <w:rPr>
          <w:rStyle w:val="CommentReference"/>
          <w:rFonts w:ascii="Times New Roman" w:eastAsia="Aptos" w:hAnsi="Times New Roman" w:cs="Times New Roman"/>
          <w:sz w:val="22"/>
          <w:szCs w:val="22"/>
          <w:lang w:val="en-GB"/>
        </w:rPr>
        <w:commentReference w:id="2"/>
      </w:r>
      <w:r>
        <w:rPr>
          <w:rFonts w:ascii="Times New Roman" w:eastAsia="Aptos" w:hAnsi="Times New Roman" w:cs="Times New Roman"/>
          <w:sz w:val="22"/>
          <w:szCs w:val="22"/>
          <w:lang w:val="en-GB"/>
        </w:rPr>
        <w:t>In the empirical analysis, trading activity is measured by daily share turnover, defined as share volume scaled by shares outstanding. The analysis considers both the average treatment effect and potential heterogeneity arising from pre-treatment spread differences.</w:t>
      </w:r>
    </w:p>
    <w:p w14:paraId="29176FCF" w14:textId="02CA8C54" w:rsidR="006652C3" w:rsidRPr="006C7466" w:rsidRDefault="006652C3" w:rsidP="00867C5C">
      <w:pPr>
        <w:pStyle w:val="Heading2"/>
        <w:numPr>
          <w:ilvl w:val="1"/>
          <w:numId w:val="37"/>
        </w:numPr>
        <w:spacing w:after="240"/>
        <w:rPr>
          <w:rFonts w:ascii="Times New Roman" w:hAnsi="Times New Roman" w:cs="Times New Roman"/>
        </w:rPr>
      </w:pPr>
      <w:bookmarkStart w:id="3" w:name="_Toc223276450"/>
      <w:r>
        <w:rPr>
          <w:rFonts w:ascii="Times New Roman" w:hAnsi="Times New Roman" w:cs="Times New Roman"/>
        </w:rPr>
        <w:t>Research Question</w:t>
      </w:r>
      <w:bookmarkEnd w:id="3"/>
    </w:p>
    <w:p w14:paraId="0239528C" w14:textId="37793A03" w:rsidR="006652C3" w:rsidRPr="00DB1616" w:rsidRDefault="00ED2B38" w:rsidP="00000CF0">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This paper examines the causal effect of a minimum tick size increase on equity trading volume. The SEC Tick Size Pilot Program, implemented over the course of October 2016, raised the minimum quoting increment from $0.01 to $0.05 for </w:t>
      </w:r>
      <w:commentRangeStart w:id="4"/>
      <w:commentRangeStart w:id="5"/>
      <w:r>
        <w:rPr>
          <w:rFonts w:ascii="Times New Roman" w:eastAsia="Aptos" w:hAnsi="Times New Roman" w:cs="Times New Roman"/>
          <w:sz w:val="22"/>
          <w:szCs w:val="22"/>
          <w:lang w:val="en-GB"/>
        </w:rPr>
        <w:t>approximately 1,200 randomly selected small-capitalization stocks</w:t>
      </w:r>
      <w:commentRangeEnd w:id="4"/>
      <w:r>
        <w:rPr>
          <w:rStyle w:val="CommentReference"/>
          <w:rFonts w:ascii="Times New Roman" w:eastAsia="Aptos" w:hAnsi="Times New Roman" w:cs="Times New Roman"/>
          <w:sz w:val="22"/>
          <w:szCs w:val="22"/>
          <w:lang w:val="en-GB"/>
        </w:rPr>
        <w:commentReference w:id="4"/>
      </w:r>
      <w:commentRangeEnd w:id="5"/>
      <w:r>
        <w:rPr>
          <w:rStyle w:val="CommentReference"/>
          <w:rFonts w:ascii="Times New Roman" w:eastAsia="Aptos" w:hAnsi="Times New Roman" w:cs="Times New Roman"/>
          <w:sz w:val="22"/>
          <w:szCs w:val="22"/>
          <w:lang w:val="en-GB"/>
        </w:rPr>
        <w:commentReference w:id="5"/>
      </w:r>
      <w:r>
        <w:rPr>
          <w:rFonts w:ascii="Times New Roman" w:eastAsia="Aptos" w:hAnsi="Times New Roman" w:cs="Times New Roman"/>
          <w:sz w:val="22"/>
          <w:szCs w:val="22"/>
          <w:lang w:val="en-GB"/>
        </w:rPr>
        <w:t>, while a control group continued trading under the existing $0.01 regime (Albuquerque et al., 2020). Treated stocks were assigned to three pilot groups. Group 1 stocks were required to quote in $0.05 increments but could continue to execute trades at finer increments. Group 2 stocks faced both the $0.05 quoting and trading requirement, eliminating sub-increment execution. Group 3 stocks were subject to all requirements imposed on Group 2 and additionally to a trade-at prohibition, which prevents dark venues from executing orders at the protected displayed quote unless they offer a price improvement of at least $0.05, raising the cost of off-exchange trading. The stratified random assignment provides a natural experiment supporting causal identification within a difference-in-differences framework. Two central research questions are examined. First, does the tick size increase reduce trading volume across treatment groups relative to the control group, and do the effects differ across groups with escalating regulatory requirements? Second, is the decline in trading activity concentrated among stocks whose pre-treatment spreads were narrower than $0.05, meaning that the new tick size forces their spreads to widen?</w:t>
      </w:r>
    </w:p>
    <w:p w14:paraId="4019DF3D" w14:textId="74803D56" w:rsidR="007D7C44" w:rsidRPr="00EA32E2" w:rsidRDefault="007D7C44" w:rsidP="00867C5C">
      <w:pPr>
        <w:pStyle w:val="Heading2"/>
        <w:spacing w:after="240"/>
        <w:rPr>
          <w:rFonts w:ascii="Times New Roman" w:hAnsi="Times New Roman" w:cs="Times New Roman"/>
          <w:lang w:val="en-GB"/>
        </w:rPr>
      </w:pPr>
      <w:bookmarkStart w:id="6" w:name="_Toc223276451"/>
      <w:r>
        <w:rPr>
          <w:rFonts w:ascii="Times New Roman" w:hAnsi="Times New Roman" w:cs="Times New Roman"/>
          <w:lang w:val="en-GB"/>
        </w:rPr>
        <w:t>Economic Framework</w:t>
      </w:r>
      <w:bookmarkEnd w:id="6"/>
    </w:p>
    <w:p w14:paraId="571AA749" w14:textId="77777777" w:rsidR="007D7C44" w:rsidRPr="00DB1616" w:rsidRDefault="007D7C44" w:rsidP="00867C5C">
      <w:pPr>
        <w:spacing w:after="24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following premises underpin our hypotheses.</w:t>
      </w:r>
    </w:p>
    <w:p w14:paraId="2701246E" w14:textId="49699BE4"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P1. Trading volume reflects investors’ willingness to transact and is negatively related to transaction costs. Higher bid-ask spreads reduce expected net gains from trade and eliminate marginal transactions, lowering turnover (Amihud &amp; Mendelson, 1986; Chordia et al., 2001).</w:t>
      </w:r>
    </w:p>
    <w:p w14:paraId="1F10BB81" w14:textId="6324E97E"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P2. The minimum tick size imposes a regulatory lower bound on quoted spreads. Because prices cannot be improved by less than one tick, a wider tick restricts price competition in the limit order book and prevents spreads from falling below the floor (Harris, 1994). Evidence from decimalization shows that reducing the tick compresses spreads, confirming that it can bind in equilibrium (Bessembinder, 2003).</w:t>
      </w:r>
    </w:p>
    <w:p w14:paraId="7EECDEEC" w14:textId="11C5EE14"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P3. Investors trade only when expected gains exceed round-trip transaction costs. An increase in the spread floor therefore renders previously profitable trades unviable, reducing observed trading volume.</w:t>
      </w:r>
    </w:p>
    <w:p w14:paraId="53821F28" w14:textId="5EFFE6B2"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P4. The $0.05 minimum tick binds only for stocks whose pre-treatment spreads were below $0.05. For these stocks, the regulation forces spreads above prior equilibrium levels; for stocks already quoting above $0.05, the constraint is non-binding and spreads remain unchanged (Albuquerque et al., 2020).</w:t>
      </w:r>
    </w:p>
    <w:p w14:paraId="3FC74301"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following assumptions are required for causal interpretation.</w:t>
      </w:r>
    </w:p>
    <w:p w14:paraId="0711A815"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A1 (Exogeneity). Treatment assignment was determined by the SEC’s stratified random sampling procedure and is therefore exogenous to contemporaneous firm fundamentals. Balance tests in Albuquerque et al. (2020) confirm comparability between treated and control stocks prior to implementation. Firm fixed effects absorb any remaining time-invariant heterogeneity.</w:t>
      </w:r>
    </w:p>
    <w:p w14:paraId="36D9A6E6" w14:textId="77777777" w:rsidR="007D7C44" w:rsidRPr="00DB1616" w:rsidRDefault="007D7C44"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A2 (Parallel Trends). In the absence of the pilot, treated and control stocks would have followed parallel trends in trading volume. The difference-in-differences estimator attributes post-pilot divergence to the treatment; we assess this assumption through pre-trend tests.</w:t>
      </w:r>
    </w:p>
    <w:p w14:paraId="0D83438C" w14:textId="7C9F00BB" w:rsidR="00CE03BA" w:rsidRPr="00CE03BA" w:rsidRDefault="00CE03BA"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A3 (Predetermined Bindingness). Pre-treatment average quoted spreads provide a valid proxy for whether the $0.05 floor is binding and are free of anticipation effects. Any measurement error would attenuate heterogeneous treatment estimates toward zero, making significant effects conservative.</w:t>
      </w:r>
    </w:p>
    <w:p w14:paraId="1EA363F8" w14:textId="1ADE4E1D" w:rsidR="00A50A9D" w:rsidRPr="00EA32E2" w:rsidRDefault="00A50A9D" w:rsidP="00867C5C">
      <w:pPr>
        <w:pStyle w:val="Heading2"/>
        <w:spacing w:after="240"/>
        <w:rPr>
          <w:rFonts w:ascii="Times New Roman" w:hAnsi="Times New Roman" w:cs="Times New Roman"/>
          <w:lang w:val="en-GB"/>
        </w:rPr>
      </w:pPr>
      <w:bookmarkStart w:id="7" w:name="_Toc223276452"/>
      <w:r>
        <w:rPr>
          <w:rFonts w:ascii="Times New Roman" w:hAnsi="Times New Roman" w:cs="Times New Roman"/>
          <w:lang w:val="en-GB"/>
        </w:rPr>
        <w:t>Hypothesis 1: Average Treatment Effect</w:t>
      </w:r>
      <w:bookmarkEnd w:id="7"/>
      <w:r>
        <w:rPr>
          <w:rFonts w:ascii="Times New Roman" w:hAnsi="Times New Roman" w:cs="Times New Roman"/>
          <w:lang w:val="en-GB"/>
        </w:rPr>
        <w:t xml:space="preserve"> </w:t>
      </w:r>
    </w:p>
    <w:p w14:paraId="7D3ED59D" w14:textId="3A5ADD7E" w:rsidR="00A50A9D" w:rsidRPr="00DB1616" w:rsidRDefault="00A50A9D"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If the friction channel dominates the liquidity-supply channel, treated stocks should experience lower trading volume relative to control stocks in the post-pilot period, despite the intended benefits of greater market maker participation. </w:t>
      </w:r>
    </w:p>
    <w:p w14:paraId="6E95F4E6" w14:textId="02148CA2" w:rsidR="00A50A9D" w:rsidRPr="00DB1616" w:rsidRDefault="00A50A9D"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H1: The regulatory increase in the minimum tick size from $0.01 to $0.05 reduces trading volume for treated firms relative to control firms. </w:t>
      </w:r>
    </w:p>
    <w:p w14:paraId="09E107FB" w14:textId="124FF1C7" w:rsidR="00A50A9D" w:rsidRPr="00DB1616" w:rsidRDefault="00A50A9D"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corresponding null hypothesis is that the tick size increase does not affect trading volume. </w:t>
      </w:r>
    </w:p>
    <w:p w14:paraId="41CFF17B" w14:textId="60C674FA" w:rsidR="00000CF0" w:rsidRDefault="00A50A9D" w:rsidP="00867C5C">
      <w:pPr>
        <w:pStyle w:val="Heading2"/>
        <w:spacing w:after="240"/>
        <w:rPr>
          <w:rFonts w:ascii="Times New Roman" w:hAnsi="Times New Roman" w:cs="Times New Roman"/>
          <w:lang w:val="en-GB"/>
        </w:rPr>
      </w:pPr>
      <w:bookmarkStart w:id="8" w:name="_Toc223276453"/>
      <w:r>
        <w:rPr>
          <w:rFonts w:ascii="Times New Roman" w:hAnsi="Times New Roman" w:cs="Times New Roman"/>
          <w:lang w:val="en-GB"/>
        </w:rPr>
        <w:t>Hypothesis 2: Heterogeneous Effects by Pre-Pilot Spread Narrowness</w:t>
      </w:r>
      <w:bookmarkEnd w:id="8"/>
    </w:p>
    <w:p w14:paraId="10353EEF" w14:textId="24B369A1" w:rsidR="00A50A9D" w:rsidRPr="00DB1616" w:rsidRDefault="004F5DB6"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reduction in volume should not be uniform across treated stocks. Stocks that traded with narrow spreads before the pilot, that is, well below $0.05, are most exposed to the regulatory change because the new minimum tick forces a larger increase in transaction costs. Stocks already trading with spreads at or above $0.05 are largely unaffected, since the new tick does not require spreads to widen. </w:t>
      </w:r>
    </w:p>
    <w:p w14:paraId="65BC0ABF" w14:textId="5369ECDA" w:rsidR="00A50A9D" w:rsidRPr="00DB1616" w:rsidRDefault="00A50A9D" w:rsidP="000A6384">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H2: The negative effect of the tick size increase on trading volume is larger for stocks whose pre-pilot quoted spreads were below $0.05</w:t>
      </w:r>
      <w:commentRangeStart w:id="9"/>
      <w:commentRangeStart w:id="10"/>
      <w:commentRangeEnd w:id="9"/>
      <w:r>
        <w:rPr>
          <w:rStyle w:val="CommentReference"/>
          <w:rFonts w:ascii="Times New Roman" w:eastAsia="Aptos" w:hAnsi="Times New Roman" w:cs="Times New Roman"/>
          <w:sz w:val="22"/>
          <w:szCs w:val="22"/>
          <w:lang w:val="en-GB"/>
        </w:rPr>
        <w:commentReference w:id="9"/>
      </w:r>
      <w:commentRangeEnd w:id="10"/>
      <w:r>
        <w:rPr>
          <w:rStyle w:val="CommentReference"/>
          <w:rFonts w:ascii="Times New Roman" w:eastAsia="Aptos" w:hAnsi="Times New Roman" w:cs="Times New Roman"/>
          <w:sz w:val="22"/>
          <w:szCs w:val="22"/>
          <w:lang w:val="en-GB"/>
        </w:rPr>
        <w:commentReference w:id="10"/>
      </w:r>
      <w:r>
        <w:rPr>
          <w:rFonts w:ascii="Times New Roman" w:eastAsia="Aptos" w:hAnsi="Times New Roman" w:cs="Times New Roman"/>
          <w:sz w:val="22"/>
          <w:szCs w:val="22"/>
          <w:lang w:val="en-GB"/>
        </w:rPr>
        <w:t>.</w:t>
      </w:r>
    </w:p>
    <w:p w14:paraId="287EA5CD" w14:textId="37675A95" w:rsidR="007D7C44" w:rsidRPr="00DB1616" w:rsidRDefault="00A50A9D" w:rsidP="001A7B2D">
      <w:pPr>
        <w:spacing w:after="120" w:line="360" w:lineRule="auto"/>
        <w:jc w:val="both"/>
        <w:rPr>
          <w:rFonts w:ascii="Times New Roman" w:eastAsia="Aptos" w:hAnsi="Times New Roman" w:cs="Times New Roman"/>
          <w:lang w:val="en-GB"/>
        </w:rPr>
      </w:pPr>
      <w:r>
        <w:rPr>
          <w:rFonts w:ascii="Times New Roman" w:eastAsia="Aptos" w:hAnsi="Times New Roman" w:cs="Times New Roman"/>
          <w:sz w:val="22"/>
          <w:szCs w:val="22"/>
          <w:lang w:val="en-GB"/>
        </w:rPr>
        <w:t>The corresponding null hypothesis is that the effect of the tick size increase on volume does not vary with pre-pilot spread narrowness.</w:t>
      </w:r>
      <w:r>
        <w:rPr>
          <w:rFonts w:ascii="Times New Roman" w:eastAsia="Aptos" w:hAnsi="Times New Roman" w:cs="Times New Roman"/>
          <w:lang w:val="en-GB"/>
        </w:rPr>
        <w:br w:type="page"/>
      </w:r>
    </w:p>
    <w:p w14:paraId="022F04D8" w14:textId="77777777" w:rsidR="00FC4CE5" w:rsidRPr="00211EB3" w:rsidRDefault="00FC4CE5" w:rsidP="00211EB3">
      <w:pPr>
        <w:pStyle w:val="Heading1"/>
        <w:numPr>
          <w:ilvl w:val="0"/>
          <w:numId w:val="37"/>
        </w:numPr>
        <w:spacing w:before="0" w:after="200"/>
        <w:rPr>
          <w:rFonts w:cs="Times New Roman"/>
          <w:lang w:val="en-GB"/>
        </w:rPr>
      </w:pPr>
      <w:bookmarkStart w:id="11" w:name="_Toc223276454"/>
      <w:r>
        <w:rPr>
          <w:rFonts w:cs="Times New Roman"/>
          <w:lang w:val="en-GB"/>
        </w:rPr>
        <w:t>Empirical Methodology</w:t>
      </w:r>
      <w:bookmarkEnd w:id="11"/>
    </w:p>
    <w:p w14:paraId="783F32DC" w14:textId="06EE1E06" w:rsidR="003F1841" w:rsidRPr="003F1841" w:rsidRDefault="6C264CB3" w:rsidP="003F1841">
      <w:pPr>
        <w:spacing w:after="120" w:line="360" w:lineRule="auto"/>
        <w:jc w:val="both"/>
        <w:rPr>
          <w:rFonts w:ascii="Times New Roman" w:eastAsia="Aptos" w:hAnsi="Times New Roman" w:cs="Times New Roman"/>
          <w:sz w:val="22"/>
          <w:szCs w:val="22"/>
          <w:lang w:val="en-GB"/>
        </w:rPr>
      </w:pPr>
      <w:commentRangeStart w:id="12"/>
      <w:r>
        <w:rPr>
          <w:rFonts w:ascii="Times New Roman" w:eastAsia="Aptos" w:hAnsi="Times New Roman" w:cs="Times New Roman"/>
          <w:sz w:val="22"/>
          <w:szCs w:val="22"/>
          <w:lang w:val="en-GB"/>
        </w:rPr>
        <w:t>This section presents the empirical strategy used to estimate the causal impact of the SEC Tick Size Pilot Program on trading activity. The analysis employs a difference-in-differences framework with firm and time fixed effects to identify both the average treatment effect and heterogeneous effects based on pre-treatment spread constraints.</w:t>
      </w:r>
      <w:commentRangeEnd w:id="12"/>
      <w:r>
        <w:rPr>
          <w:rStyle w:val="CommentReference"/>
          <w:rFonts w:ascii="Times New Roman" w:eastAsia="Aptos" w:hAnsi="Times New Roman" w:cs="Times New Roman"/>
          <w:sz w:val="22"/>
          <w:szCs w:val="22"/>
          <w:lang w:val="en-GB"/>
        </w:rPr>
        <w:commentReference w:id="12"/>
      </w:r>
    </w:p>
    <w:p w14:paraId="65407BEB" w14:textId="17AFA3FA" w:rsidR="00C15182" w:rsidRPr="006C7466" w:rsidRDefault="00587471" w:rsidP="003F1841">
      <w:pPr>
        <w:pStyle w:val="Heading2"/>
        <w:numPr>
          <w:ilvl w:val="1"/>
          <w:numId w:val="37"/>
        </w:numPr>
        <w:rPr>
          <w:rFonts w:ascii="Times New Roman" w:hAnsi="Times New Roman" w:cs="Times New Roman"/>
        </w:rPr>
      </w:pPr>
      <w:bookmarkStart w:id="13" w:name="_Toc223276455"/>
      <w:r>
        <w:rPr>
          <w:rFonts w:ascii="Times New Roman" w:hAnsi="Times New Roman" w:cs="Times New Roman"/>
        </w:rPr>
        <w:t>Identification Strategy</w:t>
      </w:r>
      <w:bookmarkEnd w:id="13"/>
    </w:p>
    <w:p w14:paraId="1E13B539" w14:textId="561E562A" w:rsidR="007026FA" w:rsidRDefault="009E7821" w:rsidP="003E6F7C">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causal effect of the minimum tick size increase on trading volume is identified using a difference-in-differences framework, exploiting the exogenous variation generated by the SEC's stratified random assignment of eligible small-capitalization stocks into three treatment groups and a control group (Albuquerque et al., 2020). Because assignment was determined by regulatory procedure rather than firm choice, treatment status is orthogonal to contemporaneous firm fundamentals. The estimator compares changes in trading activity across three periods: a pre-treatment baseline (January 1, 2016 through October 16, 2016 for Groups 1 and 2, and January 1, 2016 through October 30, 2016 for Group 3), the active pilot (October 17, 2016 through September 28, 2018 for Groups 1 and 2, and October 31, 2016 through September 28, 2018 for Group 3), and a post-pilot window (September 29, 2018 through April 30, 2019) during which tick sizes reverted to $0.01. The validity of this approach rests on the parallel trends assumption, which is supported by the random assignment of stocks to groups. Separate treatment coefficients are estimated for each pilot group to test whether more binding regulatory constraints generate correspondingly larger reductions in trading activity. The post-pilot period is included to assess whether volume effects persist after the regulatory change is reversed, which would indicate lasting structural shifts in trading activity rather than a purely mechanical response to the tick size constraint.</w:t>
      </w:r>
    </w:p>
    <w:p w14:paraId="5B354955" w14:textId="3FFB3BB6" w:rsidR="00197A88" w:rsidRPr="00197A88" w:rsidRDefault="00FF72A7" w:rsidP="003F1841">
      <w:pPr>
        <w:pStyle w:val="Heading2"/>
        <w:numPr>
          <w:ilvl w:val="1"/>
          <w:numId w:val="37"/>
        </w:numPr>
        <w:rPr>
          <w:rFonts w:ascii="Times New Roman" w:hAnsi="Times New Roman" w:cs="Times New Roman"/>
          <w:lang w:val="en-GB"/>
        </w:rPr>
      </w:pPr>
      <w:bookmarkStart w:id="14" w:name="_Toc223276456"/>
      <w:r>
        <w:rPr>
          <w:rFonts w:ascii="Times New Roman" w:hAnsi="Times New Roman" w:cs="Times New Roman"/>
          <w:lang w:val="en-GB"/>
        </w:rPr>
        <w:t>Baseline Specification</w:t>
      </w:r>
      <w:bookmarkEnd w:id="14"/>
    </w:p>
    <w:p w14:paraId="26301708" w14:textId="33CC136E" w:rsidR="00197A88" w:rsidRPr="00DB1616" w:rsidRDefault="00197A88" w:rsidP="00A25E42">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baseline specification for Hypothesis 1 allows for a separate treatment effect in each pilot group </w:t>
      </w:r>
      <w:r>
        <w:rPr>
          <w:rFonts w:ascii="Times New Roman" w:eastAsia="Aptos" w:hAnsi="Times New Roman" w:cs="Times New Roman"/>
          <w:sz w:val="22"/>
          <w:szCs w:val="22"/>
          <w:lang w:val="en-US"/>
        </w:rPr>
        <w:t>across both the active pilot period and the post-pilot reversal period</w:t>
      </w:r>
      <w:r>
        <w:rPr>
          <w:rFonts w:ascii="Times New Roman" w:eastAsia="Aptos" w:hAnsi="Times New Roman" w:cs="Times New Roman"/>
          <w:sz w:val="22"/>
          <w:szCs w:val="22"/>
          <w:lang w:val="en-GB"/>
        </w:rPr>
        <w:t>:</w:t>
      </w:r>
    </w:p>
    <w:p w14:paraId="23E7AD27" w14:textId="610A7E30" w:rsidR="00915C34" w:rsidRPr="005A61D5" w:rsidRDefault="00083BE3" w:rsidP="00197A88">
      <w:pPr>
        <w:spacing w:after="120" w:line="360" w:lineRule="auto"/>
        <w:jc w:val="both"/>
        <w:rPr>
          <w:rFonts w:ascii="Times New Roman" w:eastAsia="Aptos" w:hAnsi="Times New Roman" w:cs="Times New Roman"/>
          <w:i/>
          <w:sz w:val="22"/>
          <w:szCs w:val="22"/>
          <w:lang w:val="en-GB"/>
        </w:rPr>
      </w:pPr>
      <m:oMathPara>
        <m:oMath>
          <m:sSub>
            <m:sSubPr>
              <m:ctrlPr>
                <w:rPr>
                  <w:rFonts w:ascii="Cambria Math" w:eastAsia="Aptos" w:hAnsi="Cambria Math" w:cs="Times New Roman"/>
                  <w:i/>
                  <w:sz w:val="22"/>
                  <w:szCs w:val="22"/>
                  <w:lang w:val="en-GB"/>
                </w:rPr>
              </m:ctrlPr>
            </m:sSubPr>
            <m:e>
              <m:r>
                <m:rPr>
                  <m:nor/>
                </m:rPr>
                <w:rPr>
                  <w:rFonts w:ascii="Times New Roman" w:eastAsia="Aptos" w:hAnsi="Times New Roman" w:cs="Times New Roman"/>
                  <w:i/>
                  <w:sz w:val="22"/>
                  <w:szCs w:val="22"/>
                  <w:lang w:val="en-GB"/>
                </w:rPr>
                <m:t>Volume</m:t>
              </m:r>
            </m:e>
            <m:sub>
              <m:r>
                <w:rPr>
                  <w:rFonts w:ascii="Cambria Math" w:eastAsia="Aptos" w:hAnsi="Cambria Math" w:cs="Times New Roman"/>
                  <w:sz w:val="22"/>
                  <w:szCs w:val="22"/>
                  <w:lang w:val="en-GB"/>
                </w:rPr>
                <m:t>it</m:t>
              </m:r>
            </m:sub>
          </m:sSub>
          <m:r>
            <w:rPr>
              <w:rFonts w:ascii="Cambria Math" w:eastAsia="Aptos" w:hAnsi="Cambria Math" w:cs="Times New Roman"/>
              <w:sz w:val="22"/>
              <w:szCs w:val="22"/>
              <w:lang w:val="en-GB"/>
            </w:rPr>
            <m:t>=α+</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d>
            <m:dPr>
              <m:ctrlPr>
                <w:rPr>
                  <w:rFonts w:ascii="Cambria Math" w:eastAsia="Aptos" w:hAnsi="Cambria Math" w:cs="Times New Roman"/>
                  <w:i/>
                  <w:sz w:val="22"/>
                  <w:szCs w:val="22"/>
                  <w:lang w:val="en-GB"/>
                </w:rPr>
              </m:ctrlPr>
            </m:dPr>
            <m:e>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1i</m:t>
                  </m:r>
                </m:sub>
              </m:sSub>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e>
          </m:d>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2i</m:t>
              </m:r>
            </m:sub>
          </m:sSub>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3i</m:t>
              </m:r>
            </m:sub>
          </m:sSub>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1</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1i</m:t>
              </m:r>
            </m:sub>
          </m:sSub>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2i</m:t>
              </m:r>
            </m:sub>
          </m:sSub>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3i</m:t>
              </m:r>
            </m:sub>
          </m:sSub>
          <m:r>
            <w:rPr>
              <w:rFonts w:ascii="Cambria Math" w:eastAsia="Aptos" w:hAnsi="Cambria Math" w:cs="Times New Roman"/>
              <w:sz w:val="22"/>
              <w:szCs w:val="22"/>
              <w:lang w:val="en-GB"/>
            </w:rPr>
            <m:t>×Pos</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tPilot</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θ</m:t>
              </m:r>
            </m:e>
            <m:sup>
              <m:r>
                <w:rPr>
                  <w:rFonts w:ascii="Cambria Math" w:eastAsia="Aptos" w:hAnsi="Cambria Math" w:cs="Times New Roman"/>
                  <w:sz w:val="22"/>
                  <w:szCs w:val="22"/>
                  <w:lang w:val="en-GB"/>
                </w:rPr>
                <m:t>'</m:t>
              </m:r>
            </m:sup>
          </m:sSup>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X</m:t>
              </m:r>
            </m:e>
            <m:sub>
              <m:r>
                <w:rPr>
                  <w:rFonts w:ascii="Cambria Math" w:eastAsia="Aptos" w:hAnsi="Cambria Math" w:cs="Times New Roman"/>
                  <w:sz w:val="22"/>
                  <w:szCs w:val="22"/>
                  <w:lang w:val="en-GB"/>
                </w:rPr>
                <m:t>i,t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γ</m:t>
              </m:r>
            </m:e>
            <m:sub>
              <m:r>
                <w:rPr>
                  <w:rFonts w:ascii="Cambria Math" w:eastAsia="Aptos" w:hAnsi="Cambria Math" w:cs="Times New Roman"/>
                  <w:sz w:val="22"/>
                  <w:szCs w:val="22"/>
                  <w:lang w:val="en-GB"/>
                </w:rPr>
                <m:t>i</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δ</m:t>
              </m:r>
            </m:e>
            <m:sub>
              <m:r>
                <w:rPr>
                  <w:rFonts w:ascii="Cambria Math" w:eastAsia="Aptos" w:hAnsi="Cambria Math" w:cs="Times New Roman"/>
                  <w:sz w:val="22"/>
                  <w:szCs w:val="22"/>
                  <w:lang w:val="en-GB"/>
                </w:rPr>
                <m:t>t</m:t>
              </m:r>
            </m:sub>
          </m:sSub>
          <m:r>
            <w:rPr>
              <w:rFonts w:ascii="Cambria Math" w:eastAsia="Aptos" w:hAnsi="Cambria Math" w:cs="Times New Roman"/>
              <w:sz w:val="22"/>
              <w:szCs w:val="22"/>
              <w:lang w:val="en-GB"/>
            </w:rPr>
            <m:t>+</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ε</m:t>
              </m:r>
            </m:e>
            <m:sub>
              <m:r>
                <w:rPr>
                  <w:rFonts w:ascii="Cambria Math" w:eastAsia="Aptos" w:hAnsi="Cambria Math" w:cs="Times New Roman"/>
                  <w:sz w:val="22"/>
                  <w:szCs w:val="22"/>
                  <w:lang w:val="en-GB"/>
                </w:rPr>
                <m:t>it</m:t>
              </m:r>
            </m:sub>
          </m:sSub>
        </m:oMath>
      </m:oMathPara>
    </w:p>
    <w:p w14:paraId="2555F2CE" w14:textId="5434DE75" w:rsidR="0092058D" w:rsidRPr="00197A88" w:rsidRDefault="00197A88" w:rsidP="00197A88">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where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Volume</m:t>
            </m:r>
          </m:e>
          <m:sub>
            <m:r>
              <w:rPr>
                <w:rFonts w:ascii="Cambria Math" w:eastAsia="Aptos" w:hAnsi="Cambria Math" w:cs="Times New Roman"/>
                <w:sz w:val="22"/>
                <w:szCs w:val="22"/>
                <w:lang w:val="en-GB"/>
              </w:rPr>
              <m:t>it</m:t>
            </m:r>
          </m:sub>
        </m:sSub>
      </m:oMath>
      <w:r>
        <w:rPr>
          <w:rFonts w:ascii="Times New Roman" w:eastAsia="Aptos" w:hAnsi="Times New Roman" w:cs="Times New Roman"/>
          <w:sz w:val="22"/>
          <w:szCs w:val="22"/>
          <w:lang w:val="en-GB"/>
        </w:rPr>
        <w:t xml:space="preserve"> </w:t>
      </w:r>
      <w:r>
        <w:rPr>
          <w:rFonts w:ascii="Times New Roman" w:eastAsia="Aptos" w:hAnsi="Times New Roman" w:cs="Times New Roman"/>
          <w:sz w:val="22"/>
          <w:szCs w:val="22"/>
          <w:lang w:val="en-US"/>
        </w:rPr>
        <w:t xml:space="preserve">is the natural logarithm of daily share turnover for stock i on day t;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1i</m:t>
            </m:r>
          </m:sub>
        </m:sSub>
      </m:oMath>
      <w:r>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2i</m:t>
            </m:r>
          </m:sub>
        </m:sSub>
      </m:oMath>
      <w:r>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G</m:t>
            </m:r>
          </m:e>
          <m:sub>
            <m:r>
              <w:rPr>
                <w:rFonts w:ascii="Cambria Math" w:eastAsia="Aptos" w:hAnsi="Cambria Math" w:cs="Times New Roman"/>
                <w:sz w:val="22"/>
                <w:szCs w:val="22"/>
                <w:lang w:val="en-GB"/>
              </w:rPr>
              <m:t>3i</m:t>
            </m:r>
          </m:sub>
        </m:sSub>
      </m:oMath>
      <w:r>
        <w:rPr>
          <w:rFonts w:ascii="Times New Roman" w:eastAsia="Aptos" w:hAnsi="Times New Roman" w:cs="Times New Roman"/>
          <w:sz w:val="22"/>
          <w:szCs w:val="22"/>
          <w:lang w:val="en-GB"/>
        </w:rPr>
        <w:t xml:space="preserve"> are </w:t>
      </w:r>
      <w:r>
        <w:rPr>
          <w:rFonts w:ascii="Times New Roman" w:eastAsia="Aptos" w:hAnsi="Times New Roman" w:cs="Times New Roman"/>
          <w:sz w:val="22"/>
          <w:szCs w:val="22"/>
          <w:lang w:val="en-US"/>
        </w:rPr>
        <w:t>are pilot group indicators;</w:t>
      </w:r>
      <w:r>
        <w:rPr>
          <w:rFonts w:ascii="Times New Roman" w:eastAsia="Aptos" w:hAnsi="Times New Roman" w:cs="Times New Roman"/>
          <w:sz w:val="22"/>
          <w:szCs w:val="22"/>
          <w:lang w:val="en-GB"/>
        </w:rPr>
        <w:t xml:space="preserve"> </w:t>
      </w:r>
      <m:oMath>
        <m:r>
          <w:rPr>
            <w:rFonts w:ascii="Cambria Math" w:eastAsia="Aptos" w:hAnsi="Cambria Math" w:cs="Times New Roman"/>
            <w:sz w:val="22"/>
            <w:szCs w:val="22"/>
            <w:lang w:val="en-GB"/>
          </w:rPr>
          <m:t>TreatmentPerio</m:t>
        </m:r>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d</m:t>
            </m:r>
          </m:e>
          <m:sub>
            <m:r>
              <w:rPr>
                <w:rFonts w:ascii="Cambria Math" w:eastAsia="Aptos" w:hAnsi="Cambria Math" w:cs="Times New Roman"/>
                <w:sz w:val="22"/>
                <w:szCs w:val="22"/>
                <w:lang w:val="en-GB"/>
              </w:rPr>
              <m:t>t</m:t>
            </m:r>
          </m:sub>
        </m:sSub>
      </m:oMath>
      <w:r>
        <w:rPr>
          <w:rFonts w:ascii="Times New Roman" w:eastAsia="Aptos" w:hAnsi="Times New Roman" w:cs="Times New Roman"/>
          <w:sz w:val="22"/>
          <w:szCs w:val="22"/>
          <w:lang w:val="en-GB"/>
        </w:rPr>
        <w:t xml:space="preserve"> equals one during the active pilot window with the pre-treatment period as the omitted baseline; </w:t>
      </w:r>
      <m:oMath>
        <m:r>
          <w:rPr>
            <w:rFonts w:ascii="Cambria Math" w:eastAsia="Aptos" w:hAnsi="Cambria Math" w:cs="Times New Roman"/>
            <w:sz w:val="22"/>
            <w:szCs w:val="22"/>
            <w:lang w:val="en-GB"/>
          </w:rPr>
          <m:t>Pos</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tPilot</m:t>
            </m:r>
          </m:e>
          <m:sub>
            <m:r>
              <w:rPr>
                <w:rFonts w:ascii="Cambria Math" w:eastAsia="Aptos" w:hAnsi="Cambria Math" w:cs="Times New Roman"/>
                <w:sz w:val="22"/>
                <w:szCs w:val="22"/>
                <w:lang w:val="en-GB"/>
              </w:rPr>
              <m:t>t</m:t>
            </m:r>
          </m:sub>
        </m:sSub>
      </m:oMath>
      <w:r>
        <w:rPr>
          <w:rFonts w:ascii="Times New Roman" w:eastAsia="Aptos" w:hAnsi="Times New Roman" w:cs="Times New Roman"/>
          <w:sz w:val="22"/>
          <w:szCs w:val="22"/>
          <w:lang w:val="en-GB"/>
        </w:rPr>
        <w:t xml:space="preserve"> equals one after September 28, 2018;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γ</m:t>
            </m:r>
          </m:e>
          <m:sub>
            <m:r>
              <w:rPr>
                <w:rFonts w:ascii="Cambria Math" w:eastAsia="Aptos" w:hAnsi="Cambria Math" w:cs="Times New Roman"/>
                <w:sz w:val="22"/>
                <w:szCs w:val="22"/>
                <w:lang w:val="en-GB"/>
              </w:rPr>
              <m:t>i</m:t>
            </m:r>
          </m:sub>
        </m:sSub>
      </m:oMath>
      <w:r>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δ</m:t>
            </m:r>
          </m:e>
          <m:sub>
            <m:r>
              <w:rPr>
                <w:rFonts w:ascii="Cambria Math" w:eastAsia="Aptos" w:hAnsi="Cambria Math" w:cs="Times New Roman"/>
                <w:sz w:val="22"/>
                <w:szCs w:val="22"/>
                <w:lang w:val="en-GB"/>
              </w:rPr>
              <m:t>t</m:t>
            </m:r>
          </m:sub>
        </m:sSub>
      </m:oMath>
      <w:r>
        <w:rPr>
          <w:rFonts w:ascii="Times New Roman" w:eastAsia="Aptos" w:hAnsi="Times New Roman" w:cs="Times New Roman"/>
          <w:sz w:val="22"/>
          <w:szCs w:val="22"/>
          <w:lang w:val="en-GB"/>
        </w:rPr>
        <w:t xml:space="preserve"> denote firm and time fixed effects respectively;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X</m:t>
            </m:r>
          </m:e>
          <m:sub>
            <m:r>
              <w:rPr>
                <w:rFonts w:ascii="Cambria Math" w:eastAsia="Aptos" w:hAnsi="Cambria Math" w:cs="Times New Roman"/>
                <w:sz w:val="22"/>
                <w:szCs w:val="22"/>
                <w:lang w:val="en-GB"/>
              </w:rPr>
              <m:t>i,t</m:t>
            </m:r>
          </m:sub>
        </m:sSub>
      </m:oMath>
      <w:r>
        <w:rPr>
          <w:rFonts w:ascii="Times New Roman" w:eastAsia="Aptos" w:hAnsi="Times New Roman" w:cs="Times New Roman"/>
          <w:sz w:val="22"/>
          <w:szCs w:val="22"/>
          <w:lang w:val="en-GB"/>
        </w:rPr>
        <w:t xml:space="preserve">  is a vector of time-varying controls defined below. Standard errors are clustered at the firm level to account for serial correlation in residuals within stocks over time. The coefficients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oMath>
      <w:r>
        <w:rPr>
          <w:rFonts w:ascii="Times New Roman" w:eastAsia="Aptos" w:hAnsi="Times New Roman" w:cs="Times New Roman"/>
          <w:sz w:val="22"/>
          <w:szCs w:val="22"/>
          <w:lang w:val="en-GB"/>
        </w:rPr>
        <w:t xml:space="preserve">,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oMath>
      <w:r>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oMath>
      <w:r>
        <w:rPr>
          <w:rFonts w:ascii="Times New Roman" w:eastAsia="Aptos" w:hAnsi="Times New Roman" w:cs="Times New Roman"/>
          <w:sz w:val="22"/>
          <w:szCs w:val="22"/>
          <w:lang w:val="en-GB"/>
        </w:rPr>
        <w:t xml:space="preserve">capture the average volume change for each pilot group relative to control during the active pilot. Under H1, we predict </w:t>
      </w:r>
      <m:oMath>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w:rPr>
            <w:rFonts w:ascii="Cambria Math" w:eastAsia="Aptos" w:hAnsi="Cambria Math" w:cs="Times New Roman"/>
            <w:sz w:val="22"/>
            <w:szCs w:val="22"/>
            <w:lang w:val="en-GB"/>
          </w:rPr>
          <m:t>&lt;0</m:t>
        </m:r>
      </m:oMath>
      <w:r>
        <w:rPr>
          <w:rFonts w:ascii="Times New Roman" w:eastAsia="Aptos" w:hAnsi="Times New Roman" w:cs="Times New Roman"/>
          <w:sz w:val="22"/>
          <w:szCs w:val="22"/>
          <w:lang w:val="en-GB"/>
        </w:rPr>
        <w:t xml:space="preserve"> and </w:t>
      </w:r>
      <m:oMath>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3</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max</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1</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w:rPr>
                <w:rFonts w:ascii="Cambria Math" w:eastAsia="Aptos" w:hAnsi="Cambria Math" w:cs="Times New Roman"/>
                <w:sz w:val="22"/>
                <w:szCs w:val="22"/>
                <w:lang w:val="en-GB"/>
              </w:rPr>
              <m:t>β</m:t>
            </m:r>
          </m:e>
          <m:sub>
            <m:r>
              <w:rPr>
                <w:rFonts w:ascii="Cambria Math" w:eastAsia="Aptos" w:hAnsi="Cambria Math" w:cs="Times New Roman"/>
                <w:sz w:val="22"/>
                <w:szCs w:val="22"/>
                <w:lang w:val="en-GB"/>
              </w:rPr>
              <m:t>2</m:t>
            </m:r>
          </m:sub>
        </m:sSub>
        <m:r>
          <m:rPr>
            <m:sty m:val="p"/>
          </m:rPr>
          <w:rPr>
            <w:rFonts w:ascii="Cambria Math" w:eastAsia="Aptos" w:hAnsi="Cambria Math" w:cs="Times New Roman"/>
            <w:sz w:val="22"/>
            <w:szCs w:val="22"/>
            <w:lang w:val="en-GB"/>
          </w:rPr>
          <m:t>∣</m:t>
        </m:r>
        <m:r>
          <w:rPr>
            <w:rFonts w:ascii="Cambria Math" w:eastAsia="Aptos" w:hAnsi="Cambria Math" w:cs="Times New Roman"/>
            <w:sz w:val="22"/>
            <w:szCs w:val="22"/>
            <w:lang w:val="en-GB"/>
          </w:rPr>
          <m:t>)</m:t>
        </m:r>
      </m:oMath>
      <w:r>
        <w:rPr>
          <w:rFonts w:ascii="Times New Roman" w:eastAsia="Aptos" w:hAnsi="Times New Roman" w:cs="Times New Roman"/>
          <w:sz w:val="22"/>
          <w:szCs w:val="22"/>
          <w:lang w:val="en-GB"/>
        </w:rPr>
        <w:t xml:space="preserve">, reflecting a dose-response relationship. The post-pilot coefficients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1</m:t>
            </m:r>
          </m:sub>
        </m:sSub>
      </m:oMath>
      <w:r>
        <w:rPr>
          <w:rFonts w:ascii="Times New Roman" w:eastAsia="Aptos" w:hAnsi="Times New Roman" w:cs="Times New Roman"/>
          <w:sz w:val="22"/>
          <w:szCs w:val="22"/>
          <w:lang w:val="en-GB"/>
        </w:rPr>
        <w:t xml:space="preserve">,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2</m:t>
            </m:r>
          </m:sub>
        </m:sSub>
      </m:oMath>
      <w:r>
        <w:rPr>
          <w:rFonts w:ascii="Times New Roman" w:eastAsia="Aptos" w:hAnsi="Times New Roman" w:cs="Times New Roman"/>
          <w:sz w:val="22"/>
          <w:szCs w:val="22"/>
          <w:lang w:val="en-GB"/>
        </w:rPr>
        <w:t xml:space="preserve"> and </w:t>
      </w:r>
      <m:oMath>
        <m:sSub>
          <m:sSubPr>
            <m:ctrlPr>
              <w:rPr>
                <w:rFonts w:ascii="Cambria Math" w:eastAsia="Aptos" w:hAnsi="Cambria Math" w:cs="Times New Roman"/>
                <w:i/>
                <w:sz w:val="22"/>
                <w:szCs w:val="22"/>
                <w:lang w:val="en-GB"/>
              </w:rPr>
            </m:ctrlPr>
          </m:sSubPr>
          <m:e>
            <m:r>
              <w:rPr>
                <w:rFonts w:ascii="Cambria Math" w:eastAsia="Aptos" w:hAnsi="Cambria Math" w:cs="Times New Roman"/>
                <w:sz w:val="22"/>
                <w:szCs w:val="22"/>
                <w:lang w:val="en-GB"/>
              </w:rPr>
              <m:t>λ</m:t>
            </m:r>
          </m:e>
          <m:sub>
            <m:r>
              <w:rPr>
                <w:rFonts w:ascii="Cambria Math" w:eastAsia="Aptos" w:hAnsi="Cambria Math" w:cs="Times New Roman"/>
                <w:sz w:val="22"/>
                <w:szCs w:val="22"/>
                <w:lang w:val="en-GB"/>
              </w:rPr>
              <m:t>3</m:t>
            </m:r>
          </m:sub>
        </m:sSub>
      </m:oMath>
      <w:r>
        <w:rPr>
          <w:rFonts w:ascii="Times New Roman" w:eastAsia="Aptos" w:hAnsi="Times New Roman" w:cs="Times New Roman"/>
          <w:sz w:val="22"/>
          <w:szCs w:val="22"/>
          <w:lang w:val="en-GB"/>
        </w:rPr>
        <w:t xml:space="preserve"> test for persistence of the volume effect; under full reversion, these should be statistically indistinguishable from zero.</w:t>
      </w:r>
    </w:p>
    <w:p w14:paraId="62EAF848" w14:textId="73650CD7" w:rsidR="00FF72A7" w:rsidRPr="00CC1B6F" w:rsidRDefault="00197A88" w:rsidP="003F1841">
      <w:pPr>
        <w:pStyle w:val="Heading2"/>
        <w:numPr>
          <w:ilvl w:val="1"/>
          <w:numId w:val="37"/>
        </w:numPr>
        <w:rPr>
          <w:rFonts w:ascii="Times New Roman" w:hAnsi="Times New Roman" w:cs="Times New Roman"/>
          <w:lang w:val="en-GB"/>
        </w:rPr>
      </w:pPr>
      <w:bookmarkStart w:id="15" w:name="_Toc223276457"/>
      <w:r>
        <w:rPr>
          <w:rFonts w:ascii="Times New Roman" w:hAnsi="Times New Roman" w:cs="Times New Roman"/>
          <w:lang w:val="en-GB"/>
        </w:rPr>
        <w:t>Extended Specification</w:t>
      </w:r>
      <w:bookmarkEnd w:id="15"/>
    </w:p>
    <w:p w14:paraId="2EA75363" w14:textId="4CE36651" w:rsidR="00295C95" w:rsidRPr="00DB1616" w:rsidRDefault="00BF4021" w:rsidP="00A25E42">
      <w:pPr>
        <w:spacing w:before="240" w:after="120" w:line="360" w:lineRule="auto"/>
        <w:jc w:val="both"/>
        <w:rPr>
          <w:rFonts w:ascii="Times New Roman" w:hAnsi="Times New Roman" w:cs="Times New Roman"/>
          <w:sz w:val="22"/>
          <w:szCs w:val="22"/>
          <w:lang w:val="en-GB"/>
        </w:rPr>
      </w:pPr>
      <w:r>
        <w:rPr>
          <w:rFonts w:ascii="Times New Roman" w:hAnsi="Times New Roman" w:cs="Times New Roman"/>
          <w:sz w:val="22"/>
          <w:szCs w:val="22"/>
          <w:lang w:val="en-GB"/>
        </w:rPr>
        <w:t>To test Hypothesis 2, the baseline specification is augmented with triple interaction terms for both the active pilot period and the post-pilot period:</w:t>
      </w:r>
    </w:p>
    <w:p w14:paraId="49441B87" w14:textId="68207B50" w:rsidR="0048166B" w:rsidRPr="00EA32E2" w:rsidRDefault="00083BE3" w:rsidP="00295C95">
      <w:pPr>
        <w:spacing w:after="120" w:line="360" w:lineRule="auto"/>
        <w:jc w:val="both"/>
        <w:rPr>
          <w:rFonts w:ascii="Times New Roman" w:hAnsi="Times New Roman" w:cs="Times New Roman"/>
          <w:sz w:val="21"/>
          <w:szCs w:val="21"/>
          <w:lang w:val="en-GB"/>
        </w:rPr>
      </w:pPr>
      <m:oMathPara>
        <m:oMath>
          <m:sSub>
            <m:sSubPr>
              <m:ctrlPr>
                <w:rPr>
                  <w:rFonts w:ascii="Cambria Math" w:hAnsi="Cambria Math" w:cs="Times New Roman"/>
                  <w:sz w:val="21"/>
                  <w:szCs w:val="21"/>
                  <w:lang w:val="en-GB"/>
                </w:rPr>
              </m:ctrlPr>
            </m:sSubPr>
            <m:e>
              <m:r>
                <m:rPr>
                  <m:nor/>
                </m:rPr>
                <w:rPr>
                  <w:rFonts w:ascii="Times New Roman" w:hAnsi="Times New Roman" w:cs="Times New Roman"/>
                  <w:sz w:val="21"/>
                  <w:szCs w:val="21"/>
                  <w:lang w:val="en-GB"/>
                </w:rPr>
                <m:t>Volume</m:t>
              </m:r>
            </m:e>
            <m:sub>
              <m:r>
                <w:rPr>
                  <w:rFonts w:ascii="Cambria Math" w:hAnsi="Cambria Math" w:cs="Times New Roman"/>
                  <w:sz w:val="21"/>
                  <w:szCs w:val="21"/>
                  <w:lang w:val="en-GB"/>
                </w:rPr>
                <m:t>it</m:t>
              </m:r>
            </m:sub>
          </m:sSub>
          <m:r>
            <w:rPr>
              <w:rFonts w:ascii="Cambria Math" w:hAnsi="Cambria Math" w:cs="Times New Roman"/>
              <w:sz w:val="21"/>
              <w:szCs w:val="21"/>
              <w:lang w:val="en-GB"/>
            </w:rPr>
            <m:t>=α+</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TreatmentPeriod</m:t>
              </m:r>
            </m:e>
            <m:sub>
              <m:r>
                <w:rPr>
                  <w:rFonts w:ascii="Cambria Math" w:hAnsi="Cambria Math" w:cs="Times New Roman"/>
                  <w:sz w:val="21"/>
                  <w:szCs w:val="21"/>
                  <w:lang w:val="en-GB"/>
                </w:rPr>
                <m:t>t</m:t>
              </m:r>
            </m:sub>
          </m:sSub>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λ</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PostPilot</m:t>
              </m:r>
            </m:e>
            <m:sub>
              <m:r>
                <w:rPr>
                  <w:rFonts w:ascii="Cambria Math" w:hAnsi="Cambria Math" w:cs="Times New Roman"/>
                  <w:sz w:val="21"/>
                  <w:szCs w:val="21"/>
                  <w:lang w:val="en-GB"/>
                </w:rPr>
                <m:t>t</m:t>
              </m:r>
            </m:sub>
          </m:sSub>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TreatmentPeriod</m:t>
              </m:r>
            </m:e>
            <m:sub>
              <m:r>
                <w:rPr>
                  <w:rFonts w:ascii="Cambria Math" w:hAnsi="Cambria Math" w:cs="Times New Roman"/>
                  <w:sz w:val="21"/>
                  <w:szCs w:val="21"/>
                  <w:lang w:val="en-GB"/>
                </w:rPr>
                <m:t>t</m:t>
              </m:r>
            </m:sub>
          </m:sSub>
          <m:r>
            <w:rPr>
              <w:rFonts w:ascii="Cambria Math" w:hAnsi="Cambria Math" w:cs="Times New Roman"/>
              <w:sz w:val="21"/>
              <w:szCs w:val="21"/>
              <w:lang w:val="en-GB"/>
            </w:rPr>
            <m:t>×SmallSprea</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d</m:t>
              </m:r>
            </m:e>
            <m:sub>
              <m:r>
                <w:rPr>
                  <w:rFonts w:ascii="Cambria Math" w:hAnsi="Cambria Math" w:cs="Times New Roman"/>
                  <w:sz w:val="21"/>
                  <w:szCs w:val="21"/>
                  <w:lang w:val="en-GB"/>
                </w:rPr>
                <m:t>i</m:t>
              </m:r>
            </m:sub>
          </m:sSub>
          <m:r>
            <w:rPr>
              <w:rFonts w:ascii="Cambria Math" w:hAnsi="Cambria Math" w:cs="Times New Roman"/>
              <w:sz w:val="21"/>
              <w:szCs w:val="21"/>
              <w:lang w:val="en-GB"/>
            </w:rPr>
            <m:t>)+</m:t>
          </m:r>
          <m:nary>
            <m:naryPr>
              <m:chr m:val="∑"/>
              <m:limLoc m:val="undOvr"/>
              <m:grow m:val="1"/>
              <m:ctrlPr>
                <w:rPr>
                  <w:rFonts w:ascii="Cambria Math" w:hAnsi="Cambria Math" w:cs="Times New Roman"/>
                  <w:sz w:val="21"/>
                  <w:szCs w:val="21"/>
                  <w:lang w:val="en-GB"/>
                </w:rPr>
              </m:ctrlPr>
            </m:naryPr>
            <m:sub>
              <m:r>
                <w:rPr>
                  <w:rFonts w:ascii="Cambria Math" w:hAnsi="Cambria Math" w:cs="Times New Roman"/>
                  <w:sz w:val="21"/>
                  <w:szCs w:val="21"/>
                  <w:lang w:val="en-GB"/>
                </w:rPr>
                <m:t>k=1</m:t>
              </m:r>
            </m:sub>
            <m:sup>
              <m:r>
                <w:rPr>
                  <w:rFonts w:ascii="Cambria Math" w:hAnsi="Cambria Math" w:cs="Times New Roman"/>
                  <w:sz w:val="21"/>
                  <w:szCs w:val="21"/>
                  <w:lang w:val="en-GB"/>
                </w:rPr>
                <m:t>3</m:t>
              </m:r>
            </m:sup>
            <m:e>
              <m:sSub>
                <m:sSubPr>
                  <m:ctrlPr>
                    <w:rPr>
                      <w:rFonts w:ascii="Cambria Math" w:hAnsi="Cambria Math" w:cs="Times New Roman"/>
                      <w:sz w:val="21"/>
                      <w:szCs w:val="21"/>
                      <w:lang w:val="en-GB"/>
                    </w:rPr>
                  </m:ctrlPr>
                </m:sSubPr>
                <m:e>
                  <m:r>
                    <w:rPr>
                      <w:rFonts w:ascii="Cambria Math" w:hAnsi="Cambria Math" w:cs="Times New Roman"/>
                      <w:sz w:val="21"/>
                      <w:szCs w:val="21"/>
                      <w:lang w:val="en-GB"/>
                    </w:rPr>
                    <m:t>ϕ</m:t>
                  </m:r>
                </m:e>
                <m:sub>
                  <m:r>
                    <w:rPr>
                      <w:rFonts w:ascii="Cambria Math" w:hAnsi="Cambria Math" w:cs="Times New Roman"/>
                      <w:sz w:val="21"/>
                      <w:szCs w:val="21"/>
                      <w:lang w:val="en-GB"/>
                    </w:rPr>
                    <m:t>k</m:t>
                  </m:r>
                </m:sub>
              </m:sSub>
            </m:e>
          </m:nary>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G</m:t>
              </m:r>
            </m:e>
            <m:sub>
              <m:r>
                <w:rPr>
                  <w:rFonts w:ascii="Cambria Math" w:hAnsi="Cambria Math" w:cs="Times New Roman"/>
                  <w:sz w:val="21"/>
                  <w:szCs w:val="21"/>
                  <w:lang w:val="en-GB"/>
                </w:rPr>
                <m:t>ki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PostPilot</m:t>
              </m:r>
            </m:e>
            <m:sub>
              <m:r>
                <w:rPr>
                  <w:rFonts w:ascii="Cambria Math" w:hAnsi="Cambria Math" w:cs="Times New Roman"/>
                  <w:sz w:val="21"/>
                  <w:szCs w:val="21"/>
                  <w:lang w:val="en-GB"/>
                </w:rPr>
                <m:t>t</m:t>
              </m:r>
            </m:sub>
          </m:sSub>
          <m:r>
            <w:rPr>
              <w:rFonts w:ascii="Cambria Math" w:hAnsi="Cambria Math" w:cs="Times New Roman"/>
              <w:sz w:val="21"/>
              <w:szCs w:val="21"/>
              <w:lang w:val="en-GB"/>
            </w:rPr>
            <m:t>×SmallSprea</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d</m:t>
              </m:r>
            </m:e>
            <m:sub>
              <m:r>
                <w:rPr>
                  <w:rFonts w:ascii="Cambria Math" w:hAnsi="Cambria Math" w:cs="Times New Roman"/>
                  <w:sz w:val="21"/>
                  <w:szCs w:val="21"/>
                  <w:lang w:val="en-GB"/>
                </w:rPr>
                <m:t>i</m:t>
              </m:r>
            </m:sub>
          </m:sSub>
          <m:r>
            <w:rPr>
              <w:rFonts w:ascii="Cambria Math" w:hAnsi="Cambria Math" w:cs="Times New Roman"/>
              <w:sz w:val="21"/>
              <w:szCs w:val="21"/>
              <w:lang w:val="en-GB"/>
            </w:rPr>
            <m:t>)+</m:t>
          </m:r>
          <m:sSup>
            <m:sSupPr>
              <m:ctrlPr>
                <w:rPr>
                  <w:rFonts w:ascii="Cambria Math" w:hAnsi="Cambria Math" w:cs="Times New Roman"/>
                  <w:sz w:val="21"/>
                  <w:szCs w:val="21"/>
                  <w:lang w:val="en-GB"/>
                </w:rPr>
              </m:ctrlPr>
            </m:sSupPr>
            <m:e>
              <m:r>
                <w:rPr>
                  <w:rFonts w:ascii="Cambria Math" w:hAnsi="Cambria Math" w:cs="Times New Roman"/>
                  <w:sz w:val="21"/>
                  <w:szCs w:val="21"/>
                  <w:lang w:val="en-GB"/>
                </w:rPr>
                <m:t>θ</m:t>
              </m:r>
            </m:e>
            <m:sup>
              <m:r>
                <m:rPr>
                  <m:sty m:val="p"/>
                </m:rPr>
                <w:rPr>
                  <w:rFonts w:ascii="Cambria Math" w:hAnsi="Cambria Math" w:cs="Times New Roman"/>
                  <w:sz w:val="21"/>
                  <w:szCs w:val="21"/>
                  <w:lang w:val="en-GB"/>
                </w:rPr>
                <m:t>'</m:t>
              </m:r>
            </m:sup>
          </m:sSup>
          <m:sSub>
            <m:sSubPr>
              <m:ctrlPr>
                <w:rPr>
                  <w:rFonts w:ascii="Cambria Math" w:hAnsi="Cambria Math" w:cs="Times New Roman"/>
                  <w:sz w:val="21"/>
                  <w:szCs w:val="21"/>
                  <w:lang w:val="en-GB"/>
                </w:rPr>
              </m:ctrlPr>
            </m:sSubPr>
            <m:e>
              <m:r>
                <w:rPr>
                  <w:rFonts w:ascii="Cambria Math" w:hAnsi="Cambria Math" w:cs="Times New Roman"/>
                  <w:sz w:val="21"/>
                  <w:szCs w:val="21"/>
                  <w:lang w:val="en-GB"/>
                </w:rPr>
                <m:t>X</m:t>
              </m:r>
            </m:e>
            <m:sub>
              <m:r>
                <w:rPr>
                  <w:rFonts w:ascii="Cambria Math" w:hAnsi="Cambria Math" w:cs="Times New Roman"/>
                  <w:sz w:val="21"/>
                  <w:szCs w:val="21"/>
                  <w:lang w:val="en-GB"/>
                </w:rPr>
                <m:t>it</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i</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δ</m:t>
              </m:r>
            </m:e>
            <m:sub>
              <m:r>
                <w:rPr>
                  <w:rFonts w:ascii="Cambria Math" w:hAnsi="Cambria Math" w:cs="Times New Roman"/>
                  <w:sz w:val="21"/>
                  <w:szCs w:val="21"/>
                  <w:lang w:val="en-GB"/>
                </w:rPr>
                <m:t>t</m:t>
              </m:r>
            </m:sub>
          </m:sSub>
          <m:r>
            <w:rPr>
              <w:rFonts w:ascii="Cambria Math" w:hAnsi="Cambria Math" w:cs="Times New Roman"/>
              <w:sz w:val="21"/>
              <w:szCs w:val="21"/>
              <w:lang w:val="en-GB"/>
            </w:rPr>
            <m:t>+</m:t>
          </m:r>
          <m:sSub>
            <m:sSubPr>
              <m:ctrlPr>
                <w:rPr>
                  <w:rFonts w:ascii="Cambria Math" w:hAnsi="Cambria Math" w:cs="Times New Roman"/>
                  <w:sz w:val="21"/>
                  <w:szCs w:val="21"/>
                  <w:lang w:val="en-GB"/>
                </w:rPr>
              </m:ctrlPr>
            </m:sSubPr>
            <m:e>
              <m:r>
                <w:rPr>
                  <w:rFonts w:ascii="Cambria Math" w:hAnsi="Cambria Math" w:cs="Times New Roman"/>
                  <w:sz w:val="21"/>
                  <w:szCs w:val="21"/>
                  <w:lang w:val="en-GB"/>
                </w:rPr>
                <m:t>ε</m:t>
              </m:r>
            </m:e>
            <m:sub>
              <m:r>
                <w:rPr>
                  <w:rFonts w:ascii="Cambria Math" w:hAnsi="Cambria Math" w:cs="Times New Roman"/>
                  <w:sz w:val="21"/>
                  <w:szCs w:val="21"/>
                  <w:lang w:val="en-GB"/>
                </w:rPr>
                <m:t>it</m:t>
              </m:r>
            </m:sub>
          </m:sSub>
        </m:oMath>
      </m:oMathPara>
    </w:p>
    <w:p w14:paraId="6436C292" w14:textId="3083BF06" w:rsidR="00295C95" w:rsidRPr="00EA32E2" w:rsidRDefault="00295C95" w:rsidP="00295C95">
      <w:pPr>
        <w:spacing w:after="120" w:line="360" w:lineRule="auto"/>
        <w:jc w:val="both"/>
        <w:rPr>
          <w:rFonts w:ascii="Times New Roman" w:hAnsi="Times New Roman" w:cs="Times New Roman"/>
          <w:sz w:val="2"/>
          <w:szCs w:val="2"/>
          <w:lang w:val="en-GB"/>
        </w:rPr>
      </w:pPr>
    </w:p>
    <w:p w14:paraId="604EA969" w14:textId="5BEE4D95" w:rsidR="00407357" w:rsidRPr="00DB1616" w:rsidRDefault="00407357" w:rsidP="00295C95">
      <w:pPr>
        <w:spacing w:after="120" w:line="360" w:lineRule="auto"/>
        <w:jc w:val="both"/>
        <w:rPr>
          <w:rFonts w:ascii="Times New Roman" w:hAnsi="Times New Roman" w:cs="Times New Roman"/>
          <w:sz w:val="22"/>
          <w:szCs w:val="22"/>
          <w:lang w:val="en-GB"/>
        </w:rPr>
      </w:pPr>
      <w:r>
        <w:rPr>
          <w:rFonts w:ascii="Times New Roman" w:hAnsi="Times New Roman" w:cs="Times New Roman"/>
          <w:sz w:val="22"/>
          <w:szCs w:val="22"/>
          <w:lang w:val="en-GB"/>
        </w:rPr>
        <w:t xml:space="preserve">Here, </w:t>
      </w:r>
      <m:oMath>
        <m:r>
          <w:rPr>
            <w:rFonts w:ascii="Cambria Math" w:hAnsi="Cambria Math" w:cs="Times New Roman"/>
            <w:sz w:val="22"/>
            <w:szCs w:val="22"/>
            <w:lang w:val="en-GB"/>
          </w:rPr>
          <m:t>SmallSprea</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d</m:t>
            </m:r>
          </m:e>
          <m:sub>
            <m:r>
              <w:rPr>
                <w:rFonts w:ascii="Cambria Math" w:hAnsi="Cambria Math" w:cs="Times New Roman"/>
                <w:sz w:val="22"/>
                <w:szCs w:val="22"/>
                <w:lang w:val="en-GB"/>
              </w:rPr>
              <m:t>i</m:t>
            </m:r>
          </m:sub>
        </m:sSub>
      </m:oMath>
      <w:r>
        <w:rPr>
          <w:rFonts w:ascii="Times New Roman" w:eastAsiaTheme="minorEastAsia" w:hAnsi="Times New Roman" w:cs="Times New Roman"/>
          <w:sz w:val="22"/>
          <w:szCs w:val="22"/>
          <w:lang w:val="en-GB"/>
        </w:rPr>
        <w:t xml:space="preserve"> </w:t>
      </w:r>
      <w:r>
        <w:rPr>
          <w:rFonts w:ascii="Times New Roman" w:hAnsi="Times New Roman" w:cs="Times New Roman"/>
          <w:sz w:val="22"/>
          <w:szCs w:val="22"/>
          <w:lang w:val="en-GB"/>
        </w:rPr>
        <w:t xml:space="preserve">is a binary indicator equal to one for stocks whose pre-treatment average dollar quoted spread is strictly below $0.05.The coefficients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capture the volume change for unconstrained stocks in each pilot group relative to control during the active pilot, while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λ</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captures whether that effect persists in the post-pilot period. The coefficients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capture the additional differential effect for constrained stocks during the active pilot over and above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and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ϕ</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analogously captures any differential persistence in the post-pilot period. The total treatment effect during the active pilot for a constrained stock in group k is therefore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γ</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while for an unconstrained stock it is simply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β</m:t>
            </m:r>
          </m:e>
          <m:sub>
            <m:r>
              <w:rPr>
                <w:rFonts w:ascii="Cambria Math" w:hAnsi="Cambria Math" w:cs="Times New Roman"/>
                <w:sz w:val="21"/>
                <w:szCs w:val="21"/>
                <w:lang w:val="en-GB"/>
              </w:rPr>
              <m:t>k</m:t>
            </m:r>
          </m:sub>
        </m:sSub>
      </m:oMath>
      <w:r>
        <w:rPr>
          <w:rFonts w:ascii="Times New Roman" w:hAnsi="Times New Roman" w:cs="Times New Roman"/>
          <w:sz w:val="22"/>
          <w:szCs w:val="22"/>
          <w:lang w:val="en-GB"/>
        </w:rPr>
        <w:t xml:space="preserve">. Under H2, the predicted signs are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1</m:t>
            </m:r>
          </m:sub>
        </m:sSub>
        <m:r>
          <w:rPr>
            <w:rFonts w:ascii="Cambria Math" w:hAnsi="Cambria Math" w:cs="Times New Roman"/>
            <w:sz w:val="22"/>
            <w:szCs w:val="22"/>
            <w:lang w:val="en-GB"/>
          </w:rPr>
          <m:t>&lt;0</m:t>
        </m:r>
      </m:oMath>
      <w:r>
        <w:rPr>
          <w:rFonts w:ascii="Times New Roman" w:hAnsi="Times New Roman" w:cs="Times New Roman"/>
          <w:sz w:val="22"/>
          <w:szCs w:val="22"/>
          <w:lang w:val="en-GB"/>
        </w:rPr>
        <w:t xml:space="preserve">,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2</m:t>
            </m:r>
          </m:sub>
        </m:sSub>
        <m:r>
          <w:rPr>
            <w:rFonts w:ascii="Cambria Math" w:hAnsi="Cambria Math" w:cs="Times New Roman"/>
            <w:sz w:val="22"/>
            <w:szCs w:val="22"/>
            <w:lang w:val="en-GB"/>
          </w:rPr>
          <m:t>&lt;0</m:t>
        </m:r>
      </m:oMath>
      <w:r>
        <w:rPr>
          <w:rFonts w:ascii="Times New Roman" w:hAnsi="Times New Roman" w:cs="Times New Roman"/>
          <w:sz w:val="22"/>
          <w:szCs w:val="22"/>
          <w:lang w:val="en-GB"/>
        </w:rPr>
        <w:t xml:space="preserve">, and </w:t>
      </w: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γ</m:t>
            </m:r>
          </m:e>
          <m:sub>
            <m:r>
              <w:rPr>
                <w:rFonts w:ascii="Cambria Math" w:hAnsi="Cambria Math" w:cs="Times New Roman"/>
                <w:sz w:val="22"/>
                <w:szCs w:val="22"/>
                <w:lang w:val="en-GB"/>
              </w:rPr>
              <m:t>3</m:t>
            </m:r>
          </m:sub>
        </m:sSub>
        <m:r>
          <w:rPr>
            <w:rFonts w:ascii="Cambria Math" w:hAnsi="Cambria Math" w:cs="Times New Roman"/>
            <w:sz w:val="22"/>
            <w:szCs w:val="22"/>
            <w:lang w:val="en-GB"/>
          </w:rPr>
          <m:t>&lt;0</m:t>
        </m:r>
      </m:oMath>
      <w:r>
        <w:rPr>
          <w:rFonts w:ascii="Times New Roman" w:hAnsi="Times New Roman" w:cs="Times New Roman"/>
          <w:sz w:val="22"/>
          <w:szCs w:val="22"/>
          <w:lang w:val="en-GB"/>
        </w:rPr>
        <w:t>. Stocks with pre-treatment spreads at or above $0.05 serve as an implicit placebo subgroup within each treated group, for which no additional differential volume effect is expected.</w:t>
      </w:r>
    </w:p>
    <w:p w14:paraId="652A54BC" w14:textId="7CE79C22" w:rsidR="00104332" w:rsidRDefault="00104332" w:rsidP="003F1841">
      <w:pPr>
        <w:pStyle w:val="Heading2"/>
        <w:numPr>
          <w:ilvl w:val="1"/>
          <w:numId w:val="37"/>
        </w:numPr>
        <w:rPr>
          <w:rFonts w:ascii="Times New Roman" w:hAnsi="Times New Roman" w:cs="Times New Roman"/>
          <w:lang w:val="en-GB"/>
        </w:rPr>
      </w:pPr>
      <w:bookmarkStart w:id="16" w:name="_Toc223276458"/>
      <w:r>
        <w:rPr>
          <w:rFonts w:ascii="Times New Roman" w:hAnsi="Times New Roman" w:cs="Times New Roman"/>
          <w:lang w:val="en-GB"/>
        </w:rPr>
        <w:t>Control Variables</w:t>
      </w:r>
      <w:bookmarkEnd w:id="16"/>
    </w:p>
    <w:p w14:paraId="2F264CBF" w14:textId="2FA3A1E2" w:rsidR="00B11B03" w:rsidRDefault="00B11B03" w:rsidP="00A25E42">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inverse of the midpoint price (Inv_Price) is included as a time-varying control, capturing the mechanical relationship between price level and the relative size of the tick increment. Contemporaneous return volatility is excluded because the pilot directly widens spreads and thus affects short-term volatility, making it an endogenous outcome of the treatment, such that including it would introduce bad-control bias. Instead, we include the one-day lagged absolute return (L_abs_ret), which is predetermined relative to contemporaneous volume and captures intertemporal volatility persistence without introducing endogeneity. Firm and time fixed effects absorb time-invariant cross-sectional heterogeneity and aggregate market-wide shocks respectively.</w:t>
      </w:r>
    </w:p>
    <w:p w14:paraId="466C36EC" w14:textId="3AD1A88C" w:rsidR="00B23BAB" w:rsidRPr="00B23BAB" w:rsidRDefault="00B23BAB" w:rsidP="00A25E42">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highlight w:val="yellow"/>
          <w:lang w:val="en-GB"/>
        </w:rPr>
        <w:t>1. The inverse of the midpoint price (Inv_Price) is included as a time-varying control, capturing the mechanical relationship between price level and the relative size of the tick increment. Crucially, while SmallSpread is a static pre-treatment classification, Inv_Price captures contemporaneous price fluctuations, ensuring the differential volume reduction hypothesized for constrained stocks is not confounded by time-varying price effects. Contemporaneous return volatility is excluded because the pilot directly widens spreads and thus affects short-term volatility, making it an endogenous outcome of the treatment, such that including it would introduce bad-control bias. Instead, we include the one-day lagged absolute return (L_abs_ret), which is predetermined relative to contemporaneous volume and captures the tendency of turbulent trading days to be followed by elevated activity without introducing endogeneity. Firm and time fixed effects absorb time-invariant cross-sectional heterogeneity and aggregate market-wide shocks respectively.</w:t>
      </w:r>
    </w:p>
    <w:p w14:paraId="24694D4B" w14:textId="66335AF7" w:rsidR="00771A40" w:rsidRDefault="00B23BAB" w:rsidP="00A25E42">
      <w:pPr>
        <w:spacing w:before="240" w:after="120" w:line="360" w:lineRule="auto"/>
        <w:jc w:val="both"/>
        <w:rPr>
          <w:rFonts w:ascii="Times New Roman" w:eastAsia="Aptos" w:hAnsi="Times New Roman" w:cs="Times New Roman"/>
          <w:sz w:val="22"/>
          <w:szCs w:val="22"/>
          <w:highlight w:val="yellow"/>
          <w:lang w:val="en-GB"/>
        </w:rPr>
      </w:pPr>
      <w:r>
        <w:rPr>
          <w:rFonts w:ascii="Times New Roman" w:eastAsia="Aptos" w:hAnsi="Times New Roman" w:cs="Times New Roman"/>
          <w:sz w:val="22"/>
          <w:szCs w:val="22"/>
          <w:highlight w:val="yellow"/>
          <w:lang w:val="en-GB"/>
        </w:rPr>
        <w:t xml:space="preserve">2. In our empirical specifications, the inverse of the midpoint price (Inv_Price) is included as a time-varying control variable. It captures the mechanical relationship between the price level and the relative size of the tick increment, as lower-priced stocks face a proportionally larger minimum spread floor. Crucially, we retain this control in the extended triple-interaction model (H2). While the SmallSpread indicator is a static pre-treatment classification identifying stocks historically constrained by the tick, Inv_Price captures contemporaneous daily price fluctuations. Including it ensures that the differential volume reduction hypothesized for constrained stocks is not confounded by time-varying price effects. </w:t>
      </w:r>
    </w:p>
    <w:p w14:paraId="1ACC931A" w14:textId="77777777" w:rsidR="00771A40" w:rsidRDefault="00FB507A" w:rsidP="00A25E42">
      <w:pPr>
        <w:spacing w:before="240" w:after="120" w:line="360" w:lineRule="auto"/>
        <w:jc w:val="both"/>
        <w:rPr>
          <w:rFonts w:ascii="Times New Roman" w:eastAsia="Aptos" w:hAnsi="Times New Roman" w:cs="Times New Roman"/>
          <w:sz w:val="22"/>
          <w:szCs w:val="22"/>
          <w:highlight w:val="yellow"/>
          <w:lang w:val="en-GB"/>
        </w:rPr>
      </w:pPr>
      <w:r>
        <w:rPr>
          <w:rFonts w:ascii="Times New Roman" w:eastAsia="Aptos" w:hAnsi="Times New Roman" w:cs="Times New Roman"/>
          <w:sz w:val="22"/>
          <w:szCs w:val="22"/>
          <w:highlight w:val="yellow"/>
          <w:lang w:val="en-GB"/>
        </w:rPr>
        <w:t xml:space="preserve">Furthermore, contemporaneous stock return volatility is excluded despite its well-documented positive correlation with trading volume. Because the pilot widens the bid-ask spread, it directly affects short-term measured volatility, rendering contemporaneous volatility an endogenous outcome of the regulatory change. Including it would introduce bad-control bias by absorbing part of the treatment effect. Instead, firm fixed effects absorb time-invariant baseline volatility differences, and time fixed effects absorb aggregate market-wide shocks. </w:t>
      </w:r>
    </w:p>
    <w:p w14:paraId="48DF8F9C" w14:textId="77777777" w:rsidR="00B23BAB" w:rsidRDefault="00FB507A" w:rsidP="00A25E42">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highlight w:val="yellow"/>
          <w:lang w:val="en-GB"/>
        </w:rPr>
        <w:t>However, to account for short-term intertemporal volatility persistence and investor attention, we introduce the one-day lagged absolute return (L_abs_ret). Because the lagged return is pre-determined relative to the contemporaneous trading volume, it mitigates endogeneity concerns while effectively capturing the tendency of turbulent trading days to be followed by elevated trading activity.</w:t>
      </w:r>
      <w:r>
        <w:rPr>
          <w:rFonts w:ascii="Times New Roman" w:eastAsia="Aptos" w:hAnsi="Times New Roman" w:cs="Times New Roman"/>
          <w:sz w:val="22"/>
          <w:szCs w:val="22"/>
          <w:lang w:val="en-GB"/>
        </w:rPr>
        <w:t xml:space="preserve"> </w:t>
      </w:r>
    </w:p>
    <w:p w14:paraId="0ECB23C9" w14:textId="183BCACB" w:rsidR="000F516E" w:rsidRDefault="00E42D44" w:rsidP="00A25E42">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b/>
          <w:bCs/>
          <w:sz w:val="22"/>
          <w:szCs w:val="22"/>
          <w:lang w:val="en-GB"/>
        </w:rPr>
        <w:t>[OLD, which is shortend above, so all can fit 2 pages]</w:t>
      </w:r>
    </w:p>
    <w:p w14:paraId="72736B83" w14:textId="77777777" w:rsidR="000F516E" w:rsidRDefault="000F516E">
      <w:pPr>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br w:type="page"/>
      </w:r>
    </w:p>
    <w:p w14:paraId="69DD0C72" w14:textId="77777777" w:rsidR="00396015" w:rsidRPr="00EA32E2" w:rsidRDefault="00396015" w:rsidP="00396015">
      <w:pPr>
        <w:pStyle w:val="Heading1"/>
        <w:numPr>
          <w:ilvl w:val="0"/>
          <w:numId w:val="39"/>
        </w:numPr>
        <w:rPr>
          <w:rFonts w:eastAsiaTheme="minorEastAsia" w:cs="Times New Roman"/>
          <w:lang w:val="en-GB"/>
        </w:rPr>
      </w:pPr>
      <w:bookmarkStart w:id="17" w:name="_Toc223276459"/>
      <w:r>
        <w:rPr>
          <w:rFonts w:eastAsiaTheme="minorEastAsia" w:cs="Times New Roman"/>
          <w:lang w:val="en-GB"/>
        </w:rPr>
        <w:t>Data</w:t>
      </w:r>
      <w:bookmarkEnd w:id="17"/>
    </w:p>
    <w:p w14:paraId="60336B2C" w14:textId="77777777" w:rsidR="00396015" w:rsidRPr="00CC1B6F" w:rsidRDefault="00396015" w:rsidP="00396015">
      <w:pPr>
        <w:spacing w:after="120" w:line="360" w:lineRule="auto"/>
        <w:jc w:val="both"/>
        <w:rPr>
          <w:rFonts w:ascii="Times New Roman" w:hAnsi="Times New Roman" w:cs="Times New Roman"/>
          <w:lang w:val="en-GB" w:eastAsia="de-DE"/>
        </w:rPr>
      </w:pPr>
      <w:r>
        <w:rPr>
          <w:rFonts w:ascii="Times New Roman" w:eastAsia="Aptos" w:hAnsi="Times New Roman" w:cs="Times New Roman"/>
          <w:sz w:val="22"/>
          <w:szCs w:val="22"/>
          <w:lang w:val="en-GB"/>
        </w:rPr>
        <w:t>This section describes the data sources, sample construction, and variable definitions underlying the empirical analysis. It outlines the filtering procedures implemented to ensure a clean identification of the regulatory shock and explains the construction of the key treatment and liquidity measures. The resulting dataset forms the foundation for the difference-in-differences estimations presented below.</w:t>
      </w:r>
    </w:p>
    <w:p w14:paraId="2FA35732" w14:textId="77777777" w:rsidR="00396015" w:rsidRPr="004F487D" w:rsidRDefault="00396015" w:rsidP="00396015">
      <w:pPr>
        <w:pStyle w:val="Heading2"/>
        <w:numPr>
          <w:ilvl w:val="0"/>
          <w:numId w:val="0"/>
        </w:numPr>
        <w:rPr>
          <w:rFonts w:ascii="Times New Roman" w:hAnsi="Times New Roman" w:cs="Times New Roman"/>
          <w:lang w:val="en-GB"/>
        </w:rPr>
      </w:pPr>
      <w:bookmarkStart w:id="18" w:name="_Toc223276460"/>
      <w:r>
        <w:rPr>
          <w:rFonts w:ascii="Times New Roman" w:hAnsi="Times New Roman" w:cs="Times New Roman"/>
          <w:lang w:val="en-GB"/>
        </w:rPr>
        <w:t>3.1</w:t>
        <w:tab/>
        <w:t>Data Construction and Sample Selection</w:t>
      </w:r>
      <w:bookmarkEnd w:id="18"/>
    </w:p>
    <w:p w14:paraId="2854D555" w14:textId="77777777" w:rsidR="00396015" w:rsidRPr="00DB1616" w:rsidRDefault="00396015" w:rsidP="00396015">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We use daily stock-level data from the Center for Research in Security Prices (CRSP) over the period January 1, 2016 to April 30, 2019, consistent with Albuquerque et al. (2020). Stocks are identified using the CRSP PERMNO and merged with the SEC Tick Size Pilot treatment-control assignment list. The final sample consists exclusively of firms included in the SEC experiment.</w:t>
      </w:r>
    </w:p>
    <w:p w14:paraId="5988F23F"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To ensure that the analysis isolates the causal impact of the tick size increase rather than confounding corporate events, several filters are applied. Firms that undergo mergers or acquisitions during the sample period are fully excluded, as such events generate abnormal trading activity that could bias estimated treatment effects. Observations associated with delistings (delisting codes between 400 and 599) are removed to mitigate distortions arising from terminal trading behavior. Additionally, only ordinary common shares with share codes of 10 or 11 are retained.</w:t>
      </w:r>
    </w:p>
    <w:p w14:paraId="75C248F4" w14:textId="2C8DDD71" w:rsidR="00396015" w:rsidRPr="004F487D"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Regarding penny stocks, we deliberately depart from applying a strict firm-level exclusion for stocks that ever drop below an absolute price of $1 during the pilot. Instead, we exclude only the specific daily observations where the absolute price falls below $1. Removing an entire firm from the panel simply because its price temporarily breaches this threshold introduces severe selection bias. Because the tick size increase inherently exerts downward pressure on stock prices, dropping entire firms would systematically eliminate the very stocks most adversely affected by the treatment. This violates the Intention-To-Treat (ITT) principle and compromises the exogeneity of the SEC’s randomized assignment.</w:t>
      </w:r>
      <w:commentRangeStart w:id="19"/>
      <w:r>
        <w:rPr>
          <w:rFonts w:ascii="Times New Roman" w:eastAsia="Aptos" w:hAnsi="Times New Roman" w:cs="Times New Roman"/>
          <w:sz w:val="22"/>
          <w:szCs w:val="22"/>
          <w:lang w:val="en-GB"/>
        </w:rPr>
        <w:t xml:space="preserve"> </w:t>
      </w:r>
      <w:commentRangeEnd w:id="19"/>
      <w:r>
        <w:rPr>
          <w:rStyle w:val="CommentReference"/>
          <w:rFonts w:ascii="Times New Roman" w:eastAsia="Aptos" w:hAnsi="Times New Roman" w:cs="Times New Roman"/>
          <w:sz w:val="22"/>
          <w:szCs w:val="22"/>
          <w:lang w:val="en-GB"/>
        </w:rPr>
        <w:commentReference w:id="19"/>
      </w:r>
      <w:r>
        <w:rPr>
          <w:rFonts w:ascii="Times New Roman" w:eastAsia="Aptos" w:hAnsi="Times New Roman" w:cs="Times New Roman"/>
          <w:sz w:val="22"/>
          <w:szCs w:val="22"/>
          <w:lang w:val="en-GB"/>
        </w:rPr>
        <w:t xml:space="preserve">Empirically, this selection bias artificially diminishes the statistical power of our second hypothesis: when enforcing the firm-level drop, the triple-interaction coefficients for constrained stocks lose conventional significance </w:t>
      </w:r>
      <w:commentRangeStart w:id="20"/>
      <w:r>
        <w:rPr>
          <w:rFonts w:ascii="Times New Roman" w:eastAsia="Aptos" w:hAnsi="Times New Roman" w:cs="Times New Roman"/>
          <w:sz w:val="22"/>
          <w:szCs w:val="22"/>
          <w:highlight w:val="yellow"/>
          <w:lang w:val="en-GB"/>
        </w:rPr>
        <w:t>(e.g., Group 1: -0.120, p = 0.124; Group 3: -0.171, p = 0.053).</w:t>
      </w:r>
      <w:r>
        <w:rPr>
          <w:rFonts w:ascii="Times New Roman" w:eastAsia="Aptos" w:hAnsi="Times New Roman" w:cs="Times New Roman"/>
          <w:sz w:val="22"/>
          <w:szCs w:val="22"/>
          <w:lang w:val="en-GB"/>
        </w:rPr>
        <w:t xml:space="preserve"> </w:t>
      </w:r>
      <w:commentRangeEnd w:id="20"/>
      <w:r>
        <w:rPr>
          <w:rStyle w:val="CommentReference"/>
          <w:rFonts w:ascii="Times New Roman" w:eastAsia="Aptos" w:hAnsi="Times New Roman" w:cs="Times New Roman"/>
          <w:sz w:val="22"/>
          <w:szCs w:val="22"/>
          <w:lang w:val="en-GB"/>
        </w:rPr>
        <w:commentReference w:id="20"/>
      </w:r>
      <w:r>
        <w:rPr>
          <w:rFonts w:ascii="Times New Roman" w:eastAsia="Aptos" w:hAnsi="Times New Roman" w:cs="Times New Roman"/>
          <w:sz w:val="22"/>
          <w:szCs w:val="22"/>
          <w:lang w:val="en-GB"/>
        </w:rPr>
        <w:t>Conversely, by employing the daily-level ITT approach, we effectively filter out extreme microstructure noise while preserving the sample's vital variance, yielding strong and statistically significant heterogeneous effects (Group 1: -0.169, p = 0.031; Group 3: -0.187, p = 0.054).</w:t>
      </w:r>
    </w:p>
    <w:p w14:paraId="3975B253" w14:textId="7A2E3169"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Continuous trading variables are further cleaned by removing observations with non-positive volume or shares outstanding, as well as cases in which the quoted ask does not exceed the bid. To limit the influence of extreme outliers, turnover, volume, spreads, absolute returns and inversed prices are winsorized at the 1st and 99th percentiles. Finally, to construct the SmallSpread indicator used in the heterogeneous analysis, each stock’s average dollar quoted spread is computed over the six-month pre-implementation window corresponding to its activation date. Stocks with an average spread strictly below $0.05 are classified as constrained, consistent with the binding-threshold definition in Albuquerque et al. (2020).</w:t>
      </w:r>
    </w:p>
    <w:p w14:paraId="7346F364" w14:textId="77777777" w:rsidR="00396015" w:rsidRPr="00CC1B6F" w:rsidRDefault="00396015" w:rsidP="00396015">
      <w:pPr>
        <w:pStyle w:val="Heading2"/>
        <w:numPr>
          <w:ilvl w:val="0"/>
          <w:numId w:val="0"/>
        </w:numPr>
        <w:rPr>
          <w:rFonts w:ascii="Times New Roman" w:hAnsi="Times New Roman" w:cs="Times New Roman"/>
          <w:lang w:val="en-GB"/>
        </w:rPr>
      </w:pPr>
      <w:bookmarkStart w:id="21" w:name="_Toc223276461"/>
      <w:r>
        <w:rPr>
          <w:rFonts w:ascii="Times New Roman" w:hAnsi="Times New Roman" w:cs="Times New Roman"/>
          <w:lang w:val="en-GB"/>
        </w:rPr>
        <w:t xml:space="preserve">3.2 </w:t>
        <w:tab/>
        <w:t>Variable Construction</w:t>
      </w:r>
      <w:bookmarkEnd w:id="21"/>
    </w:p>
    <w:p w14:paraId="03F429FC" w14:textId="77777777" w:rsidR="00396015" w:rsidRPr="00DB1616" w:rsidRDefault="00396015" w:rsidP="00396015">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primary dependent variable is daily trading activity measured at the stock–day level. Consistent with the microstructure literature, trading activity is captured by share turnover, defined as the ratio of daily share volume (vol) to shares outstanding (shrout). Turnover provides a scale-adjusted measure of trading intensity that facilitates comparability across firms of different sizes. The main outcome variable, </w:t>
      </w:r>
      <m:oMath>
        <m:r>
          <m:rPr>
            <m:sty m:val="p"/>
          </m:rPr>
          <w:rPr>
            <w:rFonts w:ascii="Cambria Math" w:eastAsia="Aptos" w:hAnsi="Cambria Math" w:cs="Times New Roman"/>
            <w:sz w:val="22"/>
            <w:szCs w:val="22"/>
            <w:lang w:val="en-GB"/>
          </w:rPr>
          <m:t>ln⁡(</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Turnover</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oMath>
      <w:r>
        <w:rPr>
          <w:rFonts w:ascii="Times New Roman" w:eastAsia="Aptos" w:hAnsi="Times New Roman" w:cs="Times New Roman"/>
          <w:sz w:val="22"/>
          <w:szCs w:val="22"/>
          <w:lang w:val="en-GB"/>
        </w:rPr>
        <w:t>, is constructed as the natural logarithm of daily turnover after winsorization. Logarithmic transformation reduces skewness and allows estimated coefficients to be interpreted approximately as percentage changes. For descriptive purposes, the logarithm of share volume is also computed, though it is not used in the baseline regressions.</w:t>
      </w:r>
    </w:p>
    <w:p w14:paraId="48FB5654"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Quoted spreads are constructed as the daily difference between the best ask and best bid prices,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Spread</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Ask</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Bid</m:t>
            </m:r>
          </m:e>
          <m:sub>
            <m:r>
              <w:rPr>
                <w:rFonts w:ascii="Cambria Math" w:eastAsia="Aptos" w:hAnsi="Cambria Math" w:cs="Times New Roman"/>
                <w:sz w:val="22"/>
                <w:szCs w:val="22"/>
                <w:lang w:val="en-GB"/>
              </w:rPr>
              <m:t>it</m:t>
            </m:r>
          </m:sub>
        </m:sSub>
      </m:oMath>
      <w:r>
        <w:rPr>
          <w:rFonts w:ascii="Times New Roman" w:eastAsia="Aptos" w:hAnsi="Times New Roman" w:cs="Times New Roman"/>
          <w:sz w:val="22"/>
          <w:szCs w:val="22"/>
          <w:lang w:val="en-GB"/>
        </w:rPr>
        <w:t>. Observations in which the quoted ask does not exceed the bid are removed to ensure economically meaningful spread values. The spread measure serves two purposes: it underlies the construction of the binding-constraint indicator and provides descriptive evidence on pre-treatment liquidity conditions.</w:t>
      </w:r>
    </w:p>
    <w:p w14:paraId="6D2BADAE"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key treatment variables correspond to the SEC pilot group assignments. Indicator variables </w:t>
      </w:r>
      <m:oMath>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1</m:t>
            </m:r>
          </m:e>
          <m:sub>
            <m:r>
              <w:rPr>
                <w:rFonts w:ascii="Cambria Math" w:eastAsia="Aptos" w:hAnsi="Cambria Math" w:cs="Times New Roman"/>
                <w:sz w:val="22"/>
                <w:szCs w:val="22"/>
                <w:lang w:val="en-GB"/>
              </w:rPr>
              <m:t>i</m:t>
            </m:r>
          </m:sub>
        </m:sSub>
        <m:r>
          <m:rPr>
            <m:sty m:val="p"/>
          </m:rPr>
          <w:rPr>
            <w:rFonts w:ascii="Cambria Math" w:eastAsia="Aptos" w:hAnsi="Cambria Math" w:cs="Times New Roman"/>
            <w:sz w:val="22"/>
            <w:szCs w:val="22"/>
            <w:lang w:val="en-GB"/>
          </w:rPr>
          <m:t xml:space="preserve"> </m:t>
        </m:r>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2</m:t>
            </m:r>
          </m:e>
          <m:sub>
            <m:r>
              <w:rPr>
                <w:rFonts w:ascii="Cambria Math" w:eastAsia="Aptos" w:hAnsi="Cambria Math" w:cs="Times New Roman"/>
                <w:sz w:val="22"/>
                <w:szCs w:val="22"/>
                <w:lang w:val="en-GB"/>
              </w:rPr>
              <m:t>i</m:t>
            </m:r>
          </m:sub>
        </m:sSub>
      </m:oMath>
      <w:r>
        <w:rPr>
          <w:rFonts w:ascii="Times New Roman" w:eastAsia="Aptos" w:hAnsi="Times New Roman" w:cs="Times New Roman"/>
          <w:sz w:val="22"/>
          <w:szCs w:val="22"/>
          <w:lang w:val="en-GB"/>
        </w:rPr>
        <w:t xml:space="preserve">,  and </w:t>
      </w:r>
      <m:oMath>
        <m:r>
          <w:rPr>
            <w:rFonts w:ascii="Cambria Math" w:eastAsia="Aptos" w:hAnsi="Cambria Math" w:cs="Times New Roman"/>
            <w:sz w:val="22"/>
            <w:szCs w:val="22"/>
            <w:lang w:val="en-GB"/>
          </w:rPr>
          <m:t>G</m:t>
        </m:r>
        <m:sSub>
          <m:sSubPr>
            <m:ctrlPr>
              <w:rPr>
                <w:rFonts w:ascii="Cambria Math" w:eastAsia="Aptos" w:hAnsi="Cambria Math" w:cs="Times New Roman"/>
                <w:sz w:val="22"/>
                <w:szCs w:val="22"/>
                <w:lang w:val="en-GB"/>
              </w:rPr>
            </m:ctrlPr>
          </m:sSubPr>
          <m:e>
            <m:r>
              <m:rPr>
                <m:sty m:val="p"/>
              </m:rPr>
              <w:rPr>
                <w:rFonts w:ascii="Cambria Math" w:eastAsia="Aptos" w:hAnsi="Cambria Math" w:cs="Times New Roman"/>
                <w:sz w:val="22"/>
                <w:szCs w:val="22"/>
                <w:lang w:val="en-GB"/>
              </w:rPr>
              <m:t>3</m:t>
            </m:r>
          </m:e>
          <m:sub>
            <m:r>
              <w:rPr>
                <w:rFonts w:ascii="Cambria Math" w:eastAsia="Aptos" w:hAnsi="Cambria Math" w:cs="Times New Roman"/>
                <w:sz w:val="22"/>
                <w:szCs w:val="22"/>
                <w:lang w:val="en-GB"/>
              </w:rPr>
              <m:t>i</m:t>
            </m:r>
          </m:sub>
        </m:sSub>
      </m:oMath>
      <w:r>
        <w:rPr>
          <w:rFonts w:ascii="Times New Roman" w:eastAsia="Aptos" w:hAnsi="Times New Roman" w:cs="Times New Roman"/>
          <w:sz w:val="22"/>
          <w:szCs w:val="22"/>
          <w:lang w:val="en-GB"/>
        </w:rPr>
        <w:t xml:space="preserve"> identify stocks assigned to each of the three treatment groups, while control stocks constitute the omitted category. The treatment period indicator, </w:t>
      </w:r>
      <m:oMath>
        <m:sSub>
          <m:sSubPr>
            <m:ctrlPr>
              <w:rPr>
                <w:rFonts w:ascii="Cambria Math" w:hAnsi="Cambria Math" w:cs="Times New Roman"/>
                <w:sz w:val="21"/>
                <w:szCs w:val="21"/>
                <w:lang w:val="en-GB"/>
              </w:rPr>
            </m:ctrlPr>
          </m:sSubPr>
          <m:e>
            <m:r>
              <w:rPr>
                <w:rFonts w:ascii="Cambria Math" w:hAnsi="Cambria Math" w:cs="Times New Roman"/>
                <w:sz w:val="21"/>
                <w:szCs w:val="21"/>
                <w:lang w:val="en-GB"/>
              </w:rPr>
              <m:t>TreatmentPeriod</m:t>
            </m:r>
          </m:e>
          <m:sub>
            <m:r>
              <w:rPr>
                <w:rFonts w:ascii="Cambria Math" w:hAnsi="Cambria Math" w:cs="Times New Roman"/>
                <w:sz w:val="21"/>
                <w:szCs w:val="21"/>
                <w:lang w:val="en-GB"/>
              </w:rPr>
              <m:t>t</m:t>
            </m:r>
          </m:sub>
        </m:sSub>
      </m:oMath>
      <w:r>
        <w:rPr>
          <w:rFonts w:ascii="Times New Roman" w:eastAsia="Aptos" w:hAnsi="Times New Roman" w:cs="Times New Roman"/>
          <w:sz w:val="21"/>
          <w:szCs w:val="21"/>
          <w:lang w:val="en-GB"/>
        </w:rPr>
        <w:t xml:space="preserve"> </w:t>
      </w:r>
      <w:r>
        <w:rPr>
          <w:rFonts w:ascii="Times New Roman" w:eastAsia="Aptos" w:hAnsi="Times New Roman" w:cs="Times New Roman"/>
          <w:sz w:val="22"/>
          <w:szCs w:val="22"/>
          <w:lang w:val="en-GB"/>
        </w:rPr>
        <w:t>equals one during the pilot implementation window (October 17, 2016 to September 28, 2018 for Groups 1 and 2; October 31, 2016 to September 28, 2018 for Group 3) and zero otherwise. These indicators generate the difference-in-differences interactions that identify the average treatment effects.</w:t>
      </w:r>
    </w:p>
    <w:p w14:paraId="3FB2CBE5"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To capture heterogeneity in exposure to the regulatory change, a pre-treatment binding constraint indicator, </w:t>
      </w:r>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SmallSpread</m:t>
            </m:r>
          </m:e>
          <m:sub>
            <m:r>
              <w:rPr>
                <w:rFonts w:ascii="Cambria Math" w:eastAsia="Aptos" w:hAnsi="Cambria Math" w:cs="Times New Roman"/>
                <w:sz w:val="22"/>
                <w:szCs w:val="22"/>
                <w:lang w:val="en-GB"/>
              </w:rPr>
              <m:t>i</m:t>
            </m:r>
          </m:sub>
        </m:sSub>
      </m:oMath>
      <w:r>
        <w:rPr>
          <w:rFonts w:ascii="Times New Roman" w:eastAsia="Aptos" w:hAnsi="Times New Roman" w:cs="Times New Roman"/>
          <w:sz w:val="22"/>
          <w:szCs w:val="22"/>
          <w:lang w:val="en-GB"/>
        </w:rPr>
        <w:t>, is constructed. For each stock, the average dollar quoted spread is computed over the six-month pre-implementation window corresponding to its activation date. The firm-level pre-period average is then assigned to all observations for that stock. Stocks whose average pre-treatment spread is strictly below $0.05 are classified as constrained. This classification reflects whether the new $0.05 minimum tick is likely to bind relative to the stock’s prior equilibrium spread.</w:t>
      </w:r>
    </w:p>
    <w:p w14:paraId="07197387" w14:textId="77777777" w:rsidR="00F913DB" w:rsidRPr="00F913DB" w:rsidRDefault="00F91C84" w:rsidP="00F913DB">
      <w:pPr>
        <w:spacing w:after="120" w:line="360" w:lineRule="auto"/>
        <w:jc w:val="both"/>
        <w:rPr>
          <w:rFonts w:ascii="Times New Roman" w:eastAsia="Aptos" w:hAnsi="Times New Roman" w:cs="Times New Roman"/>
          <w:sz w:val="22"/>
          <w:szCs w:val="22"/>
          <w:lang w:val="en-US"/>
        </w:rPr>
      </w:pPr>
      <w:r>
        <w:rPr>
          <w:rFonts w:ascii="Times New Roman" w:eastAsia="Aptos" w:hAnsi="Times New Roman" w:cs="Times New Roman"/>
          <w:sz w:val="22"/>
          <w:szCs w:val="22"/>
          <w:lang w:val="en-US"/>
        </w:rPr>
        <w:t xml:space="preserve">Two time-varying control variables are included in all specifications. The first is the inverse of the daily midpoint price, defined as </w:t>
      </w:r>
      <w:commentRangeStart w:id="22"/>
      <w:commentRangeStart w:id="23"/>
      <m:oMath>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Inv_Price</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f>
          <m:fPr>
            <m:ctrlPr>
              <w:rPr>
                <w:rFonts w:ascii="Cambria Math" w:eastAsia="Aptos" w:hAnsi="Cambria Math" w:cs="Times New Roman"/>
                <w:sz w:val="22"/>
                <w:szCs w:val="22"/>
                <w:lang w:val="en-GB"/>
              </w:rPr>
            </m:ctrlPr>
          </m:fPr>
          <m:num>
            <m:r>
              <m:rPr>
                <m:sty m:val="p"/>
              </m:rPr>
              <w:rPr>
                <w:rFonts w:ascii="Cambria Math" w:eastAsia="Aptos" w:hAnsi="Cambria Math" w:cs="Times New Roman"/>
                <w:sz w:val="22"/>
                <w:szCs w:val="22"/>
                <w:lang w:val="en-GB"/>
              </w:rPr>
              <m:t>1</m:t>
            </m:r>
          </m:num>
          <m:den>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Ask</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m:t>
            </m:r>
            <m:sSub>
              <m:sSubPr>
                <m:ctrlPr>
                  <w:rPr>
                    <w:rFonts w:ascii="Cambria Math" w:eastAsia="Aptos" w:hAnsi="Cambria Math" w:cs="Times New Roman"/>
                    <w:sz w:val="22"/>
                    <w:szCs w:val="22"/>
                    <w:lang w:val="en-GB"/>
                  </w:rPr>
                </m:ctrlPr>
              </m:sSubPr>
              <m:e>
                <m:r>
                  <m:rPr>
                    <m:nor/>
                  </m:rPr>
                  <w:rPr>
                    <w:rFonts w:ascii="Times New Roman" w:eastAsia="Aptos" w:hAnsi="Times New Roman" w:cs="Times New Roman"/>
                    <w:sz w:val="22"/>
                    <w:szCs w:val="22"/>
                    <w:lang w:val="en-GB"/>
                  </w:rPr>
                  <m:t>Bid</m:t>
                </m:r>
              </m:e>
              <m:sub>
                <m:r>
                  <w:rPr>
                    <w:rFonts w:ascii="Cambria Math" w:eastAsia="Aptos" w:hAnsi="Cambria Math" w:cs="Times New Roman"/>
                    <w:sz w:val="22"/>
                    <w:szCs w:val="22"/>
                    <w:lang w:val="en-GB"/>
                  </w:rPr>
                  <m:t>it</m:t>
                </m:r>
              </m:sub>
            </m:sSub>
            <m:r>
              <m:rPr>
                <m:sty m:val="p"/>
              </m:rPr>
              <w:rPr>
                <w:rFonts w:ascii="Cambria Math" w:eastAsia="Aptos" w:hAnsi="Cambria Math" w:cs="Times New Roman"/>
                <w:sz w:val="22"/>
                <w:szCs w:val="22"/>
                <w:lang w:val="en-GB"/>
              </w:rPr>
              <m:t>)/2</m:t>
            </m:r>
          </m:den>
        </m:f>
      </m:oMath>
      <w:commentRangeEnd w:id="22"/>
      <w:r>
        <w:rPr>
          <w:rStyle w:val="CommentReference"/>
          <w:rFonts w:ascii="Times New Roman" w:eastAsia="Aptos" w:hAnsi="Times New Roman" w:cs="Times New Roman"/>
          <w:sz w:val="22"/>
          <w:szCs w:val="22"/>
          <w:lang w:val="en-GB"/>
        </w:rPr>
        <w:commentReference w:id="22"/>
      </w:r>
      <w:commentRangeEnd w:id="23"/>
      <w:r>
        <w:rPr>
          <w:rStyle w:val="CommentReference"/>
          <w:rFonts w:ascii="Times New Roman" w:eastAsia="Aptos" w:hAnsi="Times New Roman" w:cs="Times New Roman"/>
          <w:sz w:val="22"/>
          <w:szCs w:val="22"/>
          <w:lang w:val="en-GB"/>
        </w:rPr>
        <w:commentReference w:id="23"/>
      </w:r>
      <w:r>
        <w:rPr>
          <w:rFonts w:ascii="Times New Roman" w:eastAsia="Aptos" w:hAnsi="Times New Roman" w:cs="Times New Roman"/>
          <w:sz w:val="22"/>
          <w:szCs w:val="22"/>
          <w:lang w:val="en-GB"/>
        </w:rPr>
        <w:t xml:space="preserve">, </w:t>
      </w:r>
      <w:bookmarkStart w:id="24" w:name="_Toc223276462"/>
      <w:r>
        <w:rPr>
          <w:rFonts w:ascii="Times New Roman" w:eastAsia="Aptos" w:hAnsi="Times New Roman" w:cs="Times New Roman"/>
          <w:sz w:val="22"/>
          <w:szCs w:val="22"/>
          <w:lang w:val="en-US"/>
        </w:rPr>
        <w:t>which captures the mechanical relationship between the price level and the proportional size of the minimum tick increment, as lower-priced stocks face a larger relative spread floor. Including this control ensures that estimated treatment effects are not driven by contemporaneous price-level variation. The second control variable is the one-day lagged absolute return (</w:t>
      </w:r>
      <m:oMath>
        <m:r>
          <m:rPr>
            <m:nor/>
          </m:rPr>
          <w:rPr>
            <w:rFonts w:ascii="Times New Roman" w:eastAsia="Aptos" w:hAnsi="Times New Roman" w:cs="Times New Roman"/>
            <w:sz w:val="22"/>
            <w:szCs w:val="22"/>
            <w:lang w:val="en-US"/>
          </w:rPr>
          <m:t>L_abs_ret</m:t>
        </m:r>
      </m:oMath>
      <w:r>
        <w:rPr>
          <w:rFonts w:ascii="Times New Roman" w:eastAsia="Aptos" w:hAnsi="Times New Roman" w:cs="Times New Roman"/>
          <w:sz w:val="22"/>
          <w:szCs w:val="22"/>
          <w:lang w:val="en-US"/>
        </w:rPr>
        <w:t xml:space="preserve">), which is predetermined relative to contemporaneous volume and controls for short-term intertemporal volatility persistence, as turbulent trading days tend to be followed by elevated trading activity, without introducing endogeneity concerns. Contemporaneous return volatility is deliberately excluded from the specification. Because the pilot directly widens bid-ask spreads, contemporaneous volatility constitutes an endogenous outcome of the regulatory change, and its inclusion would introduce bad-control bias by absorbing part of the treatment effect. Firm and date fixed effects absorb time-invariant cross-sectional heterogeneity and aggregate market-wide shocks respectively, rendering no further controls necessary. </w:t>
      </w:r>
    </w:p>
    <w:p w14:paraId="1CF3285D" w14:textId="019B7485" w:rsidR="00396015" w:rsidRPr="00CC1B6F" w:rsidRDefault="00396015" w:rsidP="00F913DB">
      <w:pPr>
        <w:pStyle w:val="Heading2"/>
        <w:numPr>
          <w:ilvl w:val="0"/>
          <w:numId w:val="0"/>
        </w:numPr>
        <w:rPr>
          <w:rFonts w:ascii="Times New Roman" w:hAnsi="Times New Roman" w:cs="Times New Roman"/>
          <w:lang w:val="en-GB"/>
        </w:rPr>
      </w:pPr>
      <w:r>
        <w:rPr>
          <w:rFonts w:ascii="Times New Roman" w:hAnsi="Times New Roman" w:cs="Times New Roman"/>
          <w:lang w:val="en-GB"/>
        </w:rPr>
        <w:t xml:space="preserve">3.3 </w:t>
        <w:tab/>
        <w:t>Summary Statistics</w:t>
      </w:r>
      <w:bookmarkEnd w:id="24"/>
    </w:p>
    <w:p w14:paraId="37602FD5" w14:textId="77777777" w:rsidR="00396015" w:rsidRPr="00DB1616" w:rsidRDefault="00396015" w:rsidP="00396015">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Table 1 reports summary statistics for the control group and the three pilot treatment groups during the pre-implementation period, defined as March 1 to August 31, 2016 (Albuquerque et al., 2020). Restricting the sample to the pre-treatment window ensures that the statistics reflect baseline characteristics prior to the regulatory intervention and are not mechanically influenced by the tick size increase.</w:t>
      </w:r>
    </w:p>
    <w:p w14:paraId="0017D321"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Across all four groups, trading activity is economically comparable before the pilot’s implementation. The mean log turnover is 1.185 in Group 1, 1.086 in Group 2, and 1.131 in Group 3, with the control group exhibiting a mean of 1.109. Similarly, average log trading volume varies modestly across groups, remaining tightly clustered around 11.04-11.14. These similarities suggest no systematic pre-treatment differences in baseline trading intensity between treated and control stocks.</w:t>
      </w:r>
    </w:p>
    <w:p w14:paraId="2D0B36D0"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Quoted spread measures display the same pattern of comparability. The average daily spread equals 8.59 cents in the control group, compared to 8.03 cents in Group 1, 8.16 cents in Group 2, and 8.51 cents in Group 3. Firm-level pre-treatment spreads are likewise closely aligned across groups, with differences below one-quarter of a cent. The narrow dispersion in both contemporaneous and historical spread measures is consistent with the SEC’s stratified random assignment procedure and supports the assumption that treatment status is exogenous to prior liquidity conditions.</w:t>
      </w:r>
    </w:p>
    <w:p w14:paraId="22428848"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proportion of stocks classified as constrained (SmallSpread) is also remarkably similar across groups. Approximately three-quarters of stocks in each group exhibit pre-treatment average spreads below the $0.05 threshold, with shares ranging from 73.5% to 75.3%. This balance is particularly important for the heterogeneous analysis, as it indicates that the distribution of binding constraints is not systematically correlated with treatment assignment.</w:t>
      </w:r>
    </w:p>
    <w:p w14:paraId="6D72F48A" w14:textId="77777777" w:rsidR="00396015" w:rsidRPr="00DB1616" w:rsidRDefault="00396015" w:rsidP="00396015">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Overall, the pre-treatment statistics reveal no economically meaningful baseline imbalances across control and treatment groups. The similarity in trading activity, spreads, and constraint classification prior to implementation strengthens the credibility of the difference-in-differences design and supports the parallel trends assumption underlying the empirical strategy. </w:t>
      </w:r>
    </w:p>
    <w:p w14:paraId="0D6668C6" w14:textId="04056CD8" w:rsidR="003E01FB" w:rsidRPr="00DB1616" w:rsidRDefault="00E76874" w:rsidP="003E01FB">
      <w:pPr>
        <w:spacing w:after="120" w:line="360" w:lineRule="auto"/>
        <w:jc w:val="both"/>
        <w:rPr>
          <w:rFonts w:ascii="Times New Roman" w:eastAsia="Aptos" w:hAnsi="Times New Roman" w:cs="Times New Roman"/>
          <w:b/>
          <w:sz w:val="22"/>
          <w:szCs w:val="22"/>
          <w:lang w:val="en-GB"/>
        </w:rPr>
      </w:pPr>
      <w:bookmarkStart w:id="25" w:name="_Ref142585218"/>
      <w:bookmarkStart w:id="26" w:name="_Toc223276214"/>
      <w:r>
        <w:rPr>
          <w:rFonts w:ascii="Times New Roman" w:hAnsi="Times New Roman" w:cs="Times New Roman"/>
          <w:b/>
          <w:bCs/>
          <w:sz w:val="22"/>
          <w:szCs w:val="22"/>
          <w:lang w:val="en-US"/>
        </w:rPr>
        <w:t xml:space="preserve">Table </w:t>
      </w:r>
      <w:r>
        <w:rPr>
          <w:rFonts w:ascii="Times New Roman" w:hAnsi="Times New Roman" w:cs="Times New Roman"/>
          <w:b/>
          <w:bCs/>
          <w:sz w:val="22"/>
          <w:szCs w:val="22"/>
        </w:rPr>
        <w:fldChar w:fldCharType="begin"/>
      </w:r>
      <w:r>
        <w:rPr>
          <w:rFonts w:ascii="Times New Roman" w:hAnsi="Times New Roman" w:cs="Times New Roman"/>
          <w:b/>
          <w:bCs/>
          <w:sz w:val="22"/>
          <w:szCs w:val="22"/>
          <w:lang w:val="en-US"/>
        </w:rPr>
        <w:instrText xml:space="preserve"> SEQ Table \* ARABIC </w:instrText>
      </w:r>
      <w:r>
        <w:rPr>
          <w:rFonts w:ascii="Times New Roman" w:hAnsi="Times New Roman" w:cs="Times New Roman"/>
          <w:b/>
          <w:bCs/>
          <w:sz w:val="22"/>
          <w:szCs w:val="22"/>
        </w:rPr>
        <w:fldChar w:fldCharType="separate"/>
      </w:r>
      <w:r>
        <w:rPr>
          <w:rFonts w:ascii="Times New Roman" w:hAnsi="Times New Roman" w:cs="Times New Roman"/>
          <w:b/>
          <w:bCs/>
          <w:noProof/>
          <w:sz w:val="22"/>
          <w:szCs w:val="22"/>
          <w:lang w:val="en-US"/>
        </w:rPr>
        <w:t>1</w:t>
      </w:r>
      <w:r>
        <w:rPr>
          <w:rFonts w:ascii="Times New Roman" w:hAnsi="Times New Roman" w:cs="Times New Roman"/>
          <w:b/>
          <w:bCs/>
          <w:noProof/>
          <w:sz w:val="22"/>
          <w:szCs w:val="22"/>
        </w:rPr>
        <w:fldChar w:fldCharType="end"/>
      </w:r>
      <w:bookmarkEnd w:id="25"/>
      <w:r>
        <w:rPr>
          <w:rFonts w:ascii="Times New Roman" w:eastAsia="Aptos" w:hAnsi="Times New Roman" w:cs="Times New Roman"/>
          <w:b/>
          <w:bCs/>
          <w:sz w:val="22"/>
          <w:szCs w:val="22"/>
          <w:lang w:val="en-GB"/>
        </w:rPr>
        <w:t>:</w:t>
      </w:r>
      <w:r>
        <w:rPr>
          <w:rFonts w:ascii="Times New Roman" w:eastAsia="Aptos" w:hAnsi="Times New Roman" w:cs="Times New Roman"/>
          <w:b/>
          <w:sz w:val="22"/>
          <w:szCs w:val="22"/>
          <w:lang w:val="en-GB"/>
        </w:rPr>
        <w:t xml:space="preserve"> Pre-Treatment Summary Statistics</w:t>
      </w:r>
      <w:bookmarkEnd w:id="26"/>
    </w:p>
    <w:p w14:paraId="5BD10EAA" w14:textId="55AF411B" w:rsidR="003E01FB" w:rsidRPr="00DB1616" w:rsidRDefault="003E01FB" w:rsidP="003E01FB">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i/>
          <w:sz w:val="22"/>
          <w:szCs w:val="22"/>
          <w:lang w:val="en-GB"/>
        </w:rPr>
        <w:t xml:space="preserve">Pre-Treatment Window: March 1 – August 31, 2016; </w:t>
      </w:r>
      <w:r>
        <w:rPr>
          <w:rFonts w:ascii="Times New Roman" w:eastAsia="Aptos" w:hAnsi="Times New Roman" w:cs="Times New Roman"/>
          <w:i/>
          <w:iCs/>
          <w:sz w:val="22"/>
          <w:szCs w:val="22"/>
          <w:lang w:val="en-GB"/>
        </w:rPr>
        <w:t>All continuous variables are winsorized at the 1st and 99th percentiles</w:t>
      </w:r>
    </w:p>
    <w:p>
      <w:pPr>
        <w:spacing w:after="60" w:line="240" w:lineRule="auto"/>
      </w:pPr>
    </w:p>
    <w:tbl>
      <w:tblPr>
        <w:tblW w:w="9360"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0" w:type="dxa"/>
          <w:start w:w="0" w:type="dxa"/>
          <w:bottom w:w="0" w:type="dxa"/>
          <w:end w:w="0" w:type="dxa"/>
        </w:tblCellMar>
      </w:tblPr>
      <w:tblGrid>
        <w:gridCol w:w="2160"/>
        <w:gridCol w:w="900"/>
        <w:gridCol w:w="900"/>
        <w:gridCol w:w="900"/>
        <w:gridCol w:w="900"/>
        <w:gridCol w:w="900"/>
        <w:gridCol w:w="900"/>
        <w:gridCol w:w="900"/>
        <w:gridCol w:w="900"/>
      </w:tblGrid>
      <w:tr>
        <w:tc>
          <w:tcPr>
            <w:tcW w:w="216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1800" w:type="dxa"/>
            <w:gridSpan w:val="2"/>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Control (N=108,011)</w:t>
            </w:r>
          </w:p>
        </w:tc>
        <w:tc>
          <w:tcPr>
            <w:tcW w:w="1800" w:type="dxa"/>
            <w:gridSpan w:val="2"/>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G1 – $0.05 tick (N=37,324)</w:t>
            </w:r>
          </w:p>
        </w:tc>
        <w:tc>
          <w:tcPr>
            <w:tcW w:w="1800" w:type="dxa"/>
            <w:gridSpan w:val="2"/>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G2 – $0.10 tick (N=36,484)</w:t>
            </w:r>
          </w:p>
        </w:tc>
        <w:tc>
          <w:tcPr>
            <w:tcW w:w="1800" w:type="dxa"/>
            <w:gridSpan w:val="2"/>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G3 – $0.20 tick (N=34,337)</w:t>
            </w:r>
          </w:p>
        </w:tc>
      </w:tr>
      <w:tr>
        <w:tc>
          <w:tcPr>
            <w:tcW w:w="216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b/>
                <w:sz w:val="20"/>
                <w:szCs w:val="20"/>
                <w:lang w:val="en-GB"/>
              </w:rPr>
            </w:pPr>
            <w:r>
              <w:rPr>
                <w:rFonts w:ascii="Times New Roman" w:hAnsi="Times New Roman" w:cs="Times New Roman"/>
                <w:b/>
                <w:sz w:val="20"/>
                <w:szCs w:val="20"/>
                <w:lang w:val="en-GB"/>
              </w:rPr>
              <w:t>Variable</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Mean</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SD</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Mean</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SD</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Mean</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SD</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Mean</w:t>
            </w:r>
          </w:p>
        </w:tc>
        <w:tc>
          <w:tcPr>
            <w:tcW w:w="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SD</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Log Turnover</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1.1044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1.3774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1.1132</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1.3278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1.0638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1.4385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1.1131</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1.3461</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Log Volume</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11.0922</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1.9565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11.1294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1.9434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11.0214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2.0433</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11.1176</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1.8951</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Inverse Price</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0.0967</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0.0973</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0.0980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0.0990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0.1074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0.1139</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0.0973</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0.1005</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Abs. Daily Return</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0.0178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0.0191</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0.0172</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0.0185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0.0180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0.0192</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0.0170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0.0182</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Quoted Spread</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0.0826</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0.2175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0.0775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0.2078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0.0786</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0.1941</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0.0819</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0.2279</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Avg. Pre-Treat. Spread</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0.0807</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0.1910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0.0755</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0.1851</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0.0794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0.1714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0.0788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0.2001</w:t>
            </w:r>
          </w:p>
        </w:tc>
      </w:tr>
      <w:tr>
        <w:tc>
          <w:tcPr>
            <w:tcW w:w="21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SmallSpread</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0.7460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0.4353</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0.7394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0.4390</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0.7458</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0.4354</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0.7472</w:t>
            </w:r>
          </w:p>
        </w:tc>
        <w:tc>
          <w:tcPr>
            <w:tcW w:w="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sz w:val="20"/>
                <w:szCs w:val="20"/>
                <w:lang w:val="en-GB"/>
              </w:rPr>
            </w:pPr>
            <w:r>
              <w:rPr>
                <w:rFonts w:ascii="Times New Roman" w:hAnsi="Times New Roman" w:cs="Times New Roman"/>
                <w:sz w:val="20"/>
                <w:szCs w:val="20"/>
                <w:lang w:val="en-GB"/>
              </w:rPr>
              <w:t>0.4346</w:t>
            </w:r>
          </w:p>
        </w:tc>
      </w:tr>
      <w:tr>
        <w:tc>
          <w:tcPr>
            <w:tcW w:w="216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b/>
                <w:sz w:val="20"/>
                <w:szCs w:val="20"/>
                <w:lang w:val="en-GB"/>
              </w:rPr>
            </w:pPr>
            <w:r>
              <w:rPr>
                <w:rFonts w:ascii="Times New Roman" w:hAnsi="Times New Roman" w:cs="Times New Roman"/>
                <w:b/>
                <w:sz w:val="20"/>
                <w:szCs w:val="20"/>
                <w:lang w:val="en-GB"/>
              </w:rPr>
              <w:t>Observations</w:t>
            </w: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b/>
                <w:sz w:val="20"/>
                <w:szCs w:val="20"/>
                <w:lang w:val="en-GB"/>
              </w:rPr>
            </w:pPr>
            <w:r>
              <w:rPr>
                <w:rFonts w:ascii="Times New Roman" w:hAnsi="Times New Roman" w:cs="Times New Roman"/>
                <w:b/>
                <w:sz w:val="20"/>
                <w:szCs w:val="20"/>
                <w:lang w:val="en-GB"/>
              </w:rPr>
              <w:t>108,011</w:t>
            </w: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b/>
                <w:sz w:val="20"/>
                <w:szCs w:val="20"/>
                <w:lang w:val="en-GB"/>
              </w:rPr>
            </w:pPr>
            <w:r>
              <w:rPr>
                <w:rFonts w:ascii="Times New Roman" w:hAnsi="Times New Roman" w:cs="Times New Roman"/>
                <w:b/>
                <w:sz w:val="20"/>
                <w:szCs w:val="20"/>
                <w:lang w:val="en-GB"/>
              </w:rPr>
              <w:t>37,324</w:t>
            </w: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b/>
                <w:sz w:val="20"/>
                <w:szCs w:val="20"/>
                <w:lang w:val="en-GB"/>
              </w:rPr>
            </w:pPr>
            <w:r>
              <w:rPr>
                <w:rFonts w:ascii="Times New Roman" w:hAnsi="Times New Roman" w:cs="Times New Roman"/>
                <w:b/>
                <w:sz w:val="20"/>
                <w:szCs w:val="20"/>
                <w:lang w:val="en-GB"/>
              </w:rPr>
              <w:t>36,484</w:t>
            </w: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right"/>
              <w:rPr>
                <w:rFonts w:ascii="Times New Roman" w:hAnsi="Times New Roman" w:cs="Times New Roman"/>
                <w:b/>
                <w:sz w:val="20"/>
                <w:szCs w:val="20"/>
                <w:lang w:val="en-GB"/>
              </w:rPr>
            </w:pPr>
            <w:r>
              <w:rPr>
                <w:rFonts w:ascii="Times New Roman" w:hAnsi="Times New Roman" w:cs="Times New Roman"/>
                <w:b/>
                <w:sz w:val="20"/>
                <w:szCs w:val="20"/>
                <w:lang w:val="en-GB"/>
              </w:rPr>
              <w:t>34,337</w:t>
            </w:r>
          </w:p>
        </w:tc>
        <w:tc>
          <w:tcPr>
            <w:tcW w:w="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r>
      <w:tr>
        <w:tc>
          <w:tcPr>
            <w:tcW w:w="9360" w:type="dxa"/>
            <w:gridSpan w:val="9"/>
            <w:tcBorders>
              <w:top w:val="single" w:sz="12" w:space="0" w:color="000000"/>
              <w:start w:val="none" w:sz="0" w:space="0" w:color="auto"/>
              <w:bottom w:val="single" w:sz="12"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18"/>
                <w:szCs w:val="18"/>
                <w:lang w:val="en-GB"/>
              </w:rPr>
            </w:pPr>
            <w:r>
              <w:rPr>
                <w:rFonts w:ascii="Times New Roman" w:hAnsi="Times New Roman" w:cs="Times New Roman"/>
                <w:i/>
                <w:iCs/>
                <w:sz w:val="18"/>
                <w:szCs w:val="18"/>
                <w:lang w:val="en-GB"/>
              </w:rPr>
              <w:t xml:space="preserve">Notes: Pre-treatment window: March 1 – August 31, 2016. SmallSpread = 1 if avg. pre-treatment quoted spread &lt; $0.05. All continuous variables are winsorized at the 1st and 99th percentiles.</w:t>
            </w:r>
          </w:p>
        </w:tc>
      </w:tr>
    </w:tbl>
    <w:p w14:paraId="63DBE56D" w14:textId="11DF7D26" w:rsidR="00992578" w:rsidRPr="000E7DB0" w:rsidRDefault="00992578" w:rsidP="002A4445">
      <w:pPr>
        <w:spacing w:after="0" w:line="360" w:lineRule="auto"/>
        <w:jc w:val="both"/>
        <w:rPr>
          <w:rFonts w:ascii="Times New Roman" w:eastAsia="Aptos" w:hAnsi="Times New Roman" w:cs="Times New Roman"/>
          <w:b/>
          <w:sz w:val="4"/>
          <w:szCs w:val="4"/>
          <w:lang w:val="en-GB"/>
        </w:rPr>
      </w:pPr>
    </w:p>
    <w:p w14:paraId="6457A0B9" w14:textId="4718F561" w:rsidR="006C0A4B" w:rsidRPr="00EA32E2" w:rsidRDefault="006C0A4B" w:rsidP="00675C55">
      <w:pPr>
        <w:pStyle w:val="Heading1"/>
        <w:numPr>
          <w:ilvl w:val="0"/>
          <w:numId w:val="44"/>
        </w:numPr>
      </w:pPr>
      <w:bookmarkStart w:id="27" w:name="_Toc223276463"/>
      <w:r>
        <w:t>Results</w:t>
      </w:r>
      <w:bookmarkEnd w:id="27"/>
    </w:p>
    <w:p w14:paraId="2FA65C97" w14:textId="7AAC5A28" w:rsidR="00C77B5C" w:rsidRDefault="00341DB7" w:rsidP="584DBFE9">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This section presents the empirical results of the difference-in-differences estimations assessing the impact of the SEC Tick Size Pilot Program on trading activity. The analysis proceeds in two stages. First, average treatment effects across the three pilot groups are estimated to test Hypothesis 1. </w:t>
      </w:r>
      <w:commentRangeStart w:id="28"/>
      <w:commentRangeEnd w:id="28"/>
      <w:r>
        <w:rPr>
          <w:rStyle w:val="CommentReference"/>
          <w:rFonts w:ascii="Times New Roman" w:eastAsia="Aptos" w:hAnsi="Times New Roman" w:cs="Times New Roman"/>
          <w:sz w:val="22"/>
          <w:szCs w:val="22"/>
          <w:lang w:val="en-GB"/>
        </w:rPr>
        <w:commentReference w:id="28"/>
      </w:r>
      <w:r>
        <w:rPr>
          <w:rFonts w:ascii="Times New Roman" w:eastAsia="Aptos" w:hAnsi="Times New Roman" w:cs="Times New Roman"/>
          <w:sz w:val="22"/>
          <w:szCs w:val="22"/>
          <w:lang w:val="en-GB"/>
        </w:rPr>
        <w:t>Second, heterogeneous effects are examined to assess whether the decline in trading activity is stronger for stocks whose pre-pilot quoted spreads were below $0.05, that is, for stocks for which the new minimum tick size is likely to bind, as predicted by Hypothesis 2.</w:t>
      </w:r>
    </w:p>
    <w:p w14:paraId="324F9E23" w14:textId="77777777" w:rsidR="00ED72D3" w:rsidRPr="00EA32E2" w:rsidRDefault="00ED72D3" w:rsidP="00ED72D3">
      <w:pPr>
        <w:pStyle w:val="Heading2"/>
        <w:numPr>
          <w:ilvl w:val="1"/>
          <w:numId w:val="44"/>
        </w:numPr>
        <w:rPr>
          <w:rFonts w:ascii="Times New Roman" w:hAnsi="Times New Roman" w:cs="Times New Roman"/>
          <w:lang w:val="en-GB"/>
        </w:rPr>
      </w:pPr>
      <w:bookmarkStart w:id="29" w:name="_Toc223276464"/>
      <w:r>
        <w:rPr>
          <w:rFonts w:ascii="Times New Roman" w:hAnsi="Times New Roman" w:cs="Times New Roman"/>
          <w:lang w:val="en-GB"/>
        </w:rPr>
        <w:t>Result Explanation</w:t>
      </w:r>
      <w:bookmarkEnd w:id="29"/>
    </w:p>
    <w:p w14:paraId="5322B893" w14:textId="7198F2FD" w:rsidR="006048EA" w:rsidRPr="006048EA" w:rsidRDefault="006048EA" w:rsidP="006048EA">
      <w:pPr>
        <w:spacing w:before="240" w:after="120" w:line="360" w:lineRule="auto"/>
        <w:rPr>
          <w:rFonts w:eastAsia="Aptos"/>
          <w:b/>
          <w:sz w:val="22"/>
          <w:szCs w:val="22"/>
          <w:lang w:val="en-GB"/>
        </w:rPr>
      </w:pPr>
      <w:bookmarkStart w:id="30" w:name="_Toc223276215"/>
      <w:r>
        <w:rPr>
          <w:noProof/>
        </w:rPr>
      </w:r>
      <w:r>
        <w:rPr>
          <w:rFonts w:ascii="Times New Roman" w:hAnsi="Times New Roman" w:cs="Times New Roman"/>
          <w:b/>
          <w:bCs/>
          <w:sz w:val="22"/>
          <w:szCs w:val="22"/>
          <w:lang w:val="en-US"/>
        </w:rPr>
        <w:t xml:space="preserve">Table </w:t>
      </w:r>
      <w:r>
        <w:rPr>
          <w:rFonts w:ascii="Times New Roman" w:hAnsi="Times New Roman" w:cs="Times New Roman"/>
          <w:b/>
          <w:bCs/>
          <w:sz w:val="22"/>
          <w:szCs w:val="22"/>
        </w:rPr>
        <w:fldChar w:fldCharType="begin"/>
      </w:r>
      <w:r>
        <w:rPr>
          <w:rFonts w:ascii="Times New Roman" w:hAnsi="Times New Roman" w:cs="Times New Roman"/>
          <w:b/>
          <w:bCs/>
          <w:sz w:val="22"/>
          <w:szCs w:val="22"/>
          <w:lang w:val="en-US"/>
        </w:rPr>
        <w:instrText xml:space="preserve"> SEQ Table \* ARABIC </w:instrText>
      </w:r>
      <w:r>
        <w:rPr>
          <w:rFonts w:ascii="Times New Roman" w:hAnsi="Times New Roman" w:cs="Times New Roman"/>
          <w:b/>
          <w:bCs/>
          <w:sz w:val="22"/>
          <w:szCs w:val="22"/>
        </w:rPr>
        <w:fldChar w:fldCharType="separate"/>
      </w:r>
      <w:r>
        <w:rPr>
          <w:rFonts w:ascii="Times New Roman" w:hAnsi="Times New Roman" w:cs="Times New Roman"/>
          <w:b/>
          <w:bCs/>
          <w:noProof/>
          <w:sz w:val="22"/>
          <w:szCs w:val="22"/>
          <w:lang w:val="en-US"/>
        </w:rPr>
        <w:t>2</w:t>
      </w:r>
      <w:r>
        <w:rPr>
          <w:rFonts w:ascii="Times New Roman" w:hAnsi="Times New Roman" w:cs="Times New Roman"/>
          <w:b/>
          <w:bCs/>
          <w:noProof/>
          <w:sz w:val="22"/>
          <w:szCs w:val="22"/>
        </w:rPr>
        <w:fldChar w:fldCharType="end"/>
      </w:r>
      <w:r>
        <w:rPr>
          <w:rFonts w:ascii="Times New Roman" w:eastAsia="Aptos" w:hAnsi="Times New Roman" w:cs="Times New Roman"/>
          <w:b/>
          <w:bCs/>
          <w:sz w:val="22"/>
          <w:szCs w:val="22"/>
          <w:lang w:val="en-GB"/>
        </w:rPr>
        <w:t>:</w:t>
      </w:r>
      <w:r>
        <w:rPr>
          <w:rFonts w:ascii="Times New Roman" w:eastAsia="Aptos" w:hAnsi="Times New Roman" w:cs="Times New Roman"/>
          <w:b/>
          <w:sz w:val="22"/>
          <w:szCs w:val="22"/>
          <w:lang w:val="en-GB"/>
        </w:rPr>
        <w:t xml:space="preserve"> Impact of the Tick Size Increase on Trading Turnover</w:t>
      </w:r>
      <w:bookmarkEnd w:id="30"/>
    </w:p>
    <w:p>
      <w:pPr>
        <w:spacing w:after="60" w:line="240" w:lineRule="auto"/>
      </w:pPr>
    </w:p>
    <w:tbl>
      <w:tblPr>
        <w:tblW w:w="9360"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0" w:type="dxa"/>
          <w:start w:w="0" w:type="dxa"/>
          <w:bottom w:w="0" w:type="dxa"/>
          <w:end w:w="0" w:type="dxa"/>
        </w:tblCellMar>
      </w:tblPr>
      <w:tblGrid>
        <w:gridCol w:w="5560"/>
        <w:gridCol w:w="1900"/>
        <w:gridCol w:w="1900"/>
      </w:tblGrid>
      <w:tr>
        <w:tc>
          <w:tcPr>
            <w:tcW w:w="556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190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w:t>
            </w:r>
          </w:p>
        </w:tc>
        <w:tc>
          <w:tcPr>
            <w:tcW w:w="190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(2)</w:t>
            </w:r>
          </w:p>
        </w:tc>
      </w:tr>
      <w:tr>
        <w:tc>
          <w:tcPr>
            <w:tcW w:w="556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1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H1: Average Effect</w:t>
            </w:r>
          </w:p>
        </w:tc>
        <w:tc>
          <w:tcPr>
            <w:tcW w:w="1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H2: Heterogeneous Effects</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−0.0884***</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0.0370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(0.0328)</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(0.0762)</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−0.0662*</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0.0548</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(0.0359)</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(0.0868)</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−0.0954**</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0.0447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(0.0374)</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(0.0935)</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−0.0586</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0.0241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(0.0443)</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(0.1041)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−0.0995**</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0.0521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(0.0465)</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(0.1077)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0.0031</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0.2270*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(0.0470)</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(0.1180)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−0.1691**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(0.0784)</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−0.1607*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(0.0900)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−0.1867*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(0.0968)</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−0.1110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(0.1080)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−0.2017*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(0.1128)</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−0.2990**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(0.1216)</w:t>
            </w:r>
          </w:p>
        </w:tc>
      </w:tr>
      <w:tr>
        <w:tc>
          <w:tcPr>
            <w:tcW w:w="556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b/>
                <w:sz w:val="20"/>
                <w:szCs w:val="20"/>
                <w:lang w:val="en-GB"/>
              </w:rPr>
            </w:pPr>
            <w:r>
              <w:rPr>
                <w:rFonts w:ascii="Times New Roman" w:hAnsi="Times New Roman" w:cs="Times New Roman"/>
                <w:b/>
                <w:sz w:val="20"/>
                <w:szCs w:val="20"/>
                <w:lang w:val="en-GB"/>
              </w:rPr>
              <w:t>Observations</w:t>
            </w:r>
          </w:p>
        </w:tc>
        <w:tc>
          <w:tcPr>
            <w:tcW w:w="1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1,378,164</w:t>
            </w:r>
          </w:p>
        </w:tc>
        <w:tc>
          <w:tcPr>
            <w:tcW w:w="1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1,378,164</w:t>
            </w:r>
          </w:p>
        </w:tc>
      </w:tr>
      <w:tr>
        <w:tc>
          <w:tcPr>
            <w:tcW w:w="9360" w:type="dxa"/>
            <w:gridSpan w:val="3"/>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18"/>
                <w:szCs w:val="18"/>
                <w:lang w:val="en-GB"/>
              </w:rPr>
            </w:pPr>
            <w:r>
              <w:rPr>
                <w:rFonts w:ascii="Times New Roman" w:hAnsi="Times New Roman" w:cs="Times New Roman"/>
                <w:i/>
                <w:iCs/>
                <w:sz w:val="18"/>
                <w:szCs w:val="18"/>
                <w:lang w:val="en-GB"/>
              </w:rPr>
              <w:t xml:space="preserve">Notes: Dependent variable is ln(Turnover). G1, G2, G3 = SEC Tick Size Pilot treatment group indicators. Treatment = 1 during the pilot implementation period. SmallSpread = 1 if avg. pre-treatment quoted spread &lt; $0.05. All regressions include firm and date fixed effects. Standard errors (in parentheses) are clustered at the firm level. H1 coefficient = avg. effect; H2 triple interaction = additional effect for SmallSpread=1. *** p&lt;0.01, ** p&lt;0.05, * p&lt;0.10.</w:t>
            </w:r>
          </w:p>
        </w:tc>
      </w:tr>
    </w:tbl>
    <w:p>
      <w:pPr>
        <w:spacing w:after="120" w:line="360" w:lineRule="auto"/>
      </w:pPr>
    </w:p>
    <w:p>
      <w:pPr>
        <w:spacing w:after="0" w:line="240" w:lineRule="auto"/>
      </w:pPr>
      <w:r>
        <w:rPr>
          <w:rFonts w:ascii="Times New Roman" w:hAnsi="Times New Roman" w:cs="Times New Roman"/>
          <w:b/>
          <w:sz w:val="22"/>
          <w:szCs w:val="22"/>
          <w:lang w:val="en-GB"/>
        </w:rPr>
        <w:t>Table 3: Impact of Tick Size on Log Volume</w:t>
      </w:r>
    </w:p>
    <w:p>
      <w:pPr>
        <w:spacing w:after="60" w:line="240" w:lineRule="auto"/>
      </w:pPr>
    </w:p>
    <w:tbl>
      <w:tblPr>
        <w:tblW w:w="9360" w:type="dxa"/>
        <w:tblBorders>
          <w:top w:val="none" w:sz="0" w:space="0" w:color="auto"/>
          <w:start w:val="none" w:sz="0" w:space="0" w:color="auto"/>
          <w:bottom w:val="none" w:sz="0" w:space="0" w:color="auto"/>
          <w:end w:val="none" w:sz="0" w:space="0" w:color="auto"/>
          <w:insideH w:val="none" w:sz="0" w:space="0" w:color="auto"/>
          <w:insideV w:val="none" w:sz="0" w:space="0" w:color="auto"/>
        </w:tblBorders>
        <w:tblCellMar>
          <w:top w:w="0" w:type="dxa"/>
          <w:start w:w="0" w:type="dxa"/>
          <w:bottom w:w="0" w:type="dxa"/>
          <w:end w:w="0" w:type="dxa"/>
        </w:tblCellMar>
      </w:tblPr>
      <w:tblGrid>
        <w:gridCol w:w="5560"/>
        <w:gridCol w:w="1900"/>
        <w:gridCol w:w="1900"/>
      </w:tblGrid>
      <w:tr>
        <w:tc>
          <w:tcPr>
            <w:tcW w:w="556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190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w:t>
            </w:r>
          </w:p>
        </w:tc>
        <w:tc>
          <w:tcPr>
            <w:tcW w:w="1900" w:type="dxa"/>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(2)</w:t>
            </w:r>
          </w:p>
        </w:tc>
      </w:tr>
      <w:tr>
        <w:tc>
          <w:tcPr>
            <w:tcW w:w="556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p>
        </w:tc>
        <w:tc>
          <w:tcPr>
            <w:tcW w:w="1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H1: Average Effect</w:t>
            </w:r>
          </w:p>
        </w:tc>
        <w:tc>
          <w:tcPr>
            <w:tcW w:w="1900" w:type="dxa"/>
            <w:tcBorders>
              <w:top w:val="none" w:sz="0" w:space="0" w:color="auto"/>
              <w:start w:val="none" w:sz="0" w:space="0" w:color="auto"/>
              <w:bottom w:val="single" w:sz="4" w:space="0" w:color="000000"/>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 xml:space="preserve">H2: Heterogeneous Effects</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−0.1081***</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0.0420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(0.0367)</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(0.0835)</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−0.0680</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0.0823</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(0.0413)</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(0.1002)</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Treatment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−0.0930**</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0.0677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(0.0400)</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(0.0949)</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−0.0799</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0.0774</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(0.0512)</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(0.1159)</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−0.1117**</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0.1010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(0.0559)</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(0.1281)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Post-Pilot</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−0.0046</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0.2614**</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(0.0525)</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(0.1305)</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−0.2021**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(0.0863)</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−0.1995*</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(0.1043)</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Treatment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−0.2141**</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(0.0988)</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G1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−0.2117*</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(0.1212)</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G2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−0.2830**</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(0.1353)</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G3 × Post-Pilot × SmallSpread</w:t>
            </w: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sz w:val="20"/>
                <w:szCs w:val="20"/>
                <w:lang w:val="en-GB"/>
              </w:rPr>
            </w:pPr>
            <w:r>
              <w:rPr>
                <w:rFonts w:ascii="Times New Roman" w:hAnsi="Times New Roman" w:cs="Times New Roman"/>
                <w:sz w:val="20"/>
                <w:szCs w:val="20"/>
                <w:lang w:val="en-GB"/>
              </w:rPr>
              <w:t>−0.3553***</w:t>
            </w:r>
          </w:p>
        </w:tc>
      </w:tr>
      <w:tr>
        <w:tc>
          <w:tcPr>
            <w:tcW w:w="556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p>
        </w:tc>
        <w:tc>
          <w:tcPr>
            <w:tcW w:w="1900" w:type="dxa"/>
            <w:tcBorders>
              <w:top w:val="none" w:sz="0" w:space="0" w:color="auto"/>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i/>
                <w:iCs/>
                <w:sz w:val="20"/>
                <w:szCs w:val="20"/>
                <w:lang w:val="en-GB"/>
              </w:rPr>
            </w:pPr>
            <w:r>
              <w:rPr>
                <w:rFonts w:ascii="Times New Roman" w:hAnsi="Times New Roman" w:cs="Times New Roman"/>
                <w:i/>
                <w:iCs/>
                <w:sz w:val="20"/>
                <w:szCs w:val="20"/>
                <w:lang w:val="en-GB"/>
              </w:rPr>
              <w:t>(0.1343)</w:t>
            </w:r>
          </w:p>
        </w:tc>
      </w:tr>
      <w:tr>
        <w:tc>
          <w:tcPr>
            <w:tcW w:w="556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b/>
                <w:sz w:val="20"/>
                <w:szCs w:val="20"/>
                <w:lang w:val="en-GB"/>
              </w:rPr>
            </w:pPr>
            <w:r>
              <w:rPr>
                <w:rFonts w:ascii="Times New Roman" w:hAnsi="Times New Roman" w:cs="Times New Roman"/>
                <w:b/>
                <w:sz w:val="20"/>
                <w:szCs w:val="20"/>
                <w:lang w:val="en-GB"/>
              </w:rPr>
              <w:t>Observations</w:t>
            </w:r>
          </w:p>
        </w:tc>
        <w:tc>
          <w:tcPr>
            <w:tcW w:w="1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1,378,164</w:t>
            </w:r>
          </w:p>
        </w:tc>
        <w:tc>
          <w:tcPr>
            <w:tcW w:w="1900" w:type="dxa"/>
            <w:tcBorders>
              <w:top w:val="single" w:sz="4"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jc w:val="center"/>
              <w:rPr>
                <w:rFonts w:ascii="Times New Roman" w:hAnsi="Times New Roman" w:cs="Times New Roman"/>
                <w:b/>
                <w:sz w:val="20"/>
                <w:szCs w:val="20"/>
                <w:lang w:val="en-GB"/>
              </w:rPr>
            </w:pPr>
            <w:r>
              <w:rPr>
                <w:rFonts w:ascii="Times New Roman" w:hAnsi="Times New Roman" w:cs="Times New Roman"/>
                <w:b/>
                <w:sz w:val="20"/>
                <w:szCs w:val="20"/>
                <w:lang w:val="en-GB"/>
              </w:rPr>
              <w:t>1,378,164</w:t>
            </w:r>
          </w:p>
        </w:tc>
      </w:tr>
      <w:tr>
        <w:tc>
          <w:tcPr>
            <w:tcW w:w="9360" w:type="dxa"/>
            <w:gridSpan w:val="3"/>
            <w:tcBorders>
              <w:top w:val="single" w:sz="12" w:space="0" w:color="000000"/>
              <w:start w:val="none" w:sz="0" w:space="0" w:color="auto"/>
              <w:bottom w:val="none" w:sz="0" w:space="0" w:color="auto"/>
              <w:end w:val="none" w:sz="0" w:space="0" w:color="auto"/>
              <w:insideH w:val="none" w:sz="0" w:space="0" w:color="auto"/>
              <w:insideV w:val="none" w:sz="0" w:space="0" w:color="auto"/>
            </w:tcBorders>
            <w:tcMar>
              <w:top w:w="60" w:type="dxa"/>
              <w:start w:w="80" w:type="dxa"/>
              <w:bottom w:w="60" w:type="dxa"/>
              <w:end w:w="80" w:type="dxa"/>
            </w:tcMar>
          </w:tcPr>
          <w:p>
            <w:pPr>
              <w:spacing w:after="0" w:line="240" w:lineRule="auto"/>
              <w:rPr>
                <w:rFonts w:ascii="Times New Roman" w:hAnsi="Times New Roman" w:cs="Times New Roman"/>
                <w:i/>
                <w:iCs/>
                <w:sz w:val="18"/>
                <w:szCs w:val="18"/>
                <w:lang w:val="en-GB"/>
              </w:rPr>
            </w:pPr>
            <w:r>
              <w:rPr>
                <w:rFonts w:ascii="Times New Roman" w:hAnsi="Times New Roman" w:cs="Times New Roman"/>
                <w:i/>
                <w:iCs/>
                <w:sz w:val="18"/>
                <w:szCs w:val="18"/>
                <w:lang w:val="en-GB"/>
              </w:rPr>
              <w:t xml:space="preserve">Notes: Dependent variable is ln(Volume). G1, G2, G3 = SEC Tick Size Pilot treatment group indicators. Treatment = 1 during the pilot implementation period. SmallSpread = 1 if avg. pre-treatment quoted spread &lt; $0.05. All regressions include firm and date fixed effects. Standard errors (in parentheses) are clustered at the firm level. H1 coefficient = avg. effect; H2 triple interaction = additional effect for SmallSpread=1. *** p&lt;0.01, ** p&lt;0.05, * p&lt;0.10.</w:t>
            </w:r>
          </w:p>
        </w:tc>
      </w:tr>
    </w:tbl>
    <w:p w14:paraId="38050222" w14:textId="41B172BA" w:rsidR="006048EA" w:rsidRDefault="006048EA" w:rsidP="00ED72D3">
      <w:pPr>
        <w:spacing w:before="240" w:after="120" w:line="360" w:lineRule="auto"/>
        <w:jc w:val="both"/>
        <w:rPr>
          <w:rFonts w:ascii="Times New Roman" w:eastAsia="Aptos" w:hAnsi="Times New Roman" w:cs="Times New Roman"/>
          <w:sz w:val="22"/>
          <w:szCs w:val="22"/>
          <w:lang w:val="en-GB"/>
        </w:rPr>
      </w:pPr>
    </w:p>
    <w:p w14:paraId="484975D3" w14:textId="0153808F" w:rsidR="006048EA" w:rsidRDefault="006048EA" w:rsidP="00ED72D3">
      <w:pPr>
        <w:spacing w:before="240" w:after="120" w:line="360" w:lineRule="auto"/>
        <w:jc w:val="both"/>
        <w:rPr>
          <w:rFonts w:ascii="Times New Roman" w:eastAsia="Aptos" w:hAnsi="Times New Roman" w:cs="Times New Roman"/>
          <w:sz w:val="22"/>
          <w:szCs w:val="22"/>
          <w:lang w:val="en-GB"/>
        </w:rPr>
      </w:pPr>
    </w:p>
    <w:p w14:paraId="5C16C917" w14:textId="7A4D8D1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7595FA0B" w14:textId="01EA98DD" w:rsidR="006048EA" w:rsidRDefault="006048EA" w:rsidP="00ED72D3">
      <w:pPr>
        <w:spacing w:before="240" w:after="120" w:line="360" w:lineRule="auto"/>
        <w:jc w:val="both"/>
        <w:rPr>
          <w:rFonts w:ascii="Times New Roman" w:eastAsia="Aptos" w:hAnsi="Times New Roman" w:cs="Times New Roman"/>
          <w:sz w:val="22"/>
          <w:szCs w:val="22"/>
          <w:lang w:val="en-GB"/>
        </w:rPr>
      </w:pPr>
    </w:p>
    <w:p w14:paraId="2EE80811" w14:textId="36B46A23" w:rsidR="006048EA" w:rsidRDefault="006048EA" w:rsidP="00ED72D3">
      <w:pPr>
        <w:spacing w:before="240" w:after="120" w:line="360" w:lineRule="auto"/>
        <w:jc w:val="both"/>
        <w:rPr>
          <w:rFonts w:ascii="Times New Roman" w:eastAsia="Aptos" w:hAnsi="Times New Roman" w:cs="Times New Roman"/>
          <w:sz w:val="22"/>
          <w:szCs w:val="22"/>
          <w:lang w:val="en-GB"/>
        </w:rPr>
      </w:pPr>
    </w:p>
    <w:p w14:paraId="52F3E038" w14:textId="6C6EE0E0" w:rsidR="006048EA" w:rsidRDefault="006048EA" w:rsidP="00ED72D3">
      <w:pPr>
        <w:spacing w:before="240" w:after="120" w:line="360" w:lineRule="auto"/>
        <w:jc w:val="both"/>
        <w:rPr>
          <w:rFonts w:ascii="Times New Roman" w:eastAsia="Aptos" w:hAnsi="Times New Roman" w:cs="Times New Roman"/>
          <w:sz w:val="22"/>
          <w:szCs w:val="22"/>
          <w:lang w:val="en-GB"/>
        </w:rPr>
      </w:pPr>
    </w:p>
    <w:p w14:paraId="68361318"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5237D2EC"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181B9A24"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59264744"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1D1551E3"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701012DA"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08E96838"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7F104D04"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3052ECBB" w14:textId="77777777" w:rsidR="006048EA" w:rsidRDefault="006048EA" w:rsidP="00ED72D3">
      <w:pPr>
        <w:spacing w:before="240" w:after="120" w:line="360" w:lineRule="auto"/>
        <w:jc w:val="both"/>
        <w:rPr>
          <w:rFonts w:ascii="Times New Roman" w:eastAsia="Aptos" w:hAnsi="Times New Roman" w:cs="Times New Roman"/>
          <w:sz w:val="22"/>
          <w:szCs w:val="22"/>
          <w:lang w:val="en-GB"/>
        </w:rPr>
      </w:pPr>
    </w:p>
    <w:p w14:paraId="33727989" w14:textId="44073CB0" w:rsidR="00ED72D3" w:rsidRPr="002B5125" w:rsidRDefault="00ED72D3" w:rsidP="00ED72D3">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Table 2 reports the baseline difference-in-differences estimates of the impact of the minimum tick size increase on daily trading turnover. The dependent variable is the natural logarithm of daily share turnover. The interaction terms between the pilot group indicators (G1, G2, G3) and the Treatment Period indicator capture the change in turnover for treated stocks relative to control stocks during the pilot implementation window, while the Post-Pilot interactions measure whether effects persist after the program ended. In the heterogeneous specification, the triple interaction terms with SmallSpread identify whether the treatment effect differs for stocks whose pre-treatment quoted spreads were below $0.05. All specifications include firm and date fixed effects. Standard errors are clustered at the firm level to account for serial correlation within stocks over time.</w:t>
      </w:r>
    </w:p>
    <w:p w14:paraId="0DD57785" w14:textId="77777777" w:rsidR="00ED72D3" w:rsidRPr="00DB1616" w:rsidRDefault="00ED72D3" w:rsidP="00ED72D3">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i/>
          <w:sz w:val="22"/>
          <w:szCs w:val="22"/>
          <w:lang w:val="en-GB"/>
        </w:rPr>
        <w:t>Notes:</w:t>
      </w:r>
      <w:r>
        <w:rPr>
          <w:rFonts w:ascii="Times New Roman" w:eastAsia="Aptos" w:hAnsi="Times New Roman" w:cs="Times New Roman"/>
          <w:sz w:val="22"/>
          <w:szCs w:val="22"/>
          <w:lang w:val="en-GB"/>
        </w:rPr>
        <w:t xml:space="preserve"> The dependent variable is the natural logarithm of daily share turnover. G1, G2, and G3 indicate assignment to the three SEC Tick Size Pilot treatment groups. Treatment equals one during the pilot implementation period. SmallSpread equals one if the firm’s pre-treatment average quoted spread is below $0.05. All regressions include firm and date fixed effects. Standard errors, reported in parentheses, are clustered at the firm level. ***, **, and * denote statistical significance at the 1 percent, 5 percent, and 10 percent levels, respectively.</w:t>
      </w:r>
    </w:p>
    <w:p w14:paraId="61052157" w14:textId="5E4D8124" w:rsidR="007D1047" w:rsidRPr="00EA32E2" w:rsidRDefault="008D6F05" w:rsidP="00675C55">
      <w:pPr>
        <w:pStyle w:val="Heading3"/>
        <w:numPr>
          <w:ilvl w:val="2"/>
          <w:numId w:val="44"/>
        </w:numPr>
        <w:rPr>
          <w:rFonts w:ascii="Times New Roman" w:hAnsi="Times New Roman" w:cs="Times New Roman"/>
          <w:b/>
          <w:color w:val="000000" w:themeColor="text1"/>
          <w:lang w:val="en-GB"/>
        </w:rPr>
      </w:pPr>
      <w:bookmarkStart w:id="31" w:name="_Toc223276465"/>
      <w:r>
        <w:rPr>
          <w:rFonts w:ascii="Times New Roman" w:hAnsi="Times New Roman" w:cs="Times New Roman"/>
          <w:b/>
          <w:color w:val="000000" w:themeColor="text1"/>
          <w:lang w:val="en-GB"/>
        </w:rPr>
        <w:t>Average Treatment Effect</w:t>
      </w:r>
      <w:bookmarkEnd w:id="31"/>
    </w:p>
    <w:p w14:paraId="3C0D664C" w14:textId="77777777" w:rsidR="002322FF" w:rsidRDefault="007D1047"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Column (1) presents the baseline specification allowing for separate treatment effects for each pilot group. The estimated coefficients on the interaction terms between group indicators and the treatment period capture the average change in trading activity for treated stocks relative to the control group following the implementation of the pilot. </w:t>
      </w:r>
    </w:p>
    <w:p w14:paraId="32608358" w14:textId="630EF487" w:rsidR="002322FF" w:rsidRDefault="007D1047"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The estimated coefficient for Group 1 is −0.0884 and statistically significant at the 1 percent level (p=0.007). Because the dependent variable is log-transformed, the exact percentage effect is calculated as </w:t>
      </w:r>
      <m:oMath>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e</m:t>
            </m:r>
          </m:e>
          <m:sup>
            <m:r>
              <w:rPr>
                <w:rFonts w:ascii="Cambria Math" w:eastAsia="Aptos" w:hAnsi="Cambria Math" w:cs="Times New Roman"/>
                <w:sz w:val="22"/>
                <w:szCs w:val="22"/>
                <w:lang w:val="en-GB"/>
              </w:rPr>
              <m:t>β</m:t>
            </m:r>
          </m:sup>
        </m:sSup>
        <m:r>
          <w:rPr>
            <w:rFonts w:ascii="Cambria Math" w:eastAsia="Aptos" w:hAnsi="Cambria Math" w:cs="Times New Roman"/>
            <w:sz w:val="22"/>
            <w:szCs w:val="22"/>
            <w:lang w:val="en-GB"/>
          </w:rPr>
          <m:t>-1</m:t>
        </m:r>
      </m:oMath>
      <w:r>
        <w:rPr>
          <w:rFonts w:ascii="Times New Roman" w:eastAsia="Aptos" w:hAnsi="Times New Roman" w:cs="Times New Roman"/>
          <w:sz w:val="22"/>
          <w:szCs w:val="22"/>
          <w:lang w:val="en-GB"/>
        </w:rPr>
        <w:t>. This estimate implies an 8.46 percent decline in turnover for Group 1 stocks during the treatment period relative to the control group. For Group 2, the coefficient equals −0.0662 and is statistically significant at the 10 percent level (p=0.065), corresponding to a 6.41 percent reduction in trading activity. For Group 3, the coefficient equals −0.0954 and is statistically significant at the 5 percent level (p=0.011), implying a substantial 9.10 percent decline in turnover. Furthermore, the inclusion of the post-pilot period indicators reveals that once the experiment concluded, trading volumes for Group 1 and Group 3 largely reverted to normal levels (with statistically insignificant differences from the control group), strongly reinforcing the causal interpretation of the treatment effect.</w:t>
      </w:r>
    </w:p>
    <w:p w14:paraId="5A0532EF" w14:textId="77777777" w:rsidR="002322FF" w:rsidRDefault="007D1047"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results are highly consistent with Hypothesis 1. Across all three pilot groups, the increase in the minimum tick size is associated with a statistically and economically significant reduction in trading volume. Exact declines between 6.4 and 9.1 percent in daily turnover indicate a notable contraction in trading activity for small capitalization stocks.</w:t>
      </w:r>
    </w:p>
    <w:p w14:paraId="65EAE9EA" w14:textId="3B9B908D" w:rsidR="007D1047" w:rsidRDefault="007D1047"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ordering of the coefficients is also informative. Group 3, which faced the most restrictive trading conditions due to the trade-at prohibition, exhibits the largest reduction in turnover. Formal pairwise tests show that the differences between Group 3 and the other groups are not statistically significant at conventional levels. Nevertheless, the pattern of point estimates aligns with the increasing intensity of regulatory constraints across groups. This ordering is consistent with the idea that progressively tighter trading restrictions reduce incentives to trade. Overall, the baseline evidence supports the friction channel described in the theoretical framework. By imposing a higher minimum quoting increment, the pilot increased effective transaction costs and reduced investors’ willingness to trade.</w:t>
      </w:r>
    </w:p>
    <w:p w14:paraId="674147FB" w14:textId="52BA231F" w:rsidR="0052606A" w:rsidRPr="00907C96" w:rsidRDefault="00BA230A" w:rsidP="00675C55">
      <w:pPr>
        <w:pStyle w:val="Heading3"/>
        <w:numPr>
          <w:ilvl w:val="2"/>
          <w:numId w:val="44"/>
        </w:numPr>
        <w:rPr>
          <w:rFonts w:ascii="Times New Roman" w:hAnsi="Times New Roman" w:cs="Times New Roman"/>
          <w:b/>
          <w:color w:val="000000" w:themeColor="text1"/>
          <w:lang w:val="en-GB"/>
        </w:rPr>
      </w:pPr>
      <w:bookmarkStart w:id="32" w:name="_Toc223276466"/>
      <w:r>
        <w:rPr>
          <w:rFonts w:ascii="Times New Roman" w:hAnsi="Times New Roman" w:cs="Times New Roman"/>
          <w:b/>
          <w:color w:val="000000" w:themeColor="text1"/>
          <w:lang w:val="en-GB"/>
        </w:rPr>
        <w:t>Heterogeneous Effects by Pre-Treatment Spread</w:t>
      </w:r>
      <w:bookmarkEnd w:id="32"/>
    </w:p>
    <w:p w14:paraId="46136DB1"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Column (2) augments the baseline specification with triple interaction terms between the treatment indicators and the pre-treatment binding constraint variable SmallSpread. This extension allows the treatment effect to differ depending on whether a stock’s average pre-treatment quoted spread was below $0.05. Under Hypothesis 2, the negative volume effect should be concentrated exclusively among stocks for which the new tick is likely to bind.</w:t>
      </w:r>
    </w:p>
    <w:p w14:paraId="024DD540"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Once heterogeneous effects are introduced, the baseline treatment coefficients for Groups 1 to 3 become completely statistically insignificant (p-values ranging from 0.528 to 0.633). These coefficients capture the effect for "placebo" stocks whose pre-treatment spreads were already at or above $0.05. The absolute absence of a significant effect for this subgroup confirms that the regulatory change did not materially alter trading activity for stocks that were unconstrained by the new tick size floor.</w:t>
      </w:r>
    </w:p>
    <w:p w14:paraId="62491D8E" w14:textId="1C4E8726" w:rsidR="008C18FA" w:rsidRDefault="008C18FA"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In sharp contrast, the negative impact on turnover is heavily concentrated among constrained stocks. The triple interaction coefficient for Group 1 is −0.1691 and statistically significant at the 5 percent level. This estimate implies that, for stocks in Group 1 with pre-treatment spreads below $0.05, turnover declined by an additional 15.56 percent </w:t>
      </w:r>
      <m:oMath>
        <m:sSup>
          <m:sSupPr>
            <m:ctrlPr>
              <w:rPr>
                <w:rFonts w:ascii="Cambria Math" w:eastAsia="Aptos" w:hAnsi="Cambria Math" w:cs="Times New Roman"/>
                <w:i/>
                <w:sz w:val="22"/>
                <w:szCs w:val="22"/>
                <w:lang w:val="en-GB"/>
              </w:rPr>
            </m:ctrlPr>
          </m:sSupPr>
          <m:e>
            <m:r>
              <w:rPr>
                <w:rFonts w:ascii="Cambria Math" w:eastAsia="Aptos" w:hAnsi="Cambria Math" w:cs="Times New Roman"/>
                <w:sz w:val="22"/>
                <w:szCs w:val="22"/>
                <w:lang w:val="en-GB"/>
              </w:rPr>
              <m:t>e</m:t>
            </m:r>
          </m:e>
          <m:sup>
            <m:r>
              <w:rPr>
                <w:rFonts w:ascii="Cambria Math" w:eastAsia="Aptos" w:hAnsi="Cambria Math" w:cs="Times New Roman"/>
                <w:sz w:val="22"/>
                <w:szCs w:val="22"/>
                <w:lang w:val="en-GB"/>
              </w:rPr>
              <m:t>-0.1691</m:t>
            </m:r>
          </m:sup>
        </m:sSup>
        <m:r>
          <w:rPr>
            <w:rFonts w:ascii="Cambria Math" w:eastAsia="Aptos" w:hAnsi="Cambria Math" w:cs="Times New Roman"/>
            <w:sz w:val="22"/>
            <w:szCs w:val="22"/>
            <w:lang w:val="en-GB"/>
          </w:rPr>
          <m:t>-1</m:t>
        </m:r>
      </m:oMath>
      <w:r>
        <w:rPr>
          <w:rFonts w:ascii="Times New Roman" w:eastAsia="Aptos" w:hAnsi="Times New Roman" w:cs="Times New Roman"/>
          <w:sz w:val="22"/>
          <w:szCs w:val="22"/>
          <w:lang w:val="en-GB"/>
        </w:rPr>
        <w:t xml:space="preserve"> relative to unconstrained stocks within the same group. Crucially, and unlike models that strictly drop entire firms based on post-treatment price fluctuations, our Intention-To-Treat (ITT) framework preserves the necessary sample variance to reveal significant effects across the other groups as well. For Groups 2 and 3, the triple interaction coefficients are −0.1607 and −0.1867, respectively. Both are economically massive and statistically significant at the 10 percent level (p=0.074 and p=0.054), translating to exact volume drops of 14.85 percent and 17.03 percent.</w:t>
      </w:r>
    </w:p>
    <w:p w14:paraId="1BA3A2F7" w14:textId="77777777" w:rsidR="008C18FA" w:rsidRDefault="008C18FA"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These findings provide compelling support for Hypothesis 2. The statistically significant effect for constrained stocks across the pilot groups indicates that the volume contraction is concentrated almost entirely among firms for which the $0.05 tick represented a binding mechanical increase in the spread floor. For such stocks, the regulation mechanically widens spreads relative to their prior equilibrium levels, eliminates marginal trades, and severely reduces observed turnover.</w:t>
      </w:r>
    </w:p>
    <w:p w14:paraId="3AEBD87D" w14:textId="0BA387F6" w:rsidR="008C18FA" w:rsidRDefault="008C18FA" w:rsidP="00856ED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heterogeneous specification therefore proves that the average treatment effects reported in Column (1) are not uniformly distributed across stocks. The decline in trading activity is driven primarily by firms whose pre-treatment spreads were sufficiently narrow for the $0.05 floor to bind. This pattern is perfectly consistent with the microstructure framework outlined earlier and reinforces the causal interpretation of our estimates.</w:t>
      </w:r>
    </w:p>
    <w:p w14:paraId="3209A850" w14:textId="5E8829C3" w:rsidR="00BA230A" w:rsidRPr="00CC1B6F" w:rsidRDefault="00A5036C" w:rsidP="00675C55">
      <w:pPr>
        <w:pStyle w:val="Heading2"/>
        <w:numPr>
          <w:ilvl w:val="1"/>
          <w:numId w:val="44"/>
        </w:numPr>
        <w:rPr>
          <w:rFonts w:ascii="Times New Roman" w:hAnsi="Times New Roman" w:cs="Times New Roman"/>
          <w:lang w:val="en-GB"/>
        </w:rPr>
      </w:pPr>
      <w:bookmarkStart w:id="33" w:name="_Toc223276467"/>
      <w:r>
        <w:rPr>
          <w:rFonts w:ascii="Times New Roman" w:hAnsi="Times New Roman" w:cs="Times New Roman"/>
          <w:lang w:val="en-GB"/>
        </w:rPr>
        <w:t>Economic Interpretation and Implications</w:t>
      </w:r>
      <w:bookmarkEnd w:id="33"/>
    </w:p>
    <w:p w14:paraId="50A56295" w14:textId="1534EFD6" w:rsidR="00FF461E" w:rsidRPr="00FF461E" w:rsidRDefault="00FF461E" w:rsidP="00FF461E">
      <w:pPr>
        <w:spacing w:before="240"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Taken together, the results clearly indicate that the SEC Tick Size Pilot Program reduced trading activity among small capitalization stocks, particularly for firms previously characterized by narrow spreads. The estimated average declines, reaching up to 9.1 percent, and the specific heterogeneous declines, which exceed 14 to 17 percent for constrained stocks across the treated groups, are economically profound.</w:t>
      </w:r>
    </w:p>
    <w:p w14:paraId="37688E74" w14:textId="10506D59" w:rsidR="00FF461E" w:rsidRPr="00FF461E" w:rsidRDefault="00FF461E" w:rsidP="00FF461E">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The evidence is consistent with the hypothesis that artificially widening the minimum tick size acts as a severe friction that increases effective transaction costs and aggressively discourages trade. Although the pilot was partly motivated by the expectation that larger ticks could strengthen market maker incentives and improve liquidity provision, our results decisively suggest that any such theoretical benefits were entirely dwarfed by the contraction in trading activity.</w:t>
      </w:r>
    </w:p>
    <w:p w14:paraId="139E75B9" w14:textId="7CBF5773" w:rsidR="00FF461E" w:rsidRPr="00FF461E" w:rsidRDefault="00FF461E" w:rsidP="00FF461E">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From a policy perspective, the findings imply that increasing the tick size inherently harms trading volume in small-cap equities, especially when spreads were previously compressed below the new regulatory threshold. The results highlight the critical importance of accounting for heterogeneity in pre-existing market conditions when evaluating market microstructure reforms.</w:t>
      </w:r>
    </w:p>
    <w:p w14:paraId="0BABA8C9" w14:textId="3F18D72C" w:rsidR="003A6D5A" w:rsidRDefault="0011717F" w:rsidP="00AF034D">
      <w:pPr>
        <w:spacing w:after="120" w:line="360" w:lineRule="auto"/>
        <w:jc w:val="both"/>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Additional graphical evidence supporting these conclusions, including time-series trends, distributional comparisons, and heterogeneous patterns across constrained and unconstrained stocks, is provided in Appendix Figures A1–A8. These figures corroborate the regression-based findings and reinforce the economic interpretation of the estimated treatment effects. </w:t>
      </w:r>
    </w:p>
    <w:p w14:paraId="4213BCA8" w14:textId="77777777" w:rsidR="0067597A" w:rsidRDefault="0067597A">
      <w:pPr>
        <w:rPr>
          <w:rFonts w:ascii="Times New Roman" w:eastAsia="Aptos" w:hAnsi="Times New Roman" w:cs="Times New Roman"/>
          <w:sz w:val="22"/>
          <w:szCs w:val="22"/>
          <w:lang w:val="en-GB"/>
        </w:rPr>
        <w:sectPr w:rsidR="0067597A" w:rsidSect="00F60593">
          <w:pgSz w:w="11906" w:h="16838"/>
          <w:pgMar w:top="1440" w:right="1440" w:bottom="1440" w:left="1440" w:header="720" w:footer="720" w:gutter="0"/>
          <w:pgNumType w:start="1"/>
          <w:cols w:space="720"/>
          <w:docGrid w:linePitch="360"/>
        </w:sectPr>
      </w:pPr>
    </w:p>
    <w:p w14:paraId="75F79136" w14:textId="77777777" w:rsidR="000A0131" w:rsidRDefault="000A0131" w:rsidP="00835B6E">
      <w:pPr>
        <w:pStyle w:val="Heading1"/>
        <w:numPr>
          <w:ilvl w:val="0"/>
          <w:numId w:val="0"/>
        </w:numPr>
        <w:ind w:left="3551" w:hanging="432"/>
      </w:pPr>
      <w:bookmarkStart w:id="34" w:name="_Toc142661100"/>
      <w:bookmarkStart w:id="35" w:name="_Toc223276468"/>
      <w:r>
        <w:t>References</w:t>
      </w:r>
      <w:bookmarkEnd w:id="34"/>
      <w:bookmarkEnd w:id="35"/>
    </w:p>
    <w:p>
      <w:pPr>
        <w:spacing w:after="120" w:line="360" w:lineRule="auto"/>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Albuquerque, R., Song, S., &amp; Yao, C. (2020). The price effects of liquidity shocks: A study of the SEC’s tick size experiment. Journal of Financial Economics, 138, 700–724. </w:t>
      </w:r>
      <w:hyperlink r:id="rIdDoi1">
        <w:r>
          <w:rPr>
            <w:rStyle w:val="Hyperlink"/>
            <w:rFonts w:ascii="Times New Roman" w:eastAsia="Aptos" w:hAnsi="Times New Roman" w:cs="Times New Roman"/>
            <w:sz w:val="22"/>
            <w:szCs w:val="22"/>
            <w:lang w:val="en-GB"/>
          </w:rPr>
          <w:t>https://doi.org/10.1016/j.jfineco.2020.07.002</w:t>
        </w:r>
      </w:hyperlink>
      <w:r>
        <w:rPr>
          <w:rFonts w:ascii="Times New Roman" w:eastAsia="Aptos" w:hAnsi="Times New Roman" w:cs="Times New Roman"/>
          <w:sz w:val="22"/>
          <w:szCs w:val="22"/>
          <w:lang w:val="en-GB"/>
        </w:rPr>
        <w:t xml:space="preserve"> </w:t>
      </w:r>
    </w:p>
    <w:p>
      <w:pPr>
        <w:spacing w:after="120" w:line="360" w:lineRule="auto"/>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Amihud, Y., &amp; Mendelson, H. (1986). Asset pricing and the bid–ask spread. Journal of Financial Economics, 17(2), 223–249. </w:t>
      </w:r>
      <w:hyperlink r:id="rIdDoi2">
        <w:r>
          <w:rPr>
            <w:rStyle w:val="Hyperlink"/>
            <w:rFonts w:ascii="Times New Roman" w:eastAsia="Aptos" w:hAnsi="Times New Roman" w:cs="Times New Roman"/>
            <w:sz w:val="22"/>
            <w:szCs w:val="22"/>
            <w:lang w:val="en-GB"/>
          </w:rPr>
          <w:t>https://doi.org/10.1016/0304-405X(86)90065-6</w:t>
        </w:r>
      </w:hyperlink>
    </w:p>
    <w:p>
      <w:pPr>
        <w:spacing w:after="120" w:line="360" w:lineRule="auto"/>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Bessembinder, H. (2003). Trade execution costs and market quality after decimalization. Journal of Financial and Quantitative Analysis, 38(4), 747–777. </w:t>
      </w:r>
      <w:hyperlink r:id="rIdDoi3">
        <w:r>
          <w:rPr>
            <w:rStyle w:val="Hyperlink"/>
            <w:rFonts w:ascii="Times New Roman" w:eastAsia="Aptos" w:hAnsi="Times New Roman" w:cs="Times New Roman"/>
            <w:sz w:val="22"/>
            <w:szCs w:val="22"/>
            <w:lang w:val="en-GB"/>
          </w:rPr>
          <w:t>https://doi.org/10.2307/4126742</w:t>
        </w:r>
      </w:hyperlink>
    </w:p>
    <w:p>
      <w:pPr>
        <w:spacing w:after="120" w:line="360" w:lineRule="auto"/>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Chordia, T., Roll, R., &amp; Subrahmanyam, A. (2001). Market liquidity and trading activity. Journal of Finance, 56(2), 501–530. </w:t>
      </w:r>
      <w:hyperlink r:id="rIdDoi4">
        <w:r>
          <w:rPr>
            <w:rStyle w:val="Hyperlink"/>
            <w:rFonts w:ascii="Times New Roman" w:eastAsia="Aptos" w:hAnsi="Times New Roman" w:cs="Times New Roman"/>
            <w:sz w:val="22"/>
            <w:szCs w:val="22"/>
            <w:lang w:val="en-GB"/>
          </w:rPr>
          <w:t>https://doi.org/10.1111/0022-1082.00335</w:t>
        </w:r>
      </w:hyperlink>
    </w:p>
    <w:p>
      <w:pPr>
        <w:spacing w:after="120" w:line="360" w:lineRule="auto"/>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t xml:space="preserve">Harris, L. (1994). Minimum price variations, discrete bid–ask spreads, and quotation sizes. Review of Financial Studies, 7(1), 149–178. </w:t>
      </w:r>
      <w:hyperlink r:id="rIdDoi5">
        <w:r>
          <w:rPr>
            <w:rStyle w:val="Hyperlink"/>
            <w:rFonts w:ascii="Times New Roman" w:eastAsia="Aptos" w:hAnsi="Times New Roman" w:cs="Times New Roman"/>
            <w:sz w:val="22"/>
            <w:szCs w:val="22"/>
            <w:lang w:val="en-GB"/>
          </w:rPr>
          <w:t>https://doi.org/10.1093/rfs/7.1.149</w:t>
        </w:r>
      </w:hyperlink>
    </w:p>
    <w:p w14:paraId="6E800B12" w14:textId="53F84999" w:rsidR="000A0131" w:rsidRDefault="000A0131">
      <w:pPr>
        <w:rPr>
          <w:rFonts w:ascii="Times New Roman" w:eastAsia="Aptos" w:hAnsi="Times New Roman" w:cs="Times New Roman"/>
          <w:sz w:val="22"/>
          <w:szCs w:val="22"/>
          <w:lang w:val="en-GB"/>
        </w:rPr>
      </w:pPr>
      <w:r>
        <w:rPr>
          <w:rFonts w:ascii="Times New Roman" w:eastAsia="Aptos" w:hAnsi="Times New Roman" w:cs="Times New Roman"/>
          <w:sz w:val="22"/>
          <w:szCs w:val="22"/>
          <w:lang w:val="en-GB"/>
        </w:rPr>
        <w:br w:type="page"/>
      </w:r>
    </w:p>
    <w:p w14:paraId="59D78DD1" w14:textId="21453797" w:rsidR="00302F17" w:rsidRPr="00C733AF" w:rsidRDefault="00C733AF" w:rsidP="00C733AF">
      <w:pPr>
        <w:pStyle w:val="Heading1"/>
        <w:numPr>
          <w:ilvl w:val="0"/>
          <w:numId w:val="0"/>
        </w:numPr>
        <w:ind w:left="357" w:hanging="357"/>
      </w:pPr>
      <w:bookmarkStart w:id="36" w:name="_Toc142661101"/>
      <w:bookmarkStart w:id="37" w:name="_Toc223276469"/>
      <w:r>
        <w:t>Appendix</w:t>
      </w:r>
      <w:bookmarkEnd w:id="36"/>
      <w:bookmarkEnd w:id="37"/>
      <w:r>
        <w:t xml:space="preserve"> (OLD AND MIGHT HAVE TO BE REMOVED)</w:t>
      </w:r>
    </w:p>
    <w:p w14:paraId="408CF745" w14:textId="6CABA60E" w:rsidR="009D1B1C" w:rsidRPr="00C733AF" w:rsidRDefault="009D1B1C" w:rsidP="009D1B1C">
      <w:pPr>
        <w:pStyle w:val="Caption"/>
        <w:jc w:val="left"/>
        <w:rPr>
          <w:b/>
          <w:bCs w:val="0"/>
          <w:sz w:val="22"/>
          <w:szCs w:val="18"/>
        </w:rPr>
      </w:pPr>
      <w:bookmarkStart w:id="38" w:name="_Ref142585238"/>
      <w:bookmarkStart w:id="39" w:name="_Toc223276156"/>
      <w:r>
        <w:rPr>
          <w:b/>
          <w:bCs w:val="0"/>
          <w:sz w:val="22"/>
          <w:szCs w:val="18"/>
        </w:rPr>
        <w:t xml:space="preserve">Figure </w:t>
        <w:fldChar w:fldCharType="begin"/>
        <w:instrText xml:space="preserve"> SEQ Figure \* ARABIC </w:instrText>
        <w:fldChar w:fldCharType="separate"/>
      </w:r>
      <w:r>
        <w:rPr>
          <w:b/>
          <w:bCs w:val="0"/>
          <w:noProof/>
          <w:sz w:val="22"/>
          <w:szCs w:val="18"/>
        </w:rPr>
        <w:t>1</w:t>
        <w:fldChar w:fldCharType="end"/>
      </w:r>
      <w:bookmarkEnd w:id="38"/>
      <w:r>
        <w:rPr>
          <w:b/>
          <w:bCs w:val="0"/>
          <w:sz w:val="22"/>
          <w:szCs w:val="18"/>
        </w:rPr>
        <w:t>: Monthly Average Log Turnover by Group</w:t>
      </w:r>
      <w:bookmarkEnd w:id="39"/>
    </w:p>
    <w:p w14:paraId="458F90E7" w14:textId="106DA6F1" w:rsidR="00A51949" w:rsidRDefault="009D1B1C"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27603968" wp14:editId="318707ED">
            <wp:extent cx="5724525" cy="3359150"/>
            <wp:effectExtent l="0" t="0" r="9525" b="0"/>
            <wp:docPr id="1179619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19047" name="Picture 1179619047"/>
                    <pic:cNvPicPr/>
                  </pic:nvPicPr>
                  <pic:blipFill rotWithShape="1">
                    <a:blip r:embed="rId25" cstate="print">
                      <a:extLst>
                        <a:ext uri="{28A0092B-C50C-407E-A947-70E740481C1C}">
                          <a14:useLocalDpi xmlns:a14="http://schemas.microsoft.com/office/drawing/2010/main" val="0"/>
                        </a:ext>
                      </a:extLst>
                    </a:blip>
                    <a:srcRect t="8636"/>
                    <a:stretch>
                      <a:fillRect/>
                    </a:stretch>
                  </pic:blipFill>
                  <pic:spPr bwMode="auto">
                    <a:xfrm>
                      <a:off x="0" y="0"/>
                      <a:ext cx="5724525" cy="3359150"/>
                    </a:xfrm>
                    <a:prstGeom prst="rect">
                      <a:avLst/>
                    </a:prstGeom>
                    <a:ln>
                      <a:noFill/>
                    </a:ln>
                    <a:extLst>
                      <a:ext uri="{53640926-AAD7-44D8-BBD7-CCE9431645EC}">
                        <a14:shadowObscured xmlns:a14="http://schemas.microsoft.com/office/drawing/2010/main"/>
                      </a:ext>
                    </a:extLst>
                  </pic:spPr>
                </pic:pic>
              </a:graphicData>
            </a:graphic>
          </wp:inline>
        </w:drawing>
      </w:r>
    </w:p>
    <w:p w14:paraId="317ED3DB" w14:textId="3EDB59DF" w:rsidR="009D1B1C" w:rsidRPr="009D1B1C" w:rsidRDefault="009D1B1C" w:rsidP="009D1B1C">
      <w:pPr>
        <w:pStyle w:val="Caption"/>
        <w:jc w:val="left"/>
        <w:rPr>
          <w:b/>
          <w:bCs w:val="0"/>
          <w:sz w:val="22"/>
          <w:szCs w:val="18"/>
        </w:rPr>
      </w:pPr>
      <w:bookmarkStart w:id="40" w:name="_Toc223276157"/>
      <w:r>
        <w:rPr>
          <w:b/>
          <w:bCs w:val="0"/>
          <w:sz w:val="22"/>
          <w:szCs w:val="18"/>
        </w:rPr>
        <w:t xml:space="preserve">Figure </w:t>
        <w:fldChar w:fldCharType="begin"/>
        <w:instrText xml:space="preserve"> SEQ Figure \* ARABIC </w:instrText>
        <w:fldChar w:fldCharType="separate"/>
      </w:r>
      <w:r>
        <w:rPr>
          <w:b/>
          <w:bCs w:val="0"/>
          <w:noProof/>
          <w:sz w:val="22"/>
          <w:szCs w:val="18"/>
        </w:rPr>
        <w:t>2</w:t>
        <w:fldChar w:fldCharType="end"/>
      </w:r>
      <w:r>
        <w:rPr>
          <w:b/>
          <w:bCs w:val="0"/>
          <w:sz w:val="22"/>
          <w:szCs w:val="18"/>
        </w:rPr>
        <w:t xml:space="preserve">: Paralle Trends </w:t>
      </w:r>
      <w:r>
        <w:rPr>
          <w:rFonts w:eastAsia="Aptos"/>
          <w:b/>
          <w:bCs w:val="0"/>
          <w:sz w:val="22"/>
          <w:szCs w:val="22"/>
          <w:lang w:val="en-GB"/>
        </w:rPr>
        <w:t>— Pre-Treatment Period</w:t>
      </w:r>
      <w:bookmarkEnd w:id="40"/>
    </w:p>
    <w:p w14:paraId="306F4257" w14:textId="35040956" w:rsidR="00A51949" w:rsidRDefault="009D1B1C" w:rsidP="00FE3532">
      <w:pPr>
        <w:spacing w:after="120" w:line="360" w:lineRule="auto"/>
        <w:jc w:val="both"/>
        <w:rPr>
          <w:rFonts w:ascii="Times New Roman" w:hAnsi="Times New Roman" w:cs="Times New Roman"/>
          <w:lang w:val="en-US"/>
        </w:rPr>
      </w:pPr>
      <w:r>
        <w:rPr>
          <w:rFonts w:ascii="Times New Roman" w:hAnsi="Times New Roman" w:cs="Times New Roman"/>
          <w:lang w:val="en-GB"/>
        </w:rPr>
        <w:drawing>
          <wp:inline distT="0" distB="0" distL="0" distR="0" wp14:anchorId="76E700BB" wp14:editId="22C3998F">
            <wp:extent cx="5724525" cy="3340985"/>
            <wp:effectExtent l="0" t="0" r="0" b="0"/>
            <wp:docPr id="279520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20135" name="Picture 279520135"/>
                    <pic:cNvPicPr/>
                  </pic:nvPicPr>
                  <pic:blipFill rotWithShape="1">
                    <a:blip r:embed="rId26" cstate="print">
                      <a:extLst>
                        <a:ext uri="{28A0092B-C50C-407E-A947-70E740481C1C}">
                          <a14:useLocalDpi xmlns:a14="http://schemas.microsoft.com/office/drawing/2010/main" val="0"/>
                        </a:ext>
                      </a:extLst>
                    </a:blip>
                    <a:srcRect t="9129"/>
                    <a:stretch>
                      <a:fillRect/>
                    </a:stretch>
                  </pic:blipFill>
                  <pic:spPr bwMode="auto">
                    <a:xfrm>
                      <a:off x="0" y="0"/>
                      <a:ext cx="5724525" cy="3340985"/>
                    </a:xfrm>
                    <a:prstGeom prst="rect">
                      <a:avLst/>
                    </a:prstGeom>
                    <a:ln>
                      <a:noFill/>
                    </a:ln>
                    <a:extLst>
                      <a:ext uri="{53640926-AAD7-44D8-BBD7-CCE9431645EC}">
                        <a14:shadowObscured xmlns:a14="http://schemas.microsoft.com/office/drawing/2010/main"/>
                      </a:ext>
                    </a:extLst>
                  </pic:spPr>
                </pic:pic>
              </a:graphicData>
            </a:graphic>
          </wp:inline>
        </w:drawing>
      </w:r>
    </w:p>
    <w:p w14:paraId="3AD60C0A" w14:textId="77777777" w:rsidR="009D1B1C" w:rsidRDefault="009D1B1C" w:rsidP="009D1B1C">
      <w:pPr>
        <w:pStyle w:val="Caption"/>
        <w:jc w:val="left"/>
        <w:rPr>
          <w:b/>
          <w:bCs w:val="0"/>
          <w:sz w:val="22"/>
          <w:szCs w:val="18"/>
        </w:rPr>
      </w:pPr>
    </w:p>
    <w:p w14:paraId="15B815CA" w14:textId="76DD4893" w:rsidR="009D1B1C" w:rsidRPr="009D1B1C" w:rsidRDefault="009D1B1C" w:rsidP="009D1B1C">
      <w:pPr>
        <w:pStyle w:val="Caption"/>
        <w:jc w:val="left"/>
        <w:rPr>
          <w:b/>
          <w:bCs w:val="0"/>
          <w:sz w:val="22"/>
          <w:szCs w:val="18"/>
        </w:rPr>
      </w:pPr>
      <w:bookmarkStart w:id="41" w:name="_Toc223276158"/>
      <w:r>
        <w:rPr>
          <w:b/>
          <w:bCs w:val="0"/>
          <w:sz w:val="22"/>
          <w:szCs w:val="18"/>
        </w:rPr>
        <w:t xml:space="preserve">Figure </w:t>
        <w:fldChar w:fldCharType="begin"/>
        <w:instrText xml:space="preserve"> SEQ Figure \* ARABIC </w:instrText>
        <w:fldChar w:fldCharType="separate"/>
      </w:r>
      <w:r>
        <w:rPr>
          <w:b/>
          <w:bCs w:val="0"/>
          <w:noProof/>
          <w:sz w:val="22"/>
          <w:szCs w:val="18"/>
        </w:rPr>
        <w:t>3</w:t>
        <w:fldChar w:fldCharType="end"/>
      </w:r>
      <w:r>
        <w:rPr>
          <w:b/>
          <w:bCs w:val="0"/>
          <w:sz w:val="22"/>
          <w:szCs w:val="18"/>
        </w:rPr>
        <w:t>: Mean Log Turnover by Group and Period</w:t>
      </w:r>
      <w:bookmarkEnd w:id="41"/>
    </w:p>
    <w:p w14:paraId="6F7A9096" w14:textId="2DCF5413" w:rsidR="009D1B1C" w:rsidRDefault="009D1B1C"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05D927AF" wp14:editId="5AB359FE">
            <wp:extent cx="5724525" cy="3368832"/>
            <wp:effectExtent l="0" t="0" r="0" b="3175"/>
            <wp:docPr id="1237647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47567" name="Picture 1237647567"/>
                    <pic:cNvPicPr/>
                  </pic:nvPicPr>
                  <pic:blipFill rotWithShape="1">
                    <a:blip r:embed="rId27" cstate="print">
                      <a:extLst>
                        <a:ext uri="{28A0092B-C50C-407E-A947-70E740481C1C}">
                          <a14:useLocalDpi xmlns:a14="http://schemas.microsoft.com/office/drawing/2010/main" val="0"/>
                        </a:ext>
                      </a:extLst>
                    </a:blip>
                    <a:srcRect t="8373"/>
                    <a:stretch>
                      <a:fillRect/>
                    </a:stretch>
                  </pic:blipFill>
                  <pic:spPr bwMode="auto">
                    <a:xfrm>
                      <a:off x="0" y="0"/>
                      <a:ext cx="5724525" cy="3368832"/>
                    </a:xfrm>
                    <a:prstGeom prst="rect">
                      <a:avLst/>
                    </a:prstGeom>
                    <a:ln>
                      <a:noFill/>
                    </a:ln>
                    <a:extLst>
                      <a:ext uri="{53640926-AAD7-44D8-BBD7-CCE9431645EC}">
                        <a14:shadowObscured xmlns:a14="http://schemas.microsoft.com/office/drawing/2010/main"/>
                      </a:ext>
                    </a:extLst>
                  </pic:spPr>
                </pic:pic>
              </a:graphicData>
            </a:graphic>
          </wp:inline>
        </w:drawing>
      </w:r>
    </w:p>
    <w:p w14:paraId="4C09BDBB" w14:textId="0CC3202B" w:rsidR="009D1B1C" w:rsidRPr="009D1B1C" w:rsidRDefault="009D1B1C" w:rsidP="009D1B1C">
      <w:pPr>
        <w:pStyle w:val="Caption"/>
        <w:jc w:val="left"/>
        <w:rPr>
          <w:b/>
          <w:bCs w:val="0"/>
          <w:sz w:val="22"/>
          <w:szCs w:val="18"/>
        </w:rPr>
      </w:pPr>
      <w:bookmarkStart w:id="42" w:name="_Toc223276159"/>
      <w:r>
        <w:rPr>
          <w:b/>
          <w:bCs w:val="0"/>
          <w:sz w:val="22"/>
          <w:szCs w:val="18"/>
        </w:rPr>
        <w:t xml:space="preserve">Figure </w:t>
        <w:fldChar w:fldCharType="begin"/>
        <w:instrText xml:space="preserve"> SEQ Figure \* ARABIC </w:instrText>
        <w:fldChar w:fldCharType="separate"/>
      </w:r>
      <w:r>
        <w:rPr>
          <w:b/>
          <w:bCs w:val="0"/>
          <w:noProof/>
          <w:sz w:val="22"/>
          <w:szCs w:val="18"/>
        </w:rPr>
        <w:t>4</w:t>
        <w:fldChar w:fldCharType="end"/>
      </w:r>
      <w:r>
        <w:rPr>
          <w:b/>
          <w:bCs w:val="0"/>
          <w:sz w:val="22"/>
          <w:szCs w:val="18"/>
        </w:rPr>
        <w:t>: Pre-Treatment Spread Distrubtion by Group</w:t>
      </w:r>
      <w:bookmarkEnd w:id="42"/>
    </w:p>
    <w:p w14:paraId="34C75AA0" w14:textId="413819E9" w:rsidR="00A51949" w:rsidRDefault="00A51949"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18698906" wp14:editId="1130C3A9">
            <wp:extent cx="5724525" cy="3357673"/>
            <wp:effectExtent l="0" t="0" r="0" b="0"/>
            <wp:docPr id="110943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7312" name="Picture 1109437312"/>
                    <pic:cNvPicPr/>
                  </pic:nvPicPr>
                  <pic:blipFill rotWithShape="1">
                    <a:blip r:embed="rId28" cstate="print">
                      <a:extLst>
                        <a:ext uri="{28A0092B-C50C-407E-A947-70E740481C1C}">
                          <a14:useLocalDpi xmlns:a14="http://schemas.microsoft.com/office/drawing/2010/main" val="0"/>
                        </a:ext>
                      </a:extLst>
                    </a:blip>
                    <a:srcRect t="8676"/>
                    <a:stretch>
                      <a:fillRect/>
                    </a:stretch>
                  </pic:blipFill>
                  <pic:spPr bwMode="auto">
                    <a:xfrm>
                      <a:off x="0" y="0"/>
                      <a:ext cx="5724525" cy="3357673"/>
                    </a:xfrm>
                    <a:prstGeom prst="rect">
                      <a:avLst/>
                    </a:prstGeom>
                    <a:ln>
                      <a:noFill/>
                    </a:ln>
                    <a:extLst>
                      <a:ext uri="{53640926-AAD7-44D8-BBD7-CCE9431645EC}">
                        <a14:shadowObscured xmlns:a14="http://schemas.microsoft.com/office/drawing/2010/main"/>
                      </a:ext>
                    </a:extLst>
                  </pic:spPr>
                </pic:pic>
              </a:graphicData>
            </a:graphic>
          </wp:inline>
        </w:drawing>
      </w:r>
    </w:p>
    <w:p w14:paraId="5D5897A1" w14:textId="77777777" w:rsidR="002428BA" w:rsidRDefault="002428BA" w:rsidP="00FE3532">
      <w:pPr>
        <w:spacing w:after="120" w:line="360" w:lineRule="auto"/>
        <w:jc w:val="both"/>
        <w:rPr>
          <w:rFonts w:ascii="Times New Roman" w:hAnsi="Times New Roman" w:cs="Times New Roman"/>
          <w:lang w:val="en-GB"/>
        </w:rPr>
      </w:pPr>
    </w:p>
    <w:p w14:paraId="1A0E3B15" w14:textId="77777777" w:rsidR="00C733AF" w:rsidRDefault="00C733AF" w:rsidP="00FE3532">
      <w:pPr>
        <w:spacing w:after="120" w:line="360" w:lineRule="auto"/>
        <w:jc w:val="both"/>
        <w:rPr>
          <w:b/>
          <w:bCs/>
          <w:sz w:val="22"/>
          <w:szCs w:val="18"/>
          <w:lang w:val="en-US"/>
        </w:rPr>
      </w:pPr>
      <w:bookmarkStart w:id="43" w:name="_Toc223276160"/>
    </w:p>
    <w:p w14:paraId="46CC7995" w14:textId="77777777" w:rsidR="00C733AF" w:rsidRDefault="00C733AF" w:rsidP="00FE3532">
      <w:pPr>
        <w:spacing w:after="120" w:line="360" w:lineRule="auto"/>
        <w:jc w:val="both"/>
        <w:rPr>
          <w:b/>
          <w:bCs/>
          <w:sz w:val="22"/>
          <w:szCs w:val="18"/>
          <w:lang w:val="en-US"/>
        </w:rPr>
      </w:pPr>
    </w:p>
    <w:p w14:paraId="2BEFA775" w14:textId="329F96D7" w:rsidR="00A51949" w:rsidRDefault="002428BA" w:rsidP="00FE3532">
      <w:pPr>
        <w:spacing w:after="120" w:line="360" w:lineRule="auto"/>
        <w:jc w:val="both"/>
        <w:rPr>
          <w:rFonts w:ascii="Times New Roman" w:hAnsi="Times New Roman" w:cs="Times New Roman"/>
          <w:lang w:val="en-GB"/>
        </w:rPr>
      </w:pPr>
      <w:r>
        <w:rPr>
          <w:b/>
          <w:bCs/>
          <w:sz w:val="22"/>
          <w:szCs w:val="18"/>
          <w:lang w:val="en-US"/>
        </w:rPr>
        <w:t xml:space="preserve">Figure </w:t>
      </w:r>
      <w:r>
        <w:rPr>
          <w:b/>
          <w:bCs/>
          <w:sz w:val="22"/>
          <w:szCs w:val="18"/>
        </w:rPr>
        <w:fldChar w:fldCharType="begin"/>
      </w:r>
      <w:r>
        <w:rPr>
          <w:b/>
          <w:bCs/>
          <w:sz w:val="22"/>
          <w:szCs w:val="18"/>
          <w:lang w:val="en-US"/>
        </w:rPr>
        <w:instrText xml:space="preserve"> SEQ Figure \* ARABIC </w:instrText>
      </w:r>
      <w:r>
        <w:rPr>
          <w:b/>
          <w:bCs/>
          <w:sz w:val="22"/>
          <w:szCs w:val="18"/>
        </w:rPr>
        <w:fldChar w:fldCharType="separate"/>
      </w:r>
      <w:r>
        <w:rPr>
          <w:b/>
          <w:bCs/>
          <w:noProof/>
          <w:sz w:val="22"/>
          <w:szCs w:val="18"/>
          <w:lang w:val="en-US"/>
        </w:rPr>
        <w:t>5</w:t>
      </w:r>
      <w:r>
        <w:rPr>
          <w:b/>
          <w:bCs/>
          <w:noProof/>
          <w:sz w:val="22"/>
          <w:szCs w:val="18"/>
        </w:rPr>
        <w:fldChar w:fldCharType="end"/>
      </w:r>
      <w:r>
        <w:rPr>
          <w:b/>
          <w:bCs/>
          <w:sz w:val="22"/>
          <w:szCs w:val="18"/>
          <w:lang w:val="en-US"/>
        </w:rPr>
        <w:t>: Binding Constraint Heterogeneity</w:t>
      </w:r>
      <w:bookmarkEnd w:id="43"/>
    </w:p>
    <w:p w14:paraId="49139723" w14:textId="77777777" w:rsidR="00C273E1" w:rsidRDefault="01180385"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5C381C23" wp14:editId="3C443314">
            <wp:extent cx="5720915" cy="3369310"/>
            <wp:effectExtent l="0" t="0" r="0" b="2540"/>
            <wp:docPr id="1071017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7197" name="Picture 1071017197"/>
                    <pic:cNvPicPr/>
                  </pic:nvPicPr>
                  <pic:blipFill rotWithShape="1">
                    <a:blip r:embed="rId29" cstate="print">
                      <a:extLst>
                        <a:ext uri="{28A0092B-C50C-407E-A947-70E740481C1C}">
                          <a14:useLocalDpi xmlns:a14="http://schemas.microsoft.com/office/drawing/2010/main" val="0"/>
                        </a:ext>
                      </a:extLst>
                    </a:blip>
                    <a:srcRect t="8301"/>
                    <a:stretch>
                      <a:fillRect/>
                    </a:stretch>
                  </pic:blipFill>
                  <pic:spPr bwMode="auto">
                    <a:xfrm>
                      <a:off x="0" y="0"/>
                      <a:ext cx="5724525" cy="3371436"/>
                    </a:xfrm>
                    <a:prstGeom prst="rect">
                      <a:avLst/>
                    </a:prstGeom>
                    <a:ln>
                      <a:noFill/>
                    </a:ln>
                    <a:extLst>
                      <a:ext uri="{53640926-AAD7-44D8-BBD7-CCE9431645EC}">
                        <a14:shadowObscured xmlns:a14="http://schemas.microsoft.com/office/drawing/2010/main"/>
                      </a:ext>
                    </a:extLst>
                  </pic:spPr>
                </pic:pic>
              </a:graphicData>
            </a:graphic>
          </wp:inline>
        </w:drawing>
      </w:r>
    </w:p>
    <w:p w14:paraId="3BD3F4B0" w14:textId="40177EFF" w:rsidR="00C273E1" w:rsidRDefault="00C273E1" w:rsidP="00C273E1">
      <w:pPr>
        <w:spacing w:after="120" w:line="360" w:lineRule="auto"/>
        <w:jc w:val="both"/>
        <w:rPr>
          <w:rFonts w:ascii="Times New Roman" w:hAnsi="Times New Roman" w:cs="Times New Roman"/>
          <w:lang w:val="en-GB"/>
        </w:rPr>
      </w:pPr>
      <w:bookmarkStart w:id="44" w:name="_Toc223276161"/>
      <w:r>
        <w:rPr>
          <w:b/>
          <w:bCs/>
          <w:sz w:val="22"/>
          <w:szCs w:val="18"/>
          <w:lang w:val="en-US"/>
        </w:rPr>
        <w:t xml:space="preserve">Figure </w:t>
      </w:r>
      <w:r>
        <w:rPr>
          <w:b/>
          <w:bCs/>
          <w:sz w:val="22"/>
          <w:szCs w:val="18"/>
        </w:rPr>
        <w:fldChar w:fldCharType="begin"/>
      </w:r>
      <w:r>
        <w:rPr>
          <w:b/>
          <w:bCs/>
          <w:sz w:val="22"/>
          <w:szCs w:val="18"/>
          <w:lang w:val="en-US"/>
        </w:rPr>
        <w:instrText xml:space="preserve"> SEQ Figure \* ARABIC </w:instrText>
      </w:r>
      <w:r>
        <w:rPr>
          <w:b/>
          <w:bCs/>
          <w:sz w:val="22"/>
          <w:szCs w:val="18"/>
        </w:rPr>
        <w:fldChar w:fldCharType="separate"/>
      </w:r>
      <w:r>
        <w:rPr>
          <w:b/>
          <w:bCs/>
          <w:noProof/>
          <w:sz w:val="22"/>
          <w:szCs w:val="18"/>
          <w:lang w:val="en-US"/>
        </w:rPr>
        <w:t>6</w:t>
      </w:r>
      <w:r>
        <w:rPr>
          <w:b/>
          <w:bCs/>
          <w:noProof/>
          <w:sz w:val="22"/>
          <w:szCs w:val="18"/>
        </w:rPr>
        <w:fldChar w:fldCharType="end"/>
      </w:r>
      <w:r>
        <w:rPr>
          <w:b/>
          <w:bCs/>
          <w:sz w:val="22"/>
          <w:szCs w:val="18"/>
          <w:lang w:val="en-US"/>
        </w:rPr>
        <w:t xml:space="preserve">: Log Turnover Distribution </w:t>
      </w:r>
      <w:r>
        <w:rPr>
          <w:rFonts w:ascii="Times New Roman" w:eastAsia="Aptos" w:hAnsi="Times New Roman" w:cs="Times New Roman"/>
          <w:b/>
          <w:bCs/>
          <w:sz w:val="22"/>
          <w:szCs w:val="22"/>
          <w:lang w:val="en-GB"/>
        </w:rPr>
        <w:t>— Pre vs. During Pilot</w:t>
      </w:r>
      <w:bookmarkEnd w:id="44"/>
    </w:p>
    <w:p w14:paraId="22C94633" w14:textId="0F99E4F2" w:rsidR="00FE3532" w:rsidRDefault="00C273E1"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68D24A83" wp14:editId="5910FA70">
            <wp:extent cx="5724525" cy="3324958"/>
            <wp:effectExtent l="0" t="0" r="0" b="8890"/>
            <wp:docPr id="2116120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0758" name="Picture 2116120758"/>
                    <pic:cNvPicPr/>
                  </pic:nvPicPr>
                  <pic:blipFill rotWithShape="1">
                    <a:blip r:embed="rId30" cstate="print">
                      <a:extLst>
                        <a:ext uri="{28A0092B-C50C-407E-A947-70E740481C1C}">
                          <a14:useLocalDpi xmlns:a14="http://schemas.microsoft.com/office/drawing/2010/main" val="0"/>
                        </a:ext>
                      </a:extLst>
                    </a:blip>
                    <a:srcRect t="9566"/>
                    <a:stretch>
                      <a:fillRect/>
                    </a:stretch>
                  </pic:blipFill>
                  <pic:spPr bwMode="auto">
                    <a:xfrm>
                      <a:off x="0" y="0"/>
                      <a:ext cx="5724525" cy="3324958"/>
                    </a:xfrm>
                    <a:prstGeom prst="rect">
                      <a:avLst/>
                    </a:prstGeom>
                    <a:ln>
                      <a:noFill/>
                    </a:ln>
                    <a:extLst>
                      <a:ext uri="{53640926-AAD7-44D8-BBD7-CCE9431645EC}">
                        <a14:shadowObscured xmlns:a14="http://schemas.microsoft.com/office/drawing/2010/main"/>
                      </a:ext>
                    </a:extLst>
                  </pic:spPr>
                </pic:pic>
              </a:graphicData>
            </a:graphic>
          </wp:inline>
        </w:drawing>
      </w:r>
    </w:p>
    <w:p w14:paraId="4C0A2FCC" w14:textId="77777777" w:rsidR="00B7705B" w:rsidRDefault="00B7705B" w:rsidP="00FE3532">
      <w:pPr>
        <w:spacing w:after="120" w:line="360" w:lineRule="auto"/>
        <w:jc w:val="both"/>
        <w:rPr>
          <w:rFonts w:ascii="Times New Roman" w:hAnsi="Times New Roman" w:cs="Times New Roman"/>
          <w:lang w:val="en-GB"/>
        </w:rPr>
      </w:pPr>
    </w:p>
    <w:p w14:paraId="28A48B81" w14:textId="77777777" w:rsidR="00C733AF" w:rsidRDefault="00C733AF" w:rsidP="00FE3532">
      <w:pPr>
        <w:spacing w:after="120" w:line="360" w:lineRule="auto"/>
        <w:jc w:val="both"/>
        <w:rPr>
          <w:b/>
          <w:bCs/>
          <w:sz w:val="22"/>
          <w:szCs w:val="18"/>
          <w:lang w:val="en-US"/>
        </w:rPr>
      </w:pPr>
      <w:bookmarkStart w:id="45" w:name="_Toc223276162"/>
    </w:p>
    <w:p w14:paraId="55740473" w14:textId="77777777" w:rsidR="00C733AF" w:rsidRDefault="00C733AF" w:rsidP="00FE3532">
      <w:pPr>
        <w:spacing w:after="120" w:line="360" w:lineRule="auto"/>
        <w:jc w:val="both"/>
        <w:rPr>
          <w:b/>
          <w:bCs/>
          <w:sz w:val="22"/>
          <w:szCs w:val="18"/>
          <w:lang w:val="en-US"/>
        </w:rPr>
      </w:pPr>
    </w:p>
    <w:p w14:paraId="1629558B" w14:textId="70C7DD57" w:rsidR="00B7705B" w:rsidRDefault="00B7705B" w:rsidP="00FE3532">
      <w:pPr>
        <w:spacing w:after="120" w:line="360" w:lineRule="auto"/>
        <w:jc w:val="both"/>
        <w:rPr>
          <w:rFonts w:ascii="Times New Roman" w:eastAsia="Aptos" w:hAnsi="Times New Roman" w:cs="Times New Roman"/>
          <w:b/>
          <w:bCs/>
          <w:sz w:val="22"/>
          <w:szCs w:val="22"/>
          <w:lang w:val="en-GB"/>
        </w:rPr>
      </w:pPr>
      <w:r>
        <w:rPr>
          <w:b/>
          <w:bCs/>
          <w:sz w:val="22"/>
          <w:szCs w:val="18"/>
        </w:rPr>
        <w:fldChar w:fldCharType="begin"/>
      </w:r>
      <w:r>
        <w:rPr>
          <w:b/>
          <w:bCs/>
          <w:sz w:val="22"/>
          <w:szCs w:val="18"/>
          <w:lang w:val="en-US"/>
        </w:rPr>
        <w:instrText xml:space="preserve"> SEQ Figure \* ARABIC </w:instrText>
      </w:r>
      <w:r>
        <w:rPr>
          <w:b/>
          <w:bCs/>
          <w:sz w:val="22"/>
          <w:szCs w:val="18"/>
        </w:rPr>
        <w:fldChar w:fldCharType="separate"/>
      </w:r>
      <w:r>
        <w:rPr>
          <w:b/>
          <w:bCs/>
          <w:noProof/>
          <w:sz w:val="22"/>
          <w:szCs w:val="18"/>
          <w:lang w:val="en-US"/>
        </w:rPr>
        <w:t>7</w:t>
      </w:r>
      <w:r>
        <w:rPr>
          <w:b/>
          <w:bCs/>
          <w:noProof/>
          <w:sz w:val="22"/>
          <w:szCs w:val="18"/>
        </w:rPr>
        <w:fldChar w:fldCharType="end"/>
      </w:r>
      <w:r>
        <w:rPr>
          <w:b/>
          <w:bCs/>
          <w:sz w:val="22"/>
          <w:szCs w:val="18"/>
          <w:lang w:val="en-US"/>
        </w:rPr>
        <w:t>: Average Treatment Effects (H1 Model)</w:t>
      </w:r>
      <w:bookmarkEnd w:id="45"/>
    </w:p>
    <w:p w14:paraId="37CCC7F5" w14:textId="75D8B875" w:rsidR="00B7705B" w:rsidRDefault="00B7705B" w:rsidP="00FE3532">
      <w:pPr>
        <w:spacing w:after="120" w:line="360" w:lineRule="auto"/>
        <w:jc w:val="both"/>
        <w:rPr>
          <w:rFonts w:ascii="Times New Roman" w:hAnsi="Times New Roman" w:cs="Times New Roman"/>
          <w:lang w:val="en-GB"/>
        </w:rPr>
      </w:pPr>
      <w:r>
        <w:rPr>
          <w:rFonts w:ascii="Times New Roman" w:hAnsi="Times New Roman" w:cs="Times New Roman"/>
          <w:lang w:val="en-GB"/>
        </w:rPr>
        <w:drawing>
          <wp:inline distT="0" distB="0" distL="0" distR="0" wp14:anchorId="317879E3" wp14:editId="256B048C">
            <wp:extent cx="5724525" cy="3353093"/>
            <wp:effectExtent l="0" t="0" r="0" b="0"/>
            <wp:docPr id="1009856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6097" name="Picture 1009856097"/>
                    <pic:cNvPicPr/>
                  </pic:nvPicPr>
                  <pic:blipFill rotWithShape="1">
                    <a:blip r:embed="rId31" cstate="print">
                      <a:extLst>
                        <a:ext uri="{28A0092B-C50C-407E-A947-70E740481C1C}">
                          <a14:useLocalDpi xmlns:a14="http://schemas.microsoft.com/office/drawing/2010/main" val="0"/>
                        </a:ext>
                      </a:extLst>
                    </a:blip>
                    <a:srcRect t="8801"/>
                    <a:stretch>
                      <a:fillRect/>
                    </a:stretch>
                  </pic:blipFill>
                  <pic:spPr bwMode="auto">
                    <a:xfrm>
                      <a:off x="0" y="0"/>
                      <a:ext cx="5724525" cy="3353093"/>
                    </a:xfrm>
                    <a:prstGeom prst="rect">
                      <a:avLst/>
                    </a:prstGeom>
                    <a:ln>
                      <a:noFill/>
                    </a:ln>
                    <a:extLst>
                      <a:ext uri="{53640926-AAD7-44D8-BBD7-CCE9431645EC}">
                        <a14:shadowObscured xmlns:a14="http://schemas.microsoft.com/office/drawing/2010/main"/>
                      </a:ext>
                    </a:extLst>
                  </pic:spPr>
                </pic:pic>
              </a:graphicData>
            </a:graphic>
          </wp:inline>
        </w:drawing>
      </w:r>
    </w:p>
    <w:p w14:paraId="635D1E04" w14:textId="5AA4456E" w:rsidR="00B7705B" w:rsidRDefault="00B7705B" w:rsidP="00B7705B">
      <w:pPr>
        <w:spacing w:after="120" w:line="360" w:lineRule="auto"/>
        <w:jc w:val="both"/>
        <w:rPr>
          <w:rFonts w:ascii="Times New Roman" w:hAnsi="Times New Roman" w:cs="Times New Roman"/>
          <w:lang w:val="en-GB"/>
        </w:rPr>
      </w:pPr>
      <w:bookmarkStart w:id="46" w:name="_Toc223276163"/>
      <w:r>
        <w:rPr>
          <w:b/>
          <w:bCs/>
          <w:sz w:val="22"/>
          <w:szCs w:val="18"/>
          <w:lang w:val="en-US"/>
        </w:rPr>
        <w:t xml:space="preserve">Figure </w:t>
      </w:r>
      <w:r>
        <w:rPr>
          <w:b/>
          <w:bCs/>
          <w:sz w:val="22"/>
          <w:szCs w:val="18"/>
        </w:rPr>
        <w:fldChar w:fldCharType="begin"/>
      </w:r>
      <w:r>
        <w:rPr>
          <w:b/>
          <w:bCs/>
          <w:sz w:val="22"/>
          <w:szCs w:val="18"/>
          <w:lang w:val="en-US"/>
        </w:rPr>
        <w:instrText xml:space="preserve"> SEQ Figure \* ARABIC </w:instrText>
      </w:r>
      <w:r>
        <w:rPr>
          <w:b/>
          <w:bCs/>
          <w:sz w:val="22"/>
          <w:szCs w:val="18"/>
        </w:rPr>
        <w:fldChar w:fldCharType="separate"/>
      </w:r>
      <w:r>
        <w:rPr>
          <w:b/>
          <w:bCs/>
          <w:noProof/>
          <w:sz w:val="22"/>
          <w:szCs w:val="18"/>
          <w:lang w:val="en-US"/>
        </w:rPr>
        <w:t>8</w:t>
      </w:r>
      <w:r>
        <w:rPr>
          <w:b/>
          <w:bCs/>
          <w:noProof/>
          <w:sz w:val="22"/>
          <w:szCs w:val="18"/>
        </w:rPr>
        <w:fldChar w:fldCharType="end"/>
      </w:r>
      <w:r>
        <w:rPr>
          <w:b/>
          <w:bCs/>
          <w:sz w:val="22"/>
          <w:szCs w:val="18"/>
          <w:lang w:val="en-US"/>
        </w:rPr>
        <w:t>: Heterogeneous Treatment Effects (H2 Model)</w:t>
      </w:r>
      <w:bookmarkEnd w:id="46"/>
    </w:p>
    <w:p w14:paraId="68CE7E23" w14:textId="66364CF9" w:rsidR="006C6ABE" w:rsidRPr="0067597A" w:rsidRDefault="00A51949" w:rsidP="0067597A">
      <w:pPr>
        <w:spacing w:after="60" w:line="360" w:lineRule="auto"/>
        <w:rPr>
          <w:rFonts w:ascii="Times New Roman" w:hAnsi="Times New Roman" w:cs="Times New Roman"/>
          <w:b/>
          <w:bCs/>
          <w:sz w:val="32"/>
          <w:szCs w:val="32"/>
          <w:lang w:val="en-GB"/>
        </w:rPr>
      </w:pPr>
      <w:r>
        <w:rPr>
          <w:rFonts w:ascii="Times New Roman" w:hAnsi="Times New Roman" w:cs="Times New Roman"/>
          <w:lang w:val="en-GB"/>
        </w:rPr>
        <w:drawing>
          <wp:inline distT="0" distB="0" distL="0" distR="0" wp14:anchorId="1B792217" wp14:editId="1D26A025">
            <wp:extent cx="5724525" cy="3339026"/>
            <wp:effectExtent l="0" t="0" r="0" b="0"/>
            <wp:docPr id="1374329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9762" name="Picture 1374329762"/>
                    <pic:cNvPicPr/>
                  </pic:nvPicPr>
                  <pic:blipFill rotWithShape="1">
                    <a:blip r:embed="rId32">
                      <a:extLst>
                        <a:ext uri="{28A0092B-C50C-407E-A947-70E740481C1C}">
                          <a14:useLocalDpi xmlns:a14="http://schemas.microsoft.com/office/drawing/2010/main"/>
                        </a:ext>
                      </a:extLst>
                    </a:blip>
                    <a:srcRect t="9183"/>
                    <a:stretch>
                      <a:fillRect/>
                    </a:stretch>
                  </pic:blipFill>
                  <pic:spPr bwMode="auto">
                    <a:xfrm>
                      <a:off x="0" y="0"/>
                      <a:ext cx="5724525" cy="3339026"/>
                    </a:xfrm>
                    <a:prstGeom prst="rect">
                      <a:avLst/>
                    </a:prstGeom>
                    <a:ln>
                      <a:noFill/>
                    </a:ln>
                    <a:extLst>
                      <a:ext uri="{53640926-AAD7-44D8-BBD7-CCE9431645EC}">
                        <a14:shadowObscured xmlns:a14="http://schemas.microsoft.com/office/drawing/2010/main"/>
                      </a:ext>
                    </a:extLst>
                  </pic:spPr>
                </pic:pic>
              </a:graphicData>
            </a:graphic>
          </wp:inline>
        </w:drawing>
      </w:r>
    </w:p>
    <w:sectPr w:rsidR="006C6ABE" w:rsidRPr="0067597A" w:rsidSect="0067597A">
      <w:pgSz w:w="11906" w:h="16838"/>
      <w:pgMar w:top="1440" w:right="1440" w:bottom="1440" w:left="1440" w:header="720" w:footer="720" w:gutter="0"/>
      <w:pgNumType w:fmt="upperRoman" w:start="4"/>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n Endreß" w:date="2026-03-01T15:48:00Z" w:initials="JE">
    <w:p w14:paraId="57E09CCE" w14:textId="77777777" w:rsidR="00366707" w:rsidRDefault="00366707" w:rsidP="00366707">
      <w:pPr>
        <w:pStyle w:val="CommentText"/>
      </w:pPr>
      <w:r>
        <w:rPr>
          <w:rStyle w:val="CommentReference"/>
        </w:rPr>
        <w:annotationRef/>
      </w:r>
      <w:r>
        <w:t>Samias suggestion:</w:t>
      </w:r>
    </w:p>
    <w:p w14:paraId="5EEC61E7" w14:textId="77777777" w:rsidR="00366707" w:rsidRDefault="00366707" w:rsidP="00366707">
      <w:pPr>
        <w:pStyle w:val="CommentText"/>
      </w:pPr>
      <w:r>
        <w:br/>
        <w:t>Proposals : The Causal Effect of Minimum Tick Size Increases on Trading Volume</w:t>
      </w:r>
    </w:p>
    <w:p w14:paraId="5B263F8B" w14:textId="77777777" w:rsidR="00366707" w:rsidRDefault="00366707" w:rsidP="00366707">
      <w:pPr>
        <w:pStyle w:val="CommentText"/>
      </w:pPr>
      <w:r>
        <w:t>The Impact of Minimum Tick Size Regulation on Trading Volume: Evidence from the SEC Tick Size Pilot Program</w:t>
      </w:r>
    </w:p>
  </w:comment>
  <w:comment w:id="2" w:author="Julian Endreß" w:date="2026-02-28T17:23:00Z" w:initials="JE">
    <w:p w14:paraId="49EB6CEA" w14:textId="77777777" w:rsidR="003967AA" w:rsidRDefault="003967AA" w:rsidP="003967AA">
      <w:pPr>
        <w:pStyle w:val="CommentText"/>
      </w:pPr>
      <w:r>
        <w:rPr>
          <w:rStyle w:val="CommentReference"/>
        </w:rPr>
        <w:annotationRef/>
      </w:r>
      <w:r>
        <w:t>Shouldn‘t we directly specify that we use turnover?</w:t>
      </w:r>
    </w:p>
  </w:comment>
  <w:comment w:id="4" w:author="Julian Endreß" w:date="2026-02-28T15:08:00Z" w:initials="JE">
    <w:p w14:paraId="7ECE081B" w14:textId="77777777" w:rsidR="00B76535" w:rsidRDefault="000507B8" w:rsidP="00B76535">
      <w:pPr>
        <w:pStyle w:val="CommentText"/>
      </w:pPr>
      <w:r>
        <w:rPr>
          <w:rStyle w:val="CommentReference"/>
        </w:rPr>
        <w:annotationRef/>
      </w:r>
      <w:r w:rsidR="00B76535">
        <w:t>More specific? Also how much in each group?</w:t>
      </w:r>
    </w:p>
  </w:comment>
  <w:comment w:id="5" w:author="Pietro De Bernardi" w:date="2026-02-28T16:43:00Z" w:initials="p">
    <w:p w14:paraId="3A74D3DC" w14:textId="77777777" w:rsidR="00B62D44" w:rsidRDefault="00B62D44" w:rsidP="00B62D44">
      <w:r>
        <w:rPr>
          <w:rStyle w:val="CommentReference"/>
        </w:rPr>
        <w:annotationRef/>
      </w:r>
      <w:r>
        <w:rPr>
          <w:sz w:val="20"/>
          <w:szCs w:val="20"/>
        </w:rPr>
        <w:t>I think it can be good to do an approximation since we will drop a lot of them so the number will change.</w:t>
      </w:r>
    </w:p>
  </w:comment>
  <w:comment w:id="9" w:author="Julian Endreß" w:date="2026-02-28T15:34:00Z" w:initials="JE">
    <w:p w14:paraId="6B85DA14" w14:textId="77777777" w:rsidR="003B7CE4" w:rsidRDefault="002E33F7" w:rsidP="003B7CE4">
      <w:pPr>
        <w:pStyle w:val="CommentText"/>
      </w:pPr>
      <w:r>
        <w:rPr>
          <w:rStyle w:val="CommentReference"/>
        </w:rPr>
        <w:annotationRef/>
      </w:r>
      <w:r w:rsidR="003B7CE4">
        <w:t>We should say specificaly if they were below $0.05</w:t>
      </w:r>
    </w:p>
    <w:p w14:paraId="090C29C1" w14:textId="77777777" w:rsidR="003B7CE4" w:rsidRDefault="003B7CE4" w:rsidP="003B7CE4">
      <w:pPr>
        <w:pStyle w:val="CommentText"/>
      </w:pPr>
    </w:p>
    <w:p w14:paraId="32AA8796" w14:textId="77777777" w:rsidR="003B7CE4" w:rsidRDefault="003B7CE4" w:rsidP="003B7CE4">
      <w:pPr>
        <w:pStyle w:val="CommentText"/>
      </w:pPr>
      <w:r>
        <w:t>*My Recommendation:*</w:t>
      </w:r>
    </w:p>
    <w:p w14:paraId="2C21C918" w14:textId="77777777" w:rsidR="003B7CE4" w:rsidRDefault="003B7CE4" w:rsidP="003B7CE4">
      <w:pPr>
        <w:pStyle w:val="CommentText"/>
      </w:pPr>
      <w:r>
        <w:t xml:space="preserve">The negative effect of the tick size increase on trading volume is larger for stocks whose pre-pilot quoted spreads were below $0.05. </w:t>
      </w:r>
    </w:p>
  </w:comment>
  <w:comment w:id="10" w:author="Pietro De Bernardi" w:date="2026-02-28T17:37:00Z" w:initials="p">
    <w:p w14:paraId="3A8B09BB" w14:textId="77777777" w:rsidR="00B0665F" w:rsidRDefault="00B0665F" w:rsidP="00B0665F">
      <w:r>
        <w:rPr>
          <w:rStyle w:val="CommentReference"/>
        </w:rPr>
        <w:annotationRef/>
      </w:r>
      <w:r>
        <w:rPr>
          <w:sz w:val="20"/>
          <w:szCs w:val="20"/>
        </w:rPr>
        <w:t>agree</w:t>
      </w:r>
    </w:p>
  </w:comment>
  <w:comment w:id="12" w:author="Julian Endreß" w:date="2026-03-01T13:47:00Z" w:initials="JE">
    <w:p w14:paraId="69964EC4" w14:textId="77777777" w:rsidR="00F9087A" w:rsidRDefault="00F9087A" w:rsidP="00F9087A">
      <w:pPr>
        <w:pStyle w:val="CommentText"/>
      </w:pPr>
      <w:r>
        <w:rPr>
          <w:rStyle w:val="CommentReference"/>
        </w:rPr>
        <w:annotationRef/>
      </w:r>
      <w:r>
        <w:rPr>
          <w:lang w:val="en-GB"/>
        </w:rPr>
        <w:t>In General, we compare Before vs. Treatment &amp; before vs. after – please adjust this in this part, as it is only for before vs treatment.</w:t>
      </w:r>
    </w:p>
  </w:comment>
  <w:comment w:id="19" w:author="Julian Endreß" w:date="2026-03-01T17:59:00Z" w:initials="JE">
    <w:p w14:paraId="076EFF64" w14:textId="77777777" w:rsidR="00666F64" w:rsidRDefault="00666F64" w:rsidP="00666F64">
      <w:pPr>
        <w:pStyle w:val="CommentText"/>
      </w:pPr>
      <w:r>
        <w:rPr>
          <w:rStyle w:val="CommentReference"/>
        </w:rPr>
        <w:annotationRef/>
      </w:r>
      <w:r>
        <w:t>The following sentence was removed here due to space:</w:t>
      </w:r>
      <w:r>
        <w:br/>
      </w:r>
      <w:r>
        <w:br/>
      </w:r>
      <w:r>
        <w:rPr>
          <w:lang w:val="en-GB"/>
        </w:rPr>
        <w:t>Furthermore, applying an ex-post firm-level filter unnecessarily deletes nearly 100,000 valid observations, specifically the low-priced, constrained stocks that are crucial for our heterogeneous analysis.</w:t>
      </w:r>
    </w:p>
  </w:comment>
  <w:comment w:id="20" w:author="Julian Endreß" w:date="2026-03-01T17:42:00Z" w:initials="JE">
    <w:p w14:paraId="6E1C4FC9" w14:textId="77777777" w:rsidR="00396015" w:rsidRDefault="00396015" w:rsidP="0052387D">
      <w:pPr>
        <w:pStyle w:val="CommentText"/>
      </w:pPr>
      <w:r>
        <w:rPr>
          <w:rStyle w:val="CommentReference"/>
        </w:rPr>
        <w:annotationRef/>
      </w:r>
      <w:r>
        <w:t>Kepp that? It is from old code, but shows that with non firm level drop it changes.</w:t>
      </w:r>
    </w:p>
  </w:comment>
  <w:comment w:id="22" w:author="Julian Endreß" w:date="2026-02-28T16:16:00Z" w:initials="JE">
    <w:p w14:paraId="4F2DC363" w14:textId="77777777" w:rsidR="00396015" w:rsidRDefault="00396015" w:rsidP="00507879">
      <w:pPr>
        <w:pStyle w:val="CommentText"/>
      </w:pPr>
      <w:r>
        <w:rPr>
          <w:rStyle w:val="CommentReference"/>
        </w:rPr>
        <w:annotationRef/>
      </w:r>
      <w:r>
        <w:t>Do we use it that way?</w:t>
      </w:r>
    </w:p>
  </w:comment>
  <w:comment w:id="23" w:author="Pietro De Bernardi" w:date="2026-02-28T16:36:00Z" w:initials="p">
    <w:p w14:paraId="29AD8010" w14:textId="77777777" w:rsidR="00396015" w:rsidRDefault="00396015" w:rsidP="00ED5069">
      <w:r>
        <w:rPr>
          <w:rStyle w:val="CommentReference"/>
        </w:rPr>
        <w:annotationRef/>
      </w:r>
      <w:r>
        <w:rPr>
          <w:sz w:val="20"/>
          <w:szCs w:val="20"/>
        </w:rPr>
        <w:t>The variable is prc, which is the closing price. Is the bid ask average only if that day there was no closing price, but since we dropped all the observations with 0 volume we shouldn't have any observation like that. Therefore, is just the price not the avg of bid ask</w:t>
      </w:r>
    </w:p>
  </w:comment>
  <w:comment w:id="28" w:author="Julian Endreß" w:date="2026-02-28T16:25:00Z" w:initials="JE">
    <w:p w14:paraId="576D91F0" w14:textId="5AF4C912" w:rsidR="00245BCE" w:rsidRDefault="00245BCE" w:rsidP="00245BCE">
      <w:pPr>
        <w:pStyle w:val="CommentText"/>
      </w:pPr>
      <w:r>
        <w:rPr>
          <w:rStyle w:val="CommentReference"/>
        </w:rPr>
        <w:annotationRef/>
      </w:r>
      <w:r>
        <w:t>Connected to more specific H2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63F8B" w15:done="0"/>
  <w15:commentEx w15:paraId="49EB6CEA" w15:done="1"/>
  <w15:commentEx w15:paraId="7ECE081B" w15:done="0"/>
  <w15:commentEx w15:paraId="3A74D3DC" w15:paraIdParent="7ECE081B" w15:done="0"/>
  <w15:commentEx w15:paraId="2C21C918" w15:done="1"/>
  <w15:commentEx w15:paraId="3A8B09BB" w15:paraIdParent="2C21C918" w15:done="1"/>
  <w15:commentEx w15:paraId="69964EC4" w15:done="1"/>
  <w15:commentEx w15:paraId="076EFF64" w15:done="0"/>
  <w15:commentEx w15:paraId="6E1C4FC9" w15:done="0"/>
  <w15:commentEx w15:paraId="4F2DC363" w15:done="0"/>
  <w15:commentEx w15:paraId="29AD8010" w15:paraIdParent="4F2DC363" w15:done="0"/>
  <w15:commentEx w15:paraId="576D91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5824D3" w16cex:dateUtc="2026-03-01T14:48:00Z"/>
  <w16cex:commentExtensible w16cex:durableId="59D25D20" w16cex:dateUtc="2026-02-28T16:23:00Z">
    <w16cex:extLst>
      <w16:ext w16:uri="{CE6994B0-6A32-4C9F-8C6B-6E91EDA988CE}">
        <cr:reactions xmlns:cr="http://schemas.microsoft.com/office/comments/2020/reactions">
          <cr:reaction reactionType="1">
            <cr:reactionInfo dateUtc="2026-03-01T10:44:06Z">
              <cr:user userId="S::72931@novasbe.pt::e8beb396-9b41-47fd-a1c3-27a916cdfad9" userProvider="AD" userName="Samia Snen"/>
            </cr:reactionInfo>
          </cr:reaction>
        </cr:reactions>
      </w16:ext>
    </w16cex:extLst>
  </w16cex:commentExtensible>
  <w16cex:commentExtensible w16cex:durableId="449E75F8" w16cex:dateUtc="2026-02-28T14:08:00Z"/>
  <w16cex:commentExtensible w16cex:durableId="5A6B954F" w16cex:dateUtc="2026-02-28T16:43:00Z"/>
  <w16cex:commentExtensible w16cex:durableId="41D01DA9" w16cex:dateUtc="2026-02-28T14:34:00Z">
    <w16cex:extLst>
      <w16:ext w16:uri="{CE6994B0-6A32-4C9F-8C6B-6E91EDA988CE}">
        <cr:reactions xmlns:cr="http://schemas.microsoft.com/office/comments/2020/reactions">
          <cr:reaction reactionType="1">
            <cr:reactionInfo dateUtc="2026-03-01T10:46:55Z">
              <cr:user userId="S::72931@novasbe.pt::e8beb396-9b41-47fd-a1c3-27a916cdfad9" userProvider="AD" userName="Samia Snen"/>
            </cr:reactionInfo>
          </cr:reaction>
        </cr:reactions>
      </w16:ext>
    </w16cex:extLst>
  </w16cex:commentExtensible>
  <w16cex:commentExtensible w16cex:durableId="5709356E" w16cex:dateUtc="2026-02-28T17:37:00Z"/>
  <w16cex:commentExtensible w16cex:durableId="1414A864" w16cex:dateUtc="2026-03-01T12:47:00Z"/>
  <w16cex:commentExtensible w16cex:durableId="2D8C4506" w16cex:dateUtc="2026-03-01T16:59:00Z"/>
  <w16cex:commentExtensible w16cex:durableId="26174E4D" w16cex:dateUtc="2026-03-01T16:42:00Z"/>
  <w16cex:commentExtensible w16cex:durableId="5CD2795C" w16cex:dateUtc="2026-02-28T15:16:00Z"/>
  <w16cex:commentExtensible w16cex:durableId="33B46B02" w16cex:dateUtc="2026-02-28T16:36:00Z"/>
  <w16cex:commentExtensible w16cex:durableId="2CEF80D4" w16cex:dateUtc="2026-02-28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63F8B" w16cid:durableId="7D5824D3"/>
  <w16cid:commentId w16cid:paraId="49EB6CEA" w16cid:durableId="59D25D20"/>
  <w16cid:commentId w16cid:paraId="7ECE081B" w16cid:durableId="449E75F8"/>
  <w16cid:commentId w16cid:paraId="3A74D3DC" w16cid:durableId="5A6B954F"/>
  <w16cid:commentId w16cid:paraId="2C21C918" w16cid:durableId="41D01DA9"/>
  <w16cid:commentId w16cid:paraId="3A8B09BB" w16cid:durableId="5709356E"/>
  <w16cid:commentId w16cid:paraId="69964EC4" w16cid:durableId="1414A864"/>
  <w16cid:commentId w16cid:paraId="076EFF64" w16cid:durableId="2D8C4506"/>
  <w16cid:commentId w16cid:paraId="6E1C4FC9" w16cid:durableId="26174E4D"/>
  <w16cid:commentId w16cid:paraId="4F2DC363" w16cid:durableId="5CD2795C"/>
  <w16cid:commentId w16cid:paraId="29AD8010" w16cid:durableId="33B46B02"/>
  <w16cid:commentId w16cid:paraId="576D91F0" w16cid:durableId="2CEF8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AB89" w14:textId="77777777" w:rsidR="005C5A6A" w:rsidRDefault="005C5A6A" w:rsidP="00E54D45">
      <w:pPr>
        <w:spacing w:after="0" w:line="240" w:lineRule="auto"/>
      </w:pPr>
      <w:r>
        <w:separator/>
      </w:r>
    </w:p>
  </w:endnote>
  <w:endnote w:type="continuationSeparator" w:id="0">
    <w:p w14:paraId="33C84050" w14:textId="77777777" w:rsidR="005C5A6A" w:rsidRDefault="005C5A6A" w:rsidP="00E54D45">
      <w:pPr>
        <w:spacing w:after="0" w:line="240" w:lineRule="auto"/>
      </w:pPr>
      <w:r>
        <w:continuationSeparator/>
      </w:r>
    </w:p>
  </w:endnote>
  <w:endnote w:type="continuationNotice" w:id="1">
    <w:p w14:paraId="6017C8BF" w14:textId="77777777" w:rsidR="005C5A6A" w:rsidRDefault="005C5A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9976470"/>
      <w:docPartObj>
        <w:docPartGallery w:val="Page Numbers (Bottom of Page)"/>
        <w:docPartUnique/>
      </w:docPartObj>
    </w:sdtPr>
    <w:sdtContent>
      <w:p w14:paraId="1EBE8E36" w14:textId="127E65EC" w:rsidR="00F71F20" w:rsidRDefault="00F71F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997A20">
          <w:rPr>
            <w:rStyle w:val="PageNumber"/>
          </w:rPr>
          <w:fldChar w:fldCharType="separate"/>
        </w:r>
        <w:r w:rsidR="00997A20">
          <w:rPr>
            <w:rStyle w:val="PageNumber"/>
            <w:noProof/>
          </w:rPr>
          <w:t>2</w:t>
        </w:r>
        <w:r>
          <w:rPr>
            <w:rStyle w:val="PageNumber"/>
          </w:rPr>
          <w:fldChar w:fldCharType="end"/>
        </w:r>
      </w:p>
    </w:sdtContent>
  </w:sdt>
  <w:p w14:paraId="276AC8F4" w14:textId="77777777" w:rsidR="00E54D45" w:rsidRDefault="00E54D45" w:rsidP="00F71F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94677"/>
      <w:docPartObj>
        <w:docPartGallery w:val="Page Numbers (Bottom of Page)"/>
        <w:docPartUnique/>
      </w:docPartObj>
    </w:sdtPr>
    <w:sdtEndPr>
      <w:rPr>
        <w:noProof/>
      </w:rPr>
    </w:sdtEndPr>
    <w:sdtContent>
      <w:p w14:paraId="27F10AA0" w14:textId="6D13B512" w:rsidR="006F1420" w:rsidRDefault="006F14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2E85C" w14:textId="77777777" w:rsidR="00E54D45" w:rsidRDefault="00E54D45" w:rsidP="006F1420">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641342"/>
      <w:docPartObj>
        <w:docPartGallery w:val="Page Numbers (Bottom of Page)"/>
        <w:docPartUnique/>
      </w:docPartObj>
    </w:sdtPr>
    <w:sdtEndPr>
      <w:rPr>
        <w:noProof/>
      </w:rPr>
    </w:sdtEndPr>
    <w:sdtContent>
      <w:p w14:paraId="308A441D" w14:textId="553C3D05" w:rsidR="006F1420" w:rsidRDefault="006F1420" w:rsidP="00F605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10AE" w14:textId="77777777" w:rsidR="005C5A6A" w:rsidRDefault="005C5A6A" w:rsidP="00E54D45">
      <w:pPr>
        <w:spacing w:after="0" w:line="240" w:lineRule="auto"/>
      </w:pPr>
      <w:r>
        <w:separator/>
      </w:r>
    </w:p>
  </w:footnote>
  <w:footnote w:type="continuationSeparator" w:id="0">
    <w:p w14:paraId="3B51FD7D" w14:textId="77777777" w:rsidR="005C5A6A" w:rsidRDefault="005C5A6A" w:rsidP="00E54D45">
      <w:pPr>
        <w:spacing w:after="0" w:line="240" w:lineRule="auto"/>
      </w:pPr>
      <w:r>
        <w:continuationSeparator/>
      </w:r>
    </w:p>
  </w:footnote>
  <w:footnote w:type="continuationNotice" w:id="1">
    <w:p w14:paraId="028B9DCC" w14:textId="77777777" w:rsidR="005C5A6A" w:rsidRDefault="005C5A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7FC"/>
    <w:multiLevelType w:val="multilevel"/>
    <w:tmpl w:val="4078CF34"/>
    <w:numStyleLink w:val="CurrentList1"/>
  </w:abstractNum>
  <w:abstractNum w:abstractNumId="1" w15:restartNumberingAfterBreak="0">
    <w:nsid w:val="13E7440A"/>
    <w:multiLevelType w:val="hybridMultilevel"/>
    <w:tmpl w:val="FFFFFFFF"/>
    <w:lvl w:ilvl="0" w:tplc="FE30075C">
      <w:start w:val="1"/>
      <w:numFmt w:val="decimal"/>
      <w:lvlText w:val="%1."/>
      <w:lvlJc w:val="left"/>
      <w:pPr>
        <w:ind w:left="720" w:hanging="360"/>
      </w:pPr>
    </w:lvl>
    <w:lvl w:ilvl="1" w:tplc="ADFC2C9A">
      <w:start w:val="1"/>
      <w:numFmt w:val="lowerLetter"/>
      <w:lvlText w:val="%2."/>
      <w:lvlJc w:val="left"/>
      <w:pPr>
        <w:ind w:left="1440" w:hanging="360"/>
      </w:pPr>
    </w:lvl>
    <w:lvl w:ilvl="2" w:tplc="5CCC6376">
      <w:start w:val="1"/>
      <w:numFmt w:val="lowerRoman"/>
      <w:lvlText w:val="%3."/>
      <w:lvlJc w:val="right"/>
      <w:pPr>
        <w:ind w:left="2160" w:hanging="180"/>
      </w:pPr>
    </w:lvl>
    <w:lvl w:ilvl="3" w:tplc="38244728">
      <w:start w:val="1"/>
      <w:numFmt w:val="decimal"/>
      <w:lvlText w:val="%4."/>
      <w:lvlJc w:val="left"/>
      <w:pPr>
        <w:ind w:left="2880" w:hanging="360"/>
      </w:pPr>
    </w:lvl>
    <w:lvl w:ilvl="4" w:tplc="470E3972">
      <w:start w:val="1"/>
      <w:numFmt w:val="lowerLetter"/>
      <w:lvlText w:val="%5."/>
      <w:lvlJc w:val="left"/>
      <w:pPr>
        <w:ind w:left="3600" w:hanging="360"/>
      </w:pPr>
    </w:lvl>
    <w:lvl w:ilvl="5" w:tplc="55B452CA">
      <w:start w:val="1"/>
      <w:numFmt w:val="lowerRoman"/>
      <w:lvlText w:val="%6."/>
      <w:lvlJc w:val="right"/>
      <w:pPr>
        <w:ind w:left="4320" w:hanging="180"/>
      </w:pPr>
    </w:lvl>
    <w:lvl w:ilvl="6" w:tplc="881C189A">
      <w:start w:val="1"/>
      <w:numFmt w:val="decimal"/>
      <w:lvlText w:val="%7."/>
      <w:lvlJc w:val="left"/>
      <w:pPr>
        <w:ind w:left="5040" w:hanging="360"/>
      </w:pPr>
    </w:lvl>
    <w:lvl w:ilvl="7" w:tplc="24648F5A">
      <w:start w:val="1"/>
      <w:numFmt w:val="lowerLetter"/>
      <w:lvlText w:val="%8."/>
      <w:lvlJc w:val="left"/>
      <w:pPr>
        <w:ind w:left="5760" w:hanging="360"/>
      </w:pPr>
    </w:lvl>
    <w:lvl w:ilvl="8" w:tplc="F2461686">
      <w:start w:val="1"/>
      <w:numFmt w:val="lowerRoman"/>
      <w:lvlText w:val="%9."/>
      <w:lvlJc w:val="right"/>
      <w:pPr>
        <w:ind w:left="6480" w:hanging="180"/>
      </w:pPr>
    </w:lvl>
  </w:abstractNum>
  <w:abstractNum w:abstractNumId="2" w15:restartNumberingAfterBreak="0">
    <w:nsid w:val="144C557D"/>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6D1160E"/>
    <w:multiLevelType w:val="multilevel"/>
    <w:tmpl w:val="F2403E44"/>
    <w:lvl w:ilvl="0">
      <w:start w:val="1"/>
      <w:numFmt w:val="decimal"/>
      <w:pStyle w:val="Heading1"/>
      <w:lvlText w:val="%1"/>
      <w:lvlJc w:val="left"/>
      <w:pPr>
        <w:ind w:left="3551"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7373E6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8547BF9"/>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297EB8"/>
    <w:multiLevelType w:val="multilevel"/>
    <w:tmpl w:val="4078CF34"/>
    <w:styleLink w:val="CurrentList1"/>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A8100A1"/>
    <w:multiLevelType w:val="multilevel"/>
    <w:tmpl w:val="4078CF34"/>
    <w:numStyleLink w:val="Style1"/>
  </w:abstractNum>
  <w:abstractNum w:abstractNumId="8" w15:restartNumberingAfterBreak="0">
    <w:nsid w:val="1B36160C"/>
    <w:multiLevelType w:val="multilevel"/>
    <w:tmpl w:val="F808DD4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0805D4"/>
    <w:multiLevelType w:val="multilevel"/>
    <w:tmpl w:val="DCF42F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42529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A843F26"/>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3C36CAF"/>
    <w:multiLevelType w:val="multilevel"/>
    <w:tmpl w:val="4078CF34"/>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121F5F"/>
    <w:multiLevelType w:val="multilevel"/>
    <w:tmpl w:val="4078CF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40C211A6"/>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2EF137A"/>
    <w:multiLevelType w:val="multilevel"/>
    <w:tmpl w:val="4078CF34"/>
    <w:numStyleLink w:val="Style1"/>
  </w:abstractNum>
  <w:abstractNum w:abstractNumId="16" w15:restartNumberingAfterBreak="0">
    <w:nsid w:val="498D766B"/>
    <w:multiLevelType w:val="hybridMultilevel"/>
    <w:tmpl w:val="F202F278"/>
    <w:lvl w:ilvl="0" w:tplc="D41CC980">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7706B"/>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C965452"/>
    <w:multiLevelType w:val="multilevel"/>
    <w:tmpl w:val="21982FEA"/>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EA5B95"/>
    <w:multiLevelType w:val="multilevel"/>
    <w:tmpl w:val="131A3EEC"/>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rFonts w:ascii="Times New Roman" w:hAnsi="Times New Roman" w:hint="default"/>
        <w:b/>
        <w:bCs/>
        <w:color w:val="000000" w:themeColor="text1"/>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0" w15:restartNumberingAfterBreak="0">
    <w:nsid w:val="665D4061"/>
    <w:multiLevelType w:val="multilevel"/>
    <w:tmpl w:val="4078CF34"/>
    <w:styleLink w:val="Style1"/>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81C3C99"/>
    <w:multiLevelType w:val="hybridMultilevel"/>
    <w:tmpl w:val="82E62C82"/>
    <w:lvl w:ilvl="0" w:tplc="FFFFFFFF">
      <w:start w:val="1"/>
      <w:numFmt w:val="upperLetter"/>
      <w:lvlText w:val="%1."/>
      <w:lvlJc w:val="left"/>
      <w:pPr>
        <w:ind w:left="1643" w:hanging="1643"/>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8485BD1"/>
    <w:multiLevelType w:val="multilevel"/>
    <w:tmpl w:val="A458739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9041078"/>
    <w:multiLevelType w:val="hybridMultilevel"/>
    <w:tmpl w:val="21F4DED4"/>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6D71530E"/>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E160BEE"/>
    <w:multiLevelType w:val="multilevel"/>
    <w:tmpl w:val="F43AF7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FFC539C"/>
    <w:multiLevelType w:val="multilevel"/>
    <w:tmpl w:val="4E4E93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71911968"/>
    <w:multiLevelType w:val="multilevel"/>
    <w:tmpl w:val="131A3EEC"/>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rFonts w:ascii="Times New Roman" w:hAnsi="Times New Roman" w:hint="default"/>
        <w:b/>
        <w:bCs/>
        <w:color w:val="000000" w:themeColor="text1"/>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8" w15:restartNumberingAfterBreak="0">
    <w:nsid w:val="75576026"/>
    <w:multiLevelType w:val="multilevel"/>
    <w:tmpl w:val="DD3CC1D4"/>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E74081A"/>
    <w:multiLevelType w:val="multilevel"/>
    <w:tmpl w:val="F7CE5C6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23365954">
    <w:abstractNumId w:val="26"/>
  </w:num>
  <w:num w:numId="2" w16cid:durableId="1072922073">
    <w:abstractNumId w:val="21"/>
  </w:num>
  <w:num w:numId="3" w16cid:durableId="1075473551">
    <w:abstractNumId w:val="21"/>
  </w:num>
  <w:num w:numId="4" w16cid:durableId="1349216571">
    <w:abstractNumId w:val="27"/>
  </w:num>
  <w:num w:numId="5" w16cid:durableId="1598709745">
    <w:abstractNumId w:val="21"/>
  </w:num>
  <w:num w:numId="6" w16cid:durableId="1916089570">
    <w:abstractNumId w:val="21"/>
  </w:num>
  <w:num w:numId="7" w16cid:durableId="1936786999">
    <w:abstractNumId w:val="21"/>
  </w:num>
  <w:num w:numId="8" w16cid:durableId="1989167334">
    <w:abstractNumId w:val="21"/>
  </w:num>
  <w:num w:numId="9" w16cid:durableId="2129931866">
    <w:abstractNumId w:val="21"/>
  </w:num>
  <w:num w:numId="10" w16cid:durableId="470488606">
    <w:abstractNumId w:val="21"/>
  </w:num>
  <w:num w:numId="11" w16cid:durableId="602540068">
    <w:abstractNumId w:val="24"/>
  </w:num>
  <w:num w:numId="12" w16cid:durableId="618150828">
    <w:abstractNumId w:val="21"/>
  </w:num>
  <w:num w:numId="13" w16cid:durableId="752043918">
    <w:abstractNumId w:val="21"/>
  </w:num>
  <w:num w:numId="14" w16cid:durableId="1387610484">
    <w:abstractNumId w:val="21"/>
  </w:num>
  <w:num w:numId="15" w16cid:durableId="1943605968">
    <w:abstractNumId w:val="21"/>
    <w:lvlOverride w:ilvl="0">
      <w:startOverride w:val="1"/>
    </w:lvlOverride>
  </w:num>
  <w:num w:numId="16" w16cid:durableId="2000382172">
    <w:abstractNumId w:val="21"/>
  </w:num>
  <w:num w:numId="17" w16cid:durableId="1126656140">
    <w:abstractNumId w:val="18"/>
  </w:num>
  <w:num w:numId="18" w16cid:durableId="1919703858">
    <w:abstractNumId w:val="23"/>
  </w:num>
  <w:num w:numId="19" w16cid:durableId="225723801">
    <w:abstractNumId w:val="1"/>
  </w:num>
  <w:num w:numId="20" w16cid:durableId="2024358379">
    <w:abstractNumId w:val="10"/>
  </w:num>
  <w:num w:numId="21" w16cid:durableId="2034914580">
    <w:abstractNumId w:val="11"/>
  </w:num>
  <w:num w:numId="22" w16cid:durableId="1605579527">
    <w:abstractNumId w:val="14"/>
  </w:num>
  <w:num w:numId="23" w16cid:durableId="1739357891">
    <w:abstractNumId w:val="17"/>
  </w:num>
  <w:num w:numId="24" w16cid:durableId="1340543614">
    <w:abstractNumId w:val="2"/>
  </w:num>
  <w:num w:numId="25" w16cid:durableId="50353508">
    <w:abstractNumId w:val="4"/>
  </w:num>
  <w:num w:numId="26" w16cid:durableId="1627272085">
    <w:abstractNumId w:val="9"/>
  </w:num>
  <w:num w:numId="27" w16cid:durableId="749621357">
    <w:abstractNumId w:val="12"/>
  </w:num>
  <w:num w:numId="28" w16cid:durableId="926156675">
    <w:abstractNumId w:val="19"/>
  </w:num>
  <w:num w:numId="29" w16cid:durableId="238370822">
    <w:abstractNumId w:val="25"/>
  </w:num>
  <w:num w:numId="30" w16cid:durableId="2032411721">
    <w:abstractNumId w:val="13"/>
  </w:num>
  <w:num w:numId="31" w16cid:durableId="362484694">
    <w:abstractNumId w:val="20"/>
  </w:num>
  <w:num w:numId="32" w16cid:durableId="1091464753">
    <w:abstractNumId w:val="7"/>
  </w:num>
  <w:num w:numId="33" w16cid:durableId="1001854633">
    <w:abstractNumId w:val="6"/>
  </w:num>
  <w:num w:numId="34" w16cid:durableId="1557007635">
    <w:abstractNumId w:val="15"/>
  </w:num>
  <w:num w:numId="35" w16cid:durableId="112139519">
    <w:abstractNumId w:val="0"/>
  </w:num>
  <w:num w:numId="36" w16cid:durableId="1754006745">
    <w:abstractNumId w:val="3"/>
  </w:num>
  <w:num w:numId="37" w16cid:durableId="298413951">
    <w:abstractNumId w:val="5"/>
  </w:num>
  <w:num w:numId="38" w16cid:durableId="989136425">
    <w:abstractNumId w:val="3"/>
  </w:num>
  <w:num w:numId="39" w16cid:durableId="925113885">
    <w:abstractNumId w:val="22"/>
  </w:num>
  <w:num w:numId="40" w16cid:durableId="385838749">
    <w:abstractNumId w:val="29"/>
  </w:num>
  <w:num w:numId="41" w16cid:durableId="1332101197">
    <w:abstractNumId w:val="8"/>
  </w:num>
  <w:num w:numId="42" w16cid:durableId="1145313613">
    <w:abstractNumId w:val="3"/>
  </w:num>
  <w:num w:numId="43" w16cid:durableId="418066885">
    <w:abstractNumId w:val="3"/>
  </w:num>
  <w:num w:numId="44" w16cid:durableId="821655579">
    <w:abstractNumId w:val="28"/>
  </w:num>
  <w:num w:numId="45" w16cid:durableId="733311409">
    <w:abstractNumId w:val="16"/>
  </w:num>
  <w:num w:numId="46" w16cid:durableId="1275284913">
    <w:abstractNumId w:val="3"/>
  </w:num>
  <w:num w:numId="47" w16cid:durableId="1665818740">
    <w:abstractNumId w:val="3"/>
  </w:num>
  <w:num w:numId="48" w16cid:durableId="155543406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Endreß">
    <w15:presenceInfo w15:providerId="AD" w15:userId="S::70474@novasbe.pt::01422edb-a657-40b0-b235-5a2974e5a6d7"/>
  </w15:person>
  <w15:person w15:author="Pietro De Bernardi">
    <w15:presenceInfo w15:providerId="AD" w15:userId="S::69791@novasbe.pt::ae7c2248-609f-4ac7-babc-54098e4d6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AF97C4"/>
    <w:rsid w:val="00000CF0"/>
    <w:rsid w:val="00001EAF"/>
    <w:rsid w:val="000021D0"/>
    <w:rsid w:val="000023E2"/>
    <w:rsid w:val="00002AEC"/>
    <w:rsid w:val="000054AD"/>
    <w:rsid w:val="000065E4"/>
    <w:rsid w:val="0001045B"/>
    <w:rsid w:val="000113A3"/>
    <w:rsid w:val="00011BD2"/>
    <w:rsid w:val="00013A22"/>
    <w:rsid w:val="00013F15"/>
    <w:rsid w:val="000154D8"/>
    <w:rsid w:val="00015F9F"/>
    <w:rsid w:val="0001670F"/>
    <w:rsid w:val="000175C0"/>
    <w:rsid w:val="00021950"/>
    <w:rsid w:val="00022367"/>
    <w:rsid w:val="00024701"/>
    <w:rsid w:val="000248EC"/>
    <w:rsid w:val="00025DF4"/>
    <w:rsid w:val="00031BBE"/>
    <w:rsid w:val="00031D9F"/>
    <w:rsid w:val="00031DB0"/>
    <w:rsid w:val="000328D9"/>
    <w:rsid w:val="00033794"/>
    <w:rsid w:val="000341F9"/>
    <w:rsid w:val="000352F9"/>
    <w:rsid w:val="00037590"/>
    <w:rsid w:val="00037DB6"/>
    <w:rsid w:val="00040752"/>
    <w:rsid w:val="00041669"/>
    <w:rsid w:val="000423AA"/>
    <w:rsid w:val="000426E6"/>
    <w:rsid w:val="00043464"/>
    <w:rsid w:val="00043A19"/>
    <w:rsid w:val="00045E48"/>
    <w:rsid w:val="000507B8"/>
    <w:rsid w:val="00050C0F"/>
    <w:rsid w:val="0005137F"/>
    <w:rsid w:val="00052F5B"/>
    <w:rsid w:val="0005438A"/>
    <w:rsid w:val="000555A6"/>
    <w:rsid w:val="000563DB"/>
    <w:rsid w:val="00064F59"/>
    <w:rsid w:val="00065A1B"/>
    <w:rsid w:val="00065D4C"/>
    <w:rsid w:val="00065F1B"/>
    <w:rsid w:val="000774DB"/>
    <w:rsid w:val="000805A8"/>
    <w:rsid w:val="000805C8"/>
    <w:rsid w:val="00080BF3"/>
    <w:rsid w:val="00081885"/>
    <w:rsid w:val="00083BE3"/>
    <w:rsid w:val="00084F29"/>
    <w:rsid w:val="00085449"/>
    <w:rsid w:val="0008701F"/>
    <w:rsid w:val="00090DD0"/>
    <w:rsid w:val="00090F7B"/>
    <w:rsid w:val="000932A5"/>
    <w:rsid w:val="000A0131"/>
    <w:rsid w:val="000A286F"/>
    <w:rsid w:val="000A37B0"/>
    <w:rsid w:val="000A6384"/>
    <w:rsid w:val="000A7575"/>
    <w:rsid w:val="000B0C8C"/>
    <w:rsid w:val="000B13AF"/>
    <w:rsid w:val="000B2AC2"/>
    <w:rsid w:val="000B6AEF"/>
    <w:rsid w:val="000B764E"/>
    <w:rsid w:val="000B7A40"/>
    <w:rsid w:val="000C0EC7"/>
    <w:rsid w:val="000C3754"/>
    <w:rsid w:val="000C44DF"/>
    <w:rsid w:val="000C5626"/>
    <w:rsid w:val="000C711E"/>
    <w:rsid w:val="000D04EF"/>
    <w:rsid w:val="000D4062"/>
    <w:rsid w:val="000D4728"/>
    <w:rsid w:val="000D5096"/>
    <w:rsid w:val="000D6199"/>
    <w:rsid w:val="000D76F9"/>
    <w:rsid w:val="000E0A35"/>
    <w:rsid w:val="000E105E"/>
    <w:rsid w:val="000E439B"/>
    <w:rsid w:val="000E54B2"/>
    <w:rsid w:val="000E5CE6"/>
    <w:rsid w:val="000E68D0"/>
    <w:rsid w:val="000E7DB0"/>
    <w:rsid w:val="000F1B59"/>
    <w:rsid w:val="000F3EB4"/>
    <w:rsid w:val="000F4927"/>
    <w:rsid w:val="000F5020"/>
    <w:rsid w:val="000F516E"/>
    <w:rsid w:val="000F5414"/>
    <w:rsid w:val="000F74A6"/>
    <w:rsid w:val="000F7D14"/>
    <w:rsid w:val="001008F4"/>
    <w:rsid w:val="00102239"/>
    <w:rsid w:val="00102356"/>
    <w:rsid w:val="001028C8"/>
    <w:rsid w:val="00102AC8"/>
    <w:rsid w:val="00103AA1"/>
    <w:rsid w:val="00104070"/>
    <w:rsid w:val="00104332"/>
    <w:rsid w:val="001053D6"/>
    <w:rsid w:val="00105CE7"/>
    <w:rsid w:val="00106655"/>
    <w:rsid w:val="00106C90"/>
    <w:rsid w:val="0010759F"/>
    <w:rsid w:val="00111061"/>
    <w:rsid w:val="001112BC"/>
    <w:rsid w:val="001131BA"/>
    <w:rsid w:val="00113411"/>
    <w:rsid w:val="001139EA"/>
    <w:rsid w:val="00114977"/>
    <w:rsid w:val="0011678E"/>
    <w:rsid w:val="00116AE8"/>
    <w:rsid w:val="0011717F"/>
    <w:rsid w:val="00117CD7"/>
    <w:rsid w:val="001225DE"/>
    <w:rsid w:val="001257B5"/>
    <w:rsid w:val="00126EC6"/>
    <w:rsid w:val="00130866"/>
    <w:rsid w:val="00134AB3"/>
    <w:rsid w:val="00134E97"/>
    <w:rsid w:val="00135E7B"/>
    <w:rsid w:val="00136219"/>
    <w:rsid w:val="001362CE"/>
    <w:rsid w:val="00136607"/>
    <w:rsid w:val="00137E58"/>
    <w:rsid w:val="00140481"/>
    <w:rsid w:val="0014053E"/>
    <w:rsid w:val="00140EF4"/>
    <w:rsid w:val="00140FC5"/>
    <w:rsid w:val="00141311"/>
    <w:rsid w:val="0014407E"/>
    <w:rsid w:val="00145DA4"/>
    <w:rsid w:val="001462F4"/>
    <w:rsid w:val="0014699D"/>
    <w:rsid w:val="00147088"/>
    <w:rsid w:val="00147D98"/>
    <w:rsid w:val="00147E2F"/>
    <w:rsid w:val="00150359"/>
    <w:rsid w:val="00150FAC"/>
    <w:rsid w:val="0015235D"/>
    <w:rsid w:val="00155CC2"/>
    <w:rsid w:val="00157C0B"/>
    <w:rsid w:val="00157EC4"/>
    <w:rsid w:val="001604F9"/>
    <w:rsid w:val="0016152F"/>
    <w:rsid w:val="00161B0D"/>
    <w:rsid w:val="00163277"/>
    <w:rsid w:val="00163F81"/>
    <w:rsid w:val="001657EC"/>
    <w:rsid w:val="00165ABC"/>
    <w:rsid w:val="0016670B"/>
    <w:rsid w:val="0017173E"/>
    <w:rsid w:val="00173504"/>
    <w:rsid w:val="00173E19"/>
    <w:rsid w:val="00174132"/>
    <w:rsid w:val="001744FC"/>
    <w:rsid w:val="0017487B"/>
    <w:rsid w:val="001760C4"/>
    <w:rsid w:val="00176880"/>
    <w:rsid w:val="0017688C"/>
    <w:rsid w:val="00176AAF"/>
    <w:rsid w:val="00180784"/>
    <w:rsid w:val="00180BC3"/>
    <w:rsid w:val="001815A9"/>
    <w:rsid w:val="00181C5A"/>
    <w:rsid w:val="0018434F"/>
    <w:rsid w:val="00190519"/>
    <w:rsid w:val="00190F04"/>
    <w:rsid w:val="001927FF"/>
    <w:rsid w:val="001929D8"/>
    <w:rsid w:val="0019386B"/>
    <w:rsid w:val="00196CB5"/>
    <w:rsid w:val="001972DA"/>
    <w:rsid w:val="00197957"/>
    <w:rsid w:val="00197A88"/>
    <w:rsid w:val="00197CD0"/>
    <w:rsid w:val="001A103D"/>
    <w:rsid w:val="001A3177"/>
    <w:rsid w:val="001A3821"/>
    <w:rsid w:val="001A4873"/>
    <w:rsid w:val="001A67D1"/>
    <w:rsid w:val="001A7B2D"/>
    <w:rsid w:val="001B3BDE"/>
    <w:rsid w:val="001B5B11"/>
    <w:rsid w:val="001B6AB8"/>
    <w:rsid w:val="001B7482"/>
    <w:rsid w:val="001C1673"/>
    <w:rsid w:val="001C16FB"/>
    <w:rsid w:val="001D1786"/>
    <w:rsid w:val="001D2578"/>
    <w:rsid w:val="001D670D"/>
    <w:rsid w:val="001E1BB6"/>
    <w:rsid w:val="001E3F38"/>
    <w:rsid w:val="001E4149"/>
    <w:rsid w:val="001E5FA9"/>
    <w:rsid w:val="001E75CA"/>
    <w:rsid w:val="001E7EDD"/>
    <w:rsid w:val="001F131F"/>
    <w:rsid w:val="001F17A3"/>
    <w:rsid w:val="001F17EE"/>
    <w:rsid w:val="001F1C6F"/>
    <w:rsid w:val="001F2FE0"/>
    <w:rsid w:val="001F3821"/>
    <w:rsid w:val="001F5892"/>
    <w:rsid w:val="00201726"/>
    <w:rsid w:val="0020468E"/>
    <w:rsid w:val="0020494A"/>
    <w:rsid w:val="00205EEC"/>
    <w:rsid w:val="0021031B"/>
    <w:rsid w:val="002109E4"/>
    <w:rsid w:val="00211EB3"/>
    <w:rsid w:val="00214547"/>
    <w:rsid w:val="002157C4"/>
    <w:rsid w:val="002159C0"/>
    <w:rsid w:val="00222C5D"/>
    <w:rsid w:val="0022357D"/>
    <w:rsid w:val="00224E81"/>
    <w:rsid w:val="00225392"/>
    <w:rsid w:val="0022577E"/>
    <w:rsid w:val="0022659F"/>
    <w:rsid w:val="00226BA1"/>
    <w:rsid w:val="00227BFC"/>
    <w:rsid w:val="002322FF"/>
    <w:rsid w:val="002341BA"/>
    <w:rsid w:val="002350F9"/>
    <w:rsid w:val="00237679"/>
    <w:rsid w:val="00241761"/>
    <w:rsid w:val="002428BA"/>
    <w:rsid w:val="002434BE"/>
    <w:rsid w:val="00243946"/>
    <w:rsid w:val="00244F6C"/>
    <w:rsid w:val="002453BC"/>
    <w:rsid w:val="00245BCE"/>
    <w:rsid w:val="0024E6F4"/>
    <w:rsid w:val="00252076"/>
    <w:rsid w:val="00253B4B"/>
    <w:rsid w:val="00255C6D"/>
    <w:rsid w:val="00255CE1"/>
    <w:rsid w:val="002571F8"/>
    <w:rsid w:val="0025744B"/>
    <w:rsid w:val="0026107A"/>
    <w:rsid w:val="00261C10"/>
    <w:rsid w:val="002627A6"/>
    <w:rsid w:val="00262DF7"/>
    <w:rsid w:val="00263B2F"/>
    <w:rsid w:val="00266093"/>
    <w:rsid w:val="00266877"/>
    <w:rsid w:val="00266B7B"/>
    <w:rsid w:val="00267519"/>
    <w:rsid w:val="00273E53"/>
    <w:rsid w:val="00274374"/>
    <w:rsid w:val="00277FB0"/>
    <w:rsid w:val="00280C65"/>
    <w:rsid w:val="00281568"/>
    <w:rsid w:val="00282291"/>
    <w:rsid w:val="00282B30"/>
    <w:rsid w:val="00283D2B"/>
    <w:rsid w:val="0028668C"/>
    <w:rsid w:val="002869F3"/>
    <w:rsid w:val="00286EA9"/>
    <w:rsid w:val="00290BD1"/>
    <w:rsid w:val="0029102B"/>
    <w:rsid w:val="002915A9"/>
    <w:rsid w:val="00291A89"/>
    <w:rsid w:val="002929C5"/>
    <w:rsid w:val="00294405"/>
    <w:rsid w:val="00295C95"/>
    <w:rsid w:val="00296299"/>
    <w:rsid w:val="00296F64"/>
    <w:rsid w:val="002A14A1"/>
    <w:rsid w:val="002A3962"/>
    <w:rsid w:val="002A443B"/>
    <w:rsid w:val="002A4445"/>
    <w:rsid w:val="002A5EE8"/>
    <w:rsid w:val="002A5FBF"/>
    <w:rsid w:val="002A6312"/>
    <w:rsid w:val="002B0F8B"/>
    <w:rsid w:val="002B20B2"/>
    <w:rsid w:val="002B5125"/>
    <w:rsid w:val="002B5A93"/>
    <w:rsid w:val="002B7419"/>
    <w:rsid w:val="002C2F5E"/>
    <w:rsid w:val="002C3B79"/>
    <w:rsid w:val="002D207B"/>
    <w:rsid w:val="002D3EE3"/>
    <w:rsid w:val="002D749F"/>
    <w:rsid w:val="002D74B3"/>
    <w:rsid w:val="002E0354"/>
    <w:rsid w:val="002E0B4D"/>
    <w:rsid w:val="002E2D1D"/>
    <w:rsid w:val="002E33F7"/>
    <w:rsid w:val="002E3C68"/>
    <w:rsid w:val="002F08C8"/>
    <w:rsid w:val="002F14BF"/>
    <w:rsid w:val="002F2328"/>
    <w:rsid w:val="002F3369"/>
    <w:rsid w:val="002F45B9"/>
    <w:rsid w:val="002F476A"/>
    <w:rsid w:val="002F5C75"/>
    <w:rsid w:val="002F654E"/>
    <w:rsid w:val="002F6711"/>
    <w:rsid w:val="002F7CEB"/>
    <w:rsid w:val="003002FE"/>
    <w:rsid w:val="00302094"/>
    <w:rsid w:val="003026FE"/>
    <w:rsid w:val="00302F17"/>
    <w:rsid w:val="003031AE"/>
    <w:rsid w:val="0030373D"/>
    <w:rsid w:val="00304CD8"/>
    <w:rsid w:val="00305242"/>
    <w:rsid w:val="003064CA"/>
    <w:rsid w:val="003066DA"/>
    <w:rsid w:val="00306C31"/>
    <w:rsid w:val="00310FFC"/>
    <w:rsid w:val="00312854"/>
    <w:rsid w:val="00312EF3"/>
    <w:rsid w:val="003134A6"/>
    <w:rsid w:val="003142FC"/>
    <w:rsid w:val="003153EE"/>
    <w:rsid w:val="0031723A"/>
    <w:rsid w:val="0032066E"/>
    <w:rsid w:val="003229FE"/>
    <w:rsid w:val="00323FC3"/>
    <w:rsid w:val="003251F2"/>
    <w:rsid w:val="00325AB4"/>
    <w:rsid w:val="00325E31"/>
    <w:rsid w:val="00327188"/>
    <w:rsid w:val="00327492"/>
    <w:rsid w:val="00327B26"/>
    <w:rsid w:val="0033195A"/>
    <w:rsid w:val="003341C2"/>
    <w:rsid w:val="00340114"/>
    <w:rsid w:val="00341105"/>
    <w:rsid w:val="00341DB7"/>
    <w:rsid w:val="003423A9"/>
    <w:rsid w:val="00342563"/>
    <w:rsid w:val="0034543F"/>
    <w:rsid w:val="0034632E"/>
    <w:rsid w:val="003475F6"/>
    <w:rsid w:val="00347CC4"/>
    <w:rsid w:val="00350037"/>
    <w:rsid w:val="003517AB"/>
    <w:rsid w:val="0035769D"/>
    <w:rsid w:val="003576FB"/>
    <w:rsid w:val="00360719"/>
    <w:rsid w:val="00361550"/>
    <w:rsid w:val="00361DEF"/>
    <w:rsid w:val="00362426"/>
    <w:rsid w:val="00363891"/>
    <w:rsid w:val="0036417B"/>
    <w:rsid w:val="00365602"/>
    <w:rsid w:val="00365FBA"/>
    <w:rsid w:val="00366707"/>
    <w:rsid w:val="003702E2"/>
    <w:rsid w:val="00370C37"/>
    <w:rsid w:val="00372BB9"/>
    <w:rsid w:val="00375B7B"/>
    <w:rsid w:val="003771F7"/>
    <w:rsid w:val="003802EA"/>
    <w:rsid w:val="0038066D"/>
    <w:rsid w:val="00380F79"/>
    <w:rsid w:val="00381B0A"/>
    <w:rsid w:val="003825DC"/>
    <w:rsid w:val="00383F17"/>
    <w:rsid w:val="00384090"/>
    <w:rsid w:val="00384656"/>
    <w:rsid w:val="0038563B"/>
    <w:rsid w:val="003861E3"/>
    <w:rsid w:val="00386550"/>
    <w:rsid w:val="00390144"/>
    <w:rsid w:val="0039136F"/>
    <w:rsid w:val="00392228"/>
    <w:rsid w:val="00392820"/>
    <w:rsid w:val="003930E7"/>
    <w:rsid w:val="00396015"/>
    <w:rsid w:val="003967AA"/>
    <w:rsid w:val="00397DCB"/>
    <w:rsid w:val="003A0A72"/>
    <w:rsid w:val="003A306A"/>
    <w:rsid w:val="003A392C"/>
    <w:rsid w:val="003A4AA6"/>
    <w:rsid w:val="003A6D5A"/>
    <w:rsid w:val="003A7344"/>
    <w:rsid w:val="003B1E7C"/>
    <w:rsid w:val="003B1EAF"/>
    <w:rsid w:val="003B6300"/>
    <w:rsid w:val="003B6354"/>
    <w:rsid w:val="003B7A45"/>
    <w:rsid w:val="003B7C42"/>
    <w:rsid w:val="003B7CE4"/>
    <w:rsid w:val="003C0397"/>
    <w:rsid w:val="003C08A5"/>
    <w:rsid w:val="003C1191"/>
    <w:rsid w:val="003C15CE"/>
    <w:rsid w:val="003C2DE4"/>
    <w:rsid w:val="003C3A3D"/>
    <w:rsid w:val="003C5859"/>
    <w:rsid w:val="003C59B9"/>
    <w:rsid w:val="003C7868"/>
    <w:rsid w:val="003D3AC9"/>
    <w:rsid w:val="003D449C"/>
    <w:rsid w:val="003D47C8"/>
    <w:rsid w:val="003E01FB"/>
    <w:rsid w:val="003E0DF6"/>
    <w:rsid w:val="003E2148"/>
    <w:rsid w:val="003E38FA"/>
    <w:rsid w:val="003E3D25"/>
    <w:rsid w:val="003E456B"/>
    <w:rsid w:val="003E49F5"/>
    <w:rsid w:val="003E4A51"/>
    <w:rsid w:val="003E6F7C"/>
    <w:rsid w:val="003F094D"/>
    <w:rsid w:val="003F1841"/>
    <w:rsid w:val="003F3213"/>
    <w:rsid w:val="003F680A"/>
    <w:rsid w:val="003F7166"/>
    <w:rsid w:val="003F74DA"/>
    <w:rsid w:val="00400F43"/>
    <w:rsid w:val="004034CA"/>
    <w:rsid w:val="004038A2"/>
    <w:rsid w:val="00405547"/>
    <w:rsid w:val="0040563A"/>
    <w:rsid w:val="00407357"/>
    <w:rsid w:val="00411A95"/>
    <w:rsid w:val="00411AB4"/>
    <w:rsid w:val="00411E83"/>
    <w:rsid w:val="00411EC2"/>
    <w:rsid w:val="00412473"/>
    <w:rsid w:val="004129EC"/>
    <w:rsid w:val="0041363F"/>
    <w:rsid w:val="004138AE"/>
    <w:rsid w:val="00413B40"/>
    <w:rsid w:val="004142E2"/>
    <w:rsid w:val="00414B03"/>
    <w:rsid w:val="0041501C"/>
    <w:rsid w:val="00415C1A"/>
    <w:rsid w:val="00416BEF"/>
    <w:rsid w:val="00417C4A"/>
    <w:rsid w:val="00420C87"/>
    <w:rsid w:val="00420FB5"/>
    <w:rsid w:val="004221B2"/>
    <w:rsid w:val="00425C9D"/>
    <w:rsid w:val="00425DA2"/>
    <w:rsid w:val="004265BA"/>
    <w:rsid w:val="00427445"/>
    <w:rsid w:val="0042750B"/>
    <w:rsid w:val="004308F0"/>
    <w:rsid w:val="00430DAF"/>
    <w:rsid w:val="0043208A"/>
    <w:rsid w:val="004320F8"/>
    <w:rsid w:val="00432CBD"/>
    <w:rsid w:val="004336E9"/>
    <w:rsid w:val="0043375D"/>
    <w:rsid w:val="0044011A"/>
    <w:rsid w:val="00442BDC"/>
    <w:rsid w:val="004474B0"/>
    <w:rsid w:val="00450655"/>
    <w:rsid w:val="00453417"/>
    <w:rsid w:val="00454896"/>
    <w:rsid w:val="004552F2"/>
    <w:rsid w:val="0045639C"/>
    <w:rsid w:val="00457803"/>
    <w:rsid w:val="004579A8"/>
    <w:rsid w:val="00460DC9"/>
    <w:rsid w:val="004626D5"/>
    <w:rsid w:val="00464242"/>
    <w:rsid w:val="004665C5"/>
    <w:rsid w:val="0046778E"/>
    <w:rsid w:val="004704EB"/>
    <w:rsid w:val="00470A30"/>
    <w:rsid w:val="004725C3"/>
    <w:rsid w:val="00474E5C"/>
    <w:rsid w:val="0047669F"/>
    <w:rsid w:val="004773EA"/>
    <w:rsid w:val="004774E8"/>
    <w:rsid w:val="00480033"/>
    <w:rsid w:val="0048166B"/>
    <w:rsid w:val="00483C8D"/>
    <w:rsid w:val="00484077"/>
    <w:rsid w:val="004849D6"/>
    <w:rsid w:val="00486E93"/>
    <w:rsid w:val="00494742"/>
    <w:rsid w:val="004949EE"/>
    <w:rsid w:val="00494FB9"/>
    <w:rsid w:val="00494FCC"/>
    <w:rsid w:val="0049588F"/>
    <w:rsid w:val="004967BF"/>
    <w:rsid w:val="00496C34"/>
    <w:rsid w:val="004A0FBF"/>
    <w:rsid w:val="004A1006"/>
    <w:rsid w:val="004A4964"/>
    <w:rsid w:val="004A5256"/>
    <w:rsid w:val="004A52D8"/>
    <w:rsid w:val="004A5593"/>
    <w:rsid w:val="004A6DA2"/>
    <w:rsid w:val="004B1381"/>
    <w:rsid w:val="004B1538"/>
    <w:rsid w:val="004B1B6C"/>
    <w:rsid w:val="004B1E15"/>
    <w:rsid w:val="004B258C"/>
    <w:rsid w:val="004B3D2A"/>
    <w:rsid w:val="004B56B0"/>
    <w:rsid w:val="004C04DF"/>
    <w:rsid w:val="004C051D"/>
    <w:rsid w:val="004C05BC"/>
    <w:rsid w:val="004C1D20"/>
    <w:rsid w:val="004C366E"/>
    <w:rsid w:val="004D0504"/>
    <w:rsid w:val="004D3458"/>
    <w:rsid w:val="004D3E29"/>
    <w:rsid w:val="004E2603"/>
    <w:rsid w:val="004E3F59"/>
    <w:rsid w:val="004E4F51"/>
    <w:rsid w:val="004E6C0E"/>
    <w:rsid w:val="004F0109"/>
    <w:rsid w:val="004F081A"/>
    <w:rsid w:val="004F487D"/>
    <w:rsid w:val="004F4B84"/>
    <w:rsid w:val="004F55D1"/>
    <w:rsid w:val="004F5DB6"/>
    <w:rsid w:val="004F6D3B"/>
    <w:rsid w:val="00502AA0"/>
    <w:rsid w:val="00505817"/>
    <w:rsid w:val="0050716A"/>
    <w:rsid w:val="005073B3"/>
    <w:rsid w:val="0050785B"/>
    <w:rsid w:val="00507879"/>
    <w:rsid w:val="00511218"/>
    <w:rsid w:val="00511A6B"/>
    <w:rsid w:val="0051344C"/>
    <w:rsid w:val="00514A43"/>
    <w:rsid w:val="00514F33"/>
    <w:rsid w:val="0051517A"/>
    <w:rsid w:val="005152E4"/>
    <w:rsid w:val="005162B7"/>
    <w:rsid w:val="005163F0"/>
    <w:rsid w:val="00517DC6"/>
    <w:rsid w:val="00521A37"/>
    <w:rsid w:val="005222B4"/>
    <w:rsid w:val="0052387D"/>
    <w:rsid w:val="00524856"/>
    <w:rsid w:val="0052606A"/>
    <w:rsid w:val="00526AFF"/>
    <w:rsid w:val="00530316"/>
    <w:rsid w:val="005312F4"/>
    <w:rsid w:val="00531ADE"/>
    <w:rsid w:val="00534158"/>
    <w:rsid w:val="00535318"/>
    <w:rsid w:val="005357A8"/>
    <w:rsid w:val="005406B7"/>
    <w:rsid w:val="00540A8D"/>
    <w:rsid w:val="005425C8"/>
    <w:rsid w:val="005426BD"/>
    <w:rsid w:val="00543C6E"/>
    <w:rsid w:val="00551FB7"/>
    <w:rsid w:val="00553C37"/>
    <w:rsid w:val="005554A4"/>
    <w:rsid w:val="005554B5"/>
    <w:rsid w:val="00555EF8"/>
    <w:rsid w:val="00556DF9"/>
    <w:rsid w:val="0055754D"/>
    <w:rsid w:val="00561DC4"/>
    <w:rsid w:val="005633D2"/>
    <w:rsid w:val="00563556"/>
    <w:rsid w:val="005638E7"/>
    <w:rsid w:val="005643EE"/>
    <w:rsid w:val="005654F0"/>
    <w:rsid w:val="005660BE"/>
    <w:rsid w:val="00566A42"/>
    <w:rsid w:val="0057112D"/>
    <w:rsid w:val="005723EF"/>
    <w:rsid w:val="005807B3"/>
    <w:rsid w:val="00580D19"/>
    <w:rsid w:val="00583AD1"/>
    <w:rsid w:val="00585DCB"/>
    <w:rsid w:val="0058695F"/>
    <w:rsid w:val="00587471"/>
    <w:rsid w:val="00592D91"/>
    <w:rsid w:val="005950DE"/>
    <w:rsid w:val="005955A9"/>
    <w:rsid w:val="005967B3"/>
    <w:rsid w:val="005A0461"/>
    <w:rsid w:val="005A0D8F"/>
    <w:rsid w:val="005A2AED"/>
    <w:rsid w:val="005A3282"/>
    <w:rsid w:val="005A34BC"/>
    <w:rsid w:val="005A36A6"/>
    <w:rsid w:val="005A61D5"/>
    <w:rsid w:val="005A6887"/>
    <w:rsid w:val="005A6947"/>
    <w:rsid w:val="005A7ADC"/>
    <w:rsid w:val="005B1C7B"/>
    <w:rsid w:val="005B2E1E"/>
    <w:rsid w:val="005B36E2"/>
    <w:rsid w:val="005B5400"/>
    <w:rsid w:val="005C0942"/>
    <w:rsid w:val="005C3D26"/>
    <w:rsid w:val="005C5A6A"/>
    <w:rsid w:val="005C6D34"/>
    <w:rsid w:val="005D4A7C"/>
    <w:rsid w:val="005D517F"/>
    <w:rsid w:val="005D778C"/>
    <w:rsid w:val="005D7AD9"/>
    <w:rsid w:val="005D7E98"/>
    <w:rsid w:val="005E27EF"/>
    <w:rsid w:val="005E3BDE"/>
    <w:rsid w:val="005E42B6"/>
    <w:rsid w:val="005E722D"/>
    <w:rsid w:val="005F1799"/>
    <w:rsid w:val="005F1A32"/>
    <w:rsid w:val="006000E3"/>
    <w:rsid w:val="006006C5"/>
    <w:rsid w:val="00601524"/>
    <w:rsid w:val="00603A1E"/>
    <w:rsid w:val="00603B56"/>
    <w:rsid w:val="006048EA"/>
    <w:rsid w:val="006063B6"/>
    <w:rsid w:val="00606EDC"/>
    <w:rsid w:val="00607DDD"/>
    <w:rsid w:val="006129D9"/>
    <w:rsid w:val="006140B5"/>
    <w:rsid w:val="0061498D"/>
    <w:rsid w:val="00614CAF"/>
    <w:rsid w:val="006158DE"/>
    <w:rsid w:val="00615995"/>
    <w:rsid w:val="00615A4F"/>
    <w:rsid w:val="00624ABF"/>
    <w:rsid w:val="00630F66"/>
    <w:rsid w:val="00634697"/>
    <w:rsid w:val="006361D3"/>
    <w:rsid w:val="00636FA7"/>
    <w:rsid w:val="006402A6"/>
    <w:rsid w:val="00641530"/>
    <w:rsid w:val="006449C3"/>
    <w:rsid w:val="00647508"/>
    <w:rsid w:val="006506C4"/>
    <w:rsid w:val="0065283A"/>
    <w:rsid w:val="006605E1"/>
    <w:rsid w:val="006646FD"/>
    <w:rsid w:val="006652C3"/>
    <w:rsid w:val="00666F64"/>
    <w:rsid w:val="00667B5B"/>
    <w:rsid w:val="00667F60"/>
    <w:rsid w:val="006705C8"/>
    <w:rsid w:val="0067080F"/>
    <w:rsid w:val="0067425C"/>
    <w:rsid w:val="0067437E"/>
    <w:rsid w:val="00674591"/>
    <w:rsid w:val="006745D6"/>
    <w:rsid w:val="00674AF7"/>
    <w:rsid w:val="0067538A"/>
    <w:rsid w:val="006755E4"/>
    <w:rsid w:val="0067597A"/>
    <w:rsid w:val="00675C55"/>
    <w:rsid w:val="00677D83"/>
    <w:rsid w:val="00680CD3"/>
    <w:rsid w:val="006815E1"/>
    <w:rsid w:val="00681DBB"/>
    <w:rsid w:val="006827FC"/>
    <w:rsid w:val="0068301D"/>
    <w:rsid w:val="0068347B"/>
    <w:rsid w:val="00684D0D"/>
    <w:rsid w:val="00685255"/>
    <w:rsid w:val="00685404"/>
    <w:rsid w:val="00685DB3"/>
    <w:rsid w:val="006861FC"/>
    <w:rsid w:val="006901E0"/>
    <w:rsid w:val="006947B8"/>
    <w:rsid w:val="0069505C"/>
    <w:rsid w:val="006950C2"/>
    <w:rsid w:val="00695A9E"/>
    <w:rsid w:val="006A17C6"/>
    <w:rsid w:val="006A1FA0"/>
    <w:rsid w:val="006A2D0D"/>
    <w:rsid w:val="006A3BB6"/>
    <w:rsid w:val="006A45C2"/>
    <w:rsid w:val="006A648E"/>
    <w:rsid w:val="006A64A5"/>
    <w:rsid w:val="006B1EC3"/>
    <w:rsid w:val="006B2110"/>
    <w:rsid w:val="006B6945"/>
    <w:rsid w:val="006C0A4B"/>
    <w:rsid w:val="006C216B"/>
    <w:rsid w:val="006C28E6"/>
    <w:rsid w:val="006C574D"/>
    <w:rsid w:val="006C6ABE"/>
    <w:rsid w:val="006C7466"/>
    <w:rsid w:val="006C74E0"/>
    <w:rsid w:val="006D5914"/>
    <w:rsid w:val="006D6792"/>
    <w:rsid w:val="006D6B33"/>
    <w:rsid w:val="006D6B47"/>
    <w:rsid w:val="006E0186"/>
    <w:rsid w:val="006E11E2"/>
    <w:rsid w:val="006E1820"/>
    <w:rsid w:val="006E1C26"/>
    <w:rsid w:val="006E1EEE"/>
    <w:rsid w:val="006E2865"/>
    <w:rsid w:val="006E33C6"/>
    <w:rsid w:val="006E5B21"/>
    <w:rsid w:val="006F1420"/>
    <w:rsid w:val="006F22D2"/>
    <w:rsid w:val="006F45A7"/>
    <w:rsid w:val="006F4655"/>
    <w:rsid w:val="006F4D40"/>
    <w:rsid w:val="006F57BA"/>
    <w:rsid w:val="006F6BF3"/>
    <w:rsid w:val="0070197A"/>
    <w:rsid w:val="007026FA"/>
    <w:rsid w:val="00703447"/>
    <w:rsid w:val="00703890"/>
    <w:rsid w:val="00706242"/>
    <w:rsid w:val="00707CD5"/>
    <w:rsid w:val="0071219E"/>
    <w:rsid w:val="007123AD"/>
    <w:rsid w:val="00713B58"/>
    <w:rsid w:val="00713FCE"/>
    <w:rsid w:val="00714873"/>
    <w:rsid w:val="007165B2"/>
    <w:rsid w:val="00717CB8"/>
    <w:rsid w:val="00721084"/>
    <w:rsid w:val="00722B2E"/>
    <w:rsid w:val="0072487E"/>
    <w:rsid w:val="00732FD1"/>
    <w:rsid w:val="00735FBB"/>
    <w:rsid w:val="00736719"/>
    <w:rsid w:val="00743101"/>
    <w:rsid w:val="00746AB2"/>
    <w:rsid w:val="00746DA2"/>
    <w:rsid w:val="00750344"/>
    <w:rsid w:val="007507CC"/>
    <w:rsid w:val="007511BB"/>
    <w:rsid w:val="00753D4C"/>
    <w:rsid w:val="007575A6"/>
    <w:rsid w:val="007577FA"/>
    <w:rsid w:val="00760659"/>
    <w:rsid w:val="00761640"/>
    <w:rsid w:val="00761C79"/>
    <w:rsid w:val="0076382A"/>
    <w:rsid w:val="007646CB"/>
    <w:rsid w:val="00764824"/>
    <w:rsid w:val="00765D6C"/>
    <w:rsid w:val="00766931"/>
    <w:rsid w:val="00767683"/>
    <w:rsid w:val="00767AF4"/>
    <w:rsid w:val="007709D1"/>
    <w:rsid w:val="00771A40"/>
    <w:rsid w:val="00772C55"/>
    <w:rsid w:val="00773B22"/>
    <w:rsid w:val="00774AAD"/>
    <w:rsid w:val="0078029E"/>
    <w:rsid w:val="00780C16"/>
    <w:rsid w:val="00781992"/>
    <w:rsid w:val="0078344A"/>
    <w:rsid w:val="00784E9A"/>
    <w:rsid w:val="00786725"/>
    <w:rsid w:val="00786FA8"/>
    <w:rsid w:val="007871EA"/>
    <w:rsid w:val="0079233A"/>
    <w:rsid w:val="00794178"/>
    <w:rsid w:val="007949C3"/>
    <w:rsid w:val="007A1AB4"/>
    <w:rsid w:val="007A2964"/>
    <w:rsid w:val="007A377F"/>
    <w:rsid w:val="007A3985"/>
    <w:rsid w:val="007A4398"/>
    <w:rsid w:val="007A493A"/>
    <w:rsid w:val="007A52D3"/>
    <w:rsid w:val="007A5FD8"/>
    <w:rsid w:val="007A7437"/>
    <w:rsid w:val="007B0E01"/>
    <w:rsid w:val="007B2B62"/>
    <w:rsid w:val="007B2C76"/>
    <w:rsid w:val="007B5BAC"/>
    <w:rsid w:val="007B6E51"/>
    <w:rsid w:val="007C0E25"/>
    <w:rsid w:val="007C41D7"/>
    <w:rsid w:val="007C5110"/>
    <w:rsid w:val="007C5265"/>
    <w:rsid w:val="007D036E"/>
    <w:rsid w:val="007D1047"/>
    <w:rsid w:val="007D163F"/>
    <w:rsid w:val="007D1C00"/>
    <w:rsid w:val="007D3B2F"/>
    <w:rsid w:val="007D7C44"/>
    <w:rsid w:val="007E349B"/>
    <w:rsid w:val="007E3B6D"/>
    <w:rsid w:val="007E3E94"/>
    <w:rsid w:val="007E4157"/>
    <w:rsid w:val="007E5816"/>
    <w:rsid w:val="007F05B4"/>
    <w:rsid w:val="007F0755"/>
    <w:rsid w:val="007F1029"/>
    <w:rsid w:val="007F1CAE"/>
    <w:rsid w:val="007F2C63"/>
    <w:rsid w:val="007F3C9E"/>
    <w:rsid w:val="007F4858"/>
    <w:rsid w:val="007F5552"/>
    <w:rsid w:val="007F5905"/>
    <w:rsid w:val="00800A54"/>
    <w:rsid w:val="00802904"/>
    <w:rsid w:val="00803214"/>
    <w:rsid w:val="00804DD4"/>
    <w:rsid w:val="00806399"/>
    <w:rsid w:val="00806A21"/>
    <w:rsid w:val="00806D67"/>
    <w:rsid w:val="008076D1"/>
    <w:rsid w:val="00813422"/>
    <w:rsid w:val="00815C6A"/>
    <w:rsid w:val="008164E6"/>
    <w:rsid w:val="00817DBC"/>
    <w:rsid w:val="00820981"/>
    <w:rsid w:val="00823C30"/>
    <w:rsid w:val="0082445D"/>
    <w:rsid w:val="00824A70"/>
    <w:rsid w:val="0082523C"/>
    <w:rsid w:val="00825B5D"/>
    <w:rsid w:val="00827029"/>
    <w:rsid w:val="00827DE4"/>
    <w:rsid w:val="0083243D"/>
    <w:rsid w:val="00832F67"/>
    <w:rsid w:val="00834253"/>
    <w:rsid w:val="00835203"/>
    <w:rsid w:val="00835B6E"/>
    <w:rsid w:val="00836E8E"/>
    <w:rsid w:val="00841062"/>
    <w:rsid w:val="00843873"/>
    <w:rsid w:val="00844932"/>
    <w:rsid w:val="00845CB2"/>
    <w:rsid w:val="008548E6"/>
    <w:rsid w:val="00855EE5"/>
    <w:rsid w:val="00855FCE"/>
    <w:rsid w:val="00856EDE"/>
    <w:rsid w:val="00857386"/>
    <w:rsid w:val="008603BE"/>
    <w:rsid w:val="00860865"/>
    <w:rsid w:val="00860FCE"/>
    <w:rsid w:val="00862308"/>
    <w:rsid w:val="0086492E"/>
    <w:rsid w:val="00864C17"/>
    <w:rsid w:val="00864EAF"/>
    <w:rsid w:val="008673C3"/>
    <w:rsid w:val="00867C5C"/>
    <w:rsid w:val="00870401"/>
    <w:rsid w:val="00870EBA"/>
    <w:rsid w:val="008711C0"/>
    <w:rsid w:val="00873ECE"/>
    <w:rsid w:val="00874A91"/>
    <w:rsid w:val="008766C3"/>
    <w:rsid w:val="0087745A"/>
    <w:rsid w:val="0088316D"/>
    <w:rsid w:val="008856D4"/>
    <w:rsid w:val="00890CC9"/>
    <w:rsid w:val="00893E1B"/>
    <w:rsid w:val="00893ECC"/>
    <w:rsid w:val="008942CE"/>
    <w:rsid w:val="008A2366"/>
    <w:rsid w:val="008A2B73"/>
    <w:rsid w:val="008A2C84"/>
    <w:rsid w:val="008A503B"/>
    <w:rsid w:val="008A67C7"/>
    <w:rsid w:val="008A74A9"/>
    <w:rsid w:val="008B012E"/>
    <w:rsid w:val="008B013C"/>
    <w:rsid w:val="008B08E3"/>
    <w:rsid w:val="008B211A"/>
    <w:rsid w:val="008B49E3"/>
    <w:rsid w:val="008B56EF"/>
    <w:rsid w:val="008B5CAF"/>
    <w:rsid w:val="008C09A8"/>
    <w:rsid w:val="008C0A2F"/>
    <w:rsid w:val="008C18FA"/>
    <w:rsid w:val="008C1974"/>
    <w:rsid w:val="008C2923"/>
    <w:rsid w:val="008C31A9"/>
    <w:rsid w:val="008C38E4"/>
    <w:rsid w:val="008C3BCA"/>
    <w:rsid w:val="008D0C19"/>
    <w:rsid w:val="008D4C9D"/>
    <w:rsid w:val="008D4D2C"/>
    <w:rsid w:val="008D6F05"/>
    <w:rsid w:val="008E0126"/>
    <w:rsid w:val="008E71C5"/>
    <w:rsid w:val="008F29D3"/>
    <w:rsid w:val="008F2B58"/>
    <w:rsid w:val="008F359D"/>
    <w:rsid w:val="008F385F"/>
    <w:rsid w:val="008F5340"/>
    <w:rsid w:val="008F5685"/>
    <w:rsid w:val="008F7021"/>
    <w:rsid w:val="009012AD"/>
    <w:rsid w:val="00901514"/>
    <w:rsid w:val="00901AF1"/>
    <w:rsid w:val="00901B55"/>
    <w:rsid w:val="00902CAE"/>
    <w:rsid w:val="00904283"/>
    <w:rsid w:val="00904880"/>
    <w:rsid w:val="00906100"/>
    <w:rsid w:val="00906703"/>
    <w:rsid w:val="00907C96"/>
    <w:rsid w:val="0091076D"/>
    <w:rsid w:val="00911F23"/>
    <w:rsid w:val="009132FD"/>
    <w:rsid w:val="00914E36"/>
    <w:rsid w:val="009150F5"/>
    <w:rsid w:val="00915C34"/>
    <w:rsid w:val="00915DDB"/>
    <w:rsid w:val="009160AE"/>
    <w:rsid w:val="00917FA0"/>
    <w:rsid w:val="0092058D"/>
    <w:rsid w:val="00920731"/>
    <w:rsid w:val="00920B99"/>
    <w:rsid w:val="00920EB6"/>
    <w:rsid w:val="00921801"/>
    <w:rsid w:val="0092360E"/>
    <w:rsid w:val="00923BD4"/>
    <w:rsid w:val="00924142"/>
    <w:rsid w:val="00930C7D"/>
    <w:rsid w:val="0093118D"/>
    <w:rsid w:val="009313CA"/>
    <w:rsid w:val="00932819"/>
    <w:rsid w:val="00932DD1"/>
    <w:rsid w:val="00933E20"/>
    <w:rsid w:val="00935F0F"/>
    <w:rsid w:val="00937430"/>
    <w:rsid w:val="009374BC"/>
    <w:rsid w:val="00937786"/>
    <w:rsid w:val="00937E54"/>
    <w:rsid w:val="00941660"/>
    <w:rsid w:val="00944DAE"/>
    <w:rsid w:val="0095060B"/>
    <w:rsid w:val="00950991"/>
    <w:rsid w:val="0095145F"/>
    <w:rsid w:val="00951543"/>
    <w:rsid w:val="00952958"/>
    <w:rsid w:val="009604CE"/>
    <w:rsid w:val="00960DA5"/>
    <w:rsid w:val="00961163"/>
    <w:rsid w:val="00964836"/>
    <w:rsid w:val="009659BC"/>
    <w:rsid w:val="009665B7"/>
    <w:rsid w:val="00967AFC"/>
    <w:rsid w:val="00970C9D"/>
    <w:rsid w:val="00973108"/>
    <w:rsid w:val="00975857"/>
    <w:rsid w:val="0098048C"/>
    <w:rsid w:val="00980B8E"/>
    <w:rsid w:val="00980C9B"/>
    <w:rsid w:val="009811FC"/>
    <w:rsid w:val="0098212B"/>
    <w:rsid w:val="00982814"/>
    <w:rsid w:val="00984048"/>
    <w:rsid w:val="009853ED"/>
    <w:rsid w:val="009858C1"/>
    <w:rsid w:val="00987239"/>
    <w:rsid w:val="00992578"/>
    <w:rsid w:val="00992FE0"/>
    <w:rsid w:val="00993797"/>
    <w:rsid w:val="00997A20"/>
    <w:rsid w:val="00997E90"/>
    <w:rsid w:val="009A02DF"/>
    <w:rsid w:val="009A0F68"/>
    <w:rsid w:val="009A3E23"/>
    <w:rsid w:val="009A58EE"/>
    <w:rsid w:val="009A62E6"/>
    <w:rsid w:val="009A684F"/>
    <w:rsid w:val="009A78F2"/>
    <w:rsid w:val="009A7D31"/>
    <w:rsid w:val="009B0EC8"/>
    <w:rsid w:val="009B11D1"/>
    <w:rsid w:val="009B1FC7"/>
    <w:rsid w:val="009B274E"/>
    <w:rsid w:val="009B5024"/>
    <w:rsid w:val="009B59BB"/>
    <w:rsid w:val="009C177B"/>
    <w:rsid w:val="009C289E"/>
    <w:rsid w:val="009C3198"/>
    <w:rsid w:val="009C3887"/>
    <w:rsid w:val="009C7568"/>
    <w:rsid w:val="009C761C"/>
    <w:rsid w:val="009D0541"/>
    <w:rsid w:val="009D1B1C"/>
    <w:rsid w:val="009D3419"/>
    <w:rsid w:val="009D5269"/>
    <w:rsid w:val="009D6D40"/>
    <w:rsid w:val="009D78C8"/>
    <w:rsid w:val="009E067E"/>
    <w:rsid w:val="009E1F6E"/>
    <w:rsid w:val="009E5978"/>
    <w:rsid w:val="009E74D4"/>
    <w:rsid w:val="009E7821"/>
    <w:rsid w:val="009F2F25"/>
    <w:rsid w:val="009F4035"/>
    <w:rsid w:val="009F4188"/>
    <w:rsid w:val="009F597A"/>
    <w:rsid w:val="009F611B"/>
    <w:rsid w:val="009F6180"/>
    <w:rsid w:val="00A0152D"/>
    <w:rsid w:val="00A02B17"/>
    <w:rsid w:val="00A03667"/>
    <w:rsid w:val="00A04C50"/>
    <w:rsid w:val="00A04F89"/>
    <w:rsid w:val="00A05410"/>
    <w:rsid w:val="00A062FA"/>
    <w:rsid w:val="00A109E5"/>
    <w:rsid w:val="00A11F03"/>
    <w:rsid w:val="00A123BB"/>
    <w:rsid w:val="00A2024D"/>
    <w:rsid w:val="00A204D7"/>
    <w:rsid w:val="00A225EA"/>
    <w:rsid w:val="00A23349"/>
    <w:rsid w:val="00A240BE"/>
    <w:rsid w:val="00A25A8A"/>
    <w:rsid w:val="00A25E42"/>
    <w:rsid w:val="00A27E2E"/>
    <w:rsid w:val="00A30F13"/>
    <w:rsid w:val="00A314F7"/>
    <w:rsid w:val="00A321AC"/>
    <w:rsid w:val="00A34CAE"/>
    <w:rsid w:val="00A34DF9"/>
    <w:rsid w:val="00A34E22"/>
    <w:rsid w:val="00A34EAE"/>
    <w:rsid w:val="00A36306"/>
    <w:rsid w:val="00A36493"/>
    <w:rsid w:val="00A40D43"/>
    <w:rsid w:val="00A4284F"/>
    <w:rsid w:val="00A42A93"/>
    <w:rsid w:val="00A433F4"/>
    <w:rsid w:val="00A43A5F"/>
    <w:rsid w:val="00A44855"/>
    <w:rsid w:val="00A455EF"/>
    <w:rsid w:val="00A47108"/>
    <w:rsid w:val="00A47845"/>
    <w:rsid w:val="00A4785B"/>
    <w:rsid w:val="00A5036C"/>
    <w:rsid w:val="00A50A9D"/>
    <w:rsid w:val="00A510C0"/>
    <w:rsid w:val="00A511B6"/>
    <w:rsid w:val="00A51949"/>
    <w:rsid w:val="00A51D59"/>
    <w:rsid w:val="00A5351E"/>
    <w:rsid w:val="00A5428E"/>
    <w:rsid w:val="00A57045"/>
    <w:rsid w:val="00A571F6"/>
    <w:rsid w:val="00A576C0"/>
    <w:rsid w:val="00A60FCC"/>
    <w:rsid w:val="00A65E6F"/>
    <w:rsid w:val="00A7163B"/>
    <w:rsid w:val="00A71C03"/>
    <w:rsid w:val="00A72197"/>
    <w:rsid w:val="00A743B0"/>
    <w:rsid w:val="00A7583C"/>
    <w:rsid w:val="00A76C5A"/>
    <w:rsid w:val="00A76CD7"/>
    <w:rsid w:val="00A770A1"/>
    <w:rsid w:val="00A77498"/>
    <w:rsid w:val="00A778C7"/>
    <w:rsid w:val="00A81063"/>
    <w:rsid w:val="00A81D52"/>
    <w:rsid w:val="00A83E0C"/>
    <w:rsid w:val="00A8406C"/>
    <w:rsid w:val="00A85388"/>
    <w:rsid w:val="00A86727"/>
    <w:rsid w:val="00A867C1"/>
    <w:rsid w:val="00A90E88"/>
    <w:rsid w:val="00A92C8C"/>
    <w:rsid w:val="00A93F73"/>
    <w:rsid w:val="00A963CC"/>
    <w:rsid w:val="00AA34EB"/>
    <w:rsid w:val="00AA425C"/>
    <w:rsid w:val="00AA7BA1"/>
    <w:rsid w:val="00AB03DF"/>
    <w:rsid w:val="00AB34EA"/>
    <w:rsid w:val="00AB5A63"/>
    <w:rsid w:val="00AB671B"/>
    <w:rsid w:val="00AB728C"/>
    <w:rsid w:val="00AC7B05"/>
    <w:rsid w:val="00AD0E92"/>
    <w:rsid w:val="00AD6015"/>
    <w:rsid w:val="00AD6940"/>
    <w:rsid w:val="00AD708E"/>
    <w:rsid w:val="00AD718A"/>
    <w:rsid w:val="00AE19AB"/>
    <w:rsid w:val="00AE22FE"/>
    <w:rsid w:val="00AE23DD"/>
    <w:rsid w:val="00AE2E3B"/>
    <w:rsid w:val="00AE5750"/>
    <w:rsid w:val="00AE6D4A"/>
    <w:rsid w:val="00AE7786"/>
    <w:rsid w:val="00AE7880"/>
    <w:rsid w:val="00AF034D"/>
    <w:rsid w:val="00AF0856"/>
    <w:rsid w:val="00AF1EF3"/>
    <w:rsid w:val="00AF3653"/>
    <w:rsid w:val="00B00D33"/>
    <w:rsid w:val="00B0135F"/>
    <w:rsid w:val="00B02B2D"/>
    <w:rsid w:val="00B04D1C"/>
    <w:rsid w:val="00B04F00"/>
    <w:rsid w:val="00B051A1"/>
    <w:rsid w:val="00B05275"/>
    <w:rsid w:val="00B05531"/>
    <w:rsid w:val="00B06482"/>
    <w:rsid w:val="00B0665F"/>
    <w:rsid w:val="00B06957"/>
    <w:rsid w:val="00B076E5"/>
    <w:rsid w:val="00B077E2"/>
    <w:rsid w:val="00B11B03"/>
    <w:rsid w:val="00B12070"/>
    <w:rsid w:val="00B15CB2"/>
    <w:rsid w:val="00B16C2D"/>
    <w:rsid w:val="00B201F7"/>
    <w:rsid w:val="00B20D9D"/>
    <w:rsid w:val="00B225C7"/>
    <w:rsid w:val="00B229DE"/>
    <w:rsid w:val="00B22C5E"/>
    <w:rsid w:val="00B23245"/>
    <w:rsid w:val="00B23BAB"/>
    <w:rsid w:val="00B24C71"/>
    <w:rsid w:val="00B24D6A"/>
    <w:rsid w:val="00B27006"/>
    <w:rsid w:val="00B27A55"/>
    <w:rsid w:val="00B32478"/>
    <w:rsid w:val="00B3269F"/>
    <w:rsid w:val="00B347A7"/>
    <w:rsid w:val="00B3515F"/>
    <w:rsid w:val="00B35B2A"/>
    <w:rsid w:val="00B372FF"/>
    <w:rsid w:val="00B403CD"/>
    <w:rsid w:val="00B41394"/>
    <w:rsid w:val="00B43DC9"/>
    <w:rsid w:val="00B45B75"/>
    <w:rsid w:val="00B504CC"/>
    <w:rsid w:val="00B510FC"/>
    <w:rsid w:val="00B515FE"/>
    <w:rsid w:val="00B51ACD"/>
    <w:rsid w:val="00B523E0"/>
    <w:rsid w:val="00B5390F"/>
    <w:rsid w:val="00B55994"/>
    <w:rsid w:val="00B62803"/>
    <w:rsid w:val="00B62D44"/>
    <w:rsid w:val="00B6353B"/>
    <w:rsid w:val="00B64A9C"/>
    <w:rsid w:val="00B65CF5"/>
    <w:rsid w:val="00B667E7"/>
    <w:rsid w:val="00B70A5E"/>
    <w:rsid w:val="00B72025"/>
    <w:rsid w:val="00B72535"/>
    <w:rsid w:val="00B7257B"/>
    <w:rsid w:val="00B73561"/>
    <w:rsid w:val="00B74161"/>
    <w:rsid w:val="00B76535"/>
    <w:rsid w:val="00B76B7A"/>
    <w:rsid w:val="00B7705B"/>
    <w:rsid w:val="00B7738B"/>
    <w:rsid w:val="00B77E0C"/>
    <w:rsid w:val="00B81728"/>
    <w:rsid w:val="00B830E0"/>
    <w:rsid w:val="00B8337C"/>
    <w:rsid w:val="00B842CD"/>
    <w:rsid w:val="00B84640"/>
    <w:rsid w:val="00B87C29"/>
    <w:rsid w:val="00B924B3"/>
    <w:rsid w:val="00B94BB2"/>
    <w:rsid w:val="00B963AE"/>
    <w:rsid w:val="00B97B48"/>
    <w:rsid w:val="00BA01D2"/>
    <w:rsid w:val="00BA0D36"/>
    <w:rsid w:val="00BA230A"/>
    <w:rsid w:val="00BA2CEE"/>
    <w:rsid w:val="00BA6051"/>
    <w:rsid w:val="00BA7027"/>
    <w:rsid w:val="00BA71BE"/>
    <w:rsid w:val="00BB0028"/>
    <w:rsid w:val="00BB0420"/>
    <w:rsid w:val="00BB2E20"/>
    <w:rsid w:val="00BB66B8"/>
    <w:rsid w:val="00BB68CA"/>
    <w:rsid w:val="00BB7369"/>
    <w:rsid w:val="00BC1A6D"/>
    <w:rsid w:val="00BC25F5"/>
    <w:rsid w:val="00BC2AA3"/>
    <w:rsid w:val="00BC3917"/>
    <w:rsid w:val="00BC3937"/>
    <w:rsid w:val="00BC3A63"/>
    <w:rsid w:val="00BC406D"/>
    <w:rsid w:val="00BC77F4"/>
    <w:rsid w:val="00BD29E3"/>
    <w:rsid w:val="00BD29FE"/>
    <w:rsid w:val="00BD2E2D"/>
    <w:rsid w:val="00BD2EC3"/>
    <w:rsid w:val="00BD3EE1"/>
    <w:rsid w:val="00BD4E64"/>
    <w:rsid w:val="00BD58E2"/>
    <w:rsid w:val="00BD68AE"/>
    <w:rsid w:val="00BD6FB0"/>
    <w:rsid w:val="00BE0BCC"/>
    <w:rsid w:val="00BE1B94"/>
    <w:rsid w:val="00BE347D"/>
    <w:rsid w:val="00BE3637"/>
    <w:rsid w:val="00BE3762"/>
    <w:rsid w:val="00BE7040"/>
    <w:rsid w:val="00BF2136"/>
    <w:rsid w:val="00BF2C93"/>
    <w:rsid w:val="00BF2E61"/>
    <w:rsid w:val="00BF4021"/>
    <w:rsid w:val="00BF73AA"/>
    <w:rsid w:val="00BF766F"/>
    <w:rsid w:val="00C002A0"/>
    <w:rsid w:val="00C00F29"/>
    <w:rsid w:val="00C041BD"/>
    <w:rsid w:val="00C048BE"/>
    <w:rsid w:val="00C04E5D"/>
    <w:rsid w:val="00C1481F"/>
    <w:rsid w:val="00C15182"/>
    <w:rsid w:val="00C15379"/>
    <w:rsid w:val="00C1563F"/>
    <w:rsid w:val="00C17FB3"/>
    <w:rsid w:val="00C20B60"/>
    <w:rsid w:val="00C22DAE"/>
    <w:rsid w:val="00C23045"/>
    <w:rsid w:val="00C265B6"/>
    <w:rsid w:val="00C273E1"/>
    <w:rsid w:val="00C279D9"/>
    <w:rsid w:val="00C33063"/>
    <w:rsid w:val="00C35045"/>
    <w:rsid w:val="00C35688"/>
    <w:rsid w:val="00C36F91"/>
    <w:rsid w:val="00C37273"/>
    <w:rsid w:val="00C37489"/>
    <w:rsid w:val="00C37D31"/>
    <w:rsid w:val="00C41487"/>
    <w:rsid w:val="00C42866"/>
    <w:rsid w:val="00C43891"/>
    <w:rsid w:val="00C444F8"/>
    <w:rsid w:val="00C45BB6"/>
    <w:rsid w:val="00C463BC"/>
    <w:rsid w:val="00C46823"/>
    <w:rsid w:val="00C47C79"/>
    <w:rsid w:val="00C5003E"/>
    <w:rsid w:val="00C509D2"/>
    <w:rsid w:val="00C50B50"/>
    <w:rsid w:val="00C514B3"/>
    <w:rsid w:val="00C529A4"/>
    <w:rsid w:val="00C53285"/>
    <w:rsid w:val="00C534AB"/>
    <w:rsid w:val="00C537E3"/>
    <w:rsid w:val="00C56882"/>
    <w:rsid w:val="00C57C02"/>
    <w:rsid w:val="00C63638"/>
    <w:rsid w:val="00C63A8A"/>
    <w:rsid w:val="00C63CCD"/>
    <w:rsid w:val="00C65272"/>
    <w:rsid w:val="00C704FD"/>
    <w:rsid w:val="00C70F2D"/>
    <w:rsid w:val="00C7143B"/>
    <w:rsid w:val="00C733AF"/>
    <w:rsid w:val="00C742E5"/>
    <w:rsid w:val="00C762A5"/>
    <w:rsid w:val="00C77B5C"/>
    <w:rsid w:val="00C83BD6"/>
    <w:rsid w:val="00C84F9B"/>
    <w:rsid w:val="00C850EC"/>
    <w:rsid w:val="00C85220"/>
    <w:rsid w:val="00C87BD6"/>
    <w:rsid w:val="00C9020A"/>
    <w:rsid w:val="00C96DFD"/>
    <w:rsid w:val="00CA2616"/>
    <w:rsid w:val="00CA2A08"/>
    <w:rsid w:val="00CA348A"/>
    <w:rsid w:val="00CA3E4A"/>
    <w:rsid w:val="00CA48DF"/>
    <w:rsid w:val="00CA5144"/>
    <w:rsid w:val="00CA5630"/>
    <w:rsid w:val="00CA723D"/>
    <w:rsid w:val="00CA7A17"/>
    <w:rsid w:val="00CB03F6"/>
    <w:rsid w:val="00CB1F2C"/>
    <w:rsid w:val="00CB4557"/>
    <w:rsid w:val="00CB501B"/>
    <w:rsid w:val="00CB7112"/>
    <w:rsid w:val="00CB7284"/>
    <w:rsid w:val="00CC0A66"/>
    <w:rsid w:val="00CC1099"/>
    <w:rsid w:val="00CC1253"/>
    <w:rsid w:val="00CC1B67"/>
    <w:rsid w:val="00CC1B6F"/>
    <w:rsid w:val="00CC2377"/>
    <w:rsid w:val="00CC4CC4"/>
    <w:rsid w:val="00CD362B"/>
    <w:rsid w:val="00CD38BB"/>
    <w:rsid w:val="00CD3EBD"/>
    <w:rsid w:val="00CD6AA4"/>
    <w:rsid w:val="00CD6DF2"/>
    <w:rsid w:val="00CE00A8"/>
    <w:rsid w:val="00CE03BA"/>
    <w:rsid w:val="00CE64D7"/>
    <w:rsid w:val="00CE7823"/>
    <w:rsid w:val="00CF0423"/>
    <w:rsid w:val="00CF07EC"/>
    <w:rsid w:val="00CF2BAC"/>
    <w:rsid w:val="00CF2F94"/>
    <w:rsid w:val="00CF468B"/>
    <w:rsid w:val="00CF49A1"/>
    <w:rsid w:val="00CF6184"/>
    <w:rsid w:val="00CF6719"/>
    <w:rsid w:val="00CF6CDC"/>
    <w:rsid w:val="00D0029C"/>
    <w:rsid w:val="00D01A0B"/>
    <w:rsid w:val="00D03C6B"/>
    <w:rsid w:val="00D03EF8"/>
    <w:rsid w:val="00D05E90"/>
    <w:rsid w:val="00D12BB1"/>
    <w:rsid w:val="00D131F2"/>
    <w:rsid w:val="00D16CBD"/>
    <w:rsid w:val="00D20837"/>
    <w:rsid w:val="00D22849"/>
    <w:rsid w:val="00D22C90"/>
    <w:rsid w:val="00D23894"/>
    <w:rsid w:val="00D252AC"/>
    <w:rsid w:val="00D310A8"/>
    <w:rsid w:val="00D32562"/>
    <w:rsid w:val="00D32C03"/>
    <w:rsid w:val="00D32E28"/>
    <w:rsid w:val="00D34FF9"/>
    <w:rsid w:val="00D35B44"/>
    <w:rsid w:val="00D35B7A"/>
    <w:rsid w:val="00D35F65"/>
    <w:rsid w:val="00D40F55"/>
    <w:rsid w:val="00D4129D"/>
    <w:rsid w:val="00D42314"/>
    <w:rsid w:val="00D42D6F"/>
    <w:rsid w:val="00D44B18"/>
    <w:rsid w:val="00D44C9A"/>
    <w:rsid w:val="00D45D24"/>
    <w:rsid w:val="00D465FD"/>
    <w:rsid w:val="00D47544"/>
    <w:rsid w:val="00D52701"/>
    <w:rsid w:val="00D55003"/>
    <w:rsid w:val="00D557E1"/>
    <w:rsid w:val="00D576D9"/>
    <w:rsid w:val="00D57953"/>
    <w:rsid w:val="00D6289E"/>
    <w:rsid w:val="00D6319B"/>
    <w:rsid w:val="00D637EC"/>
    <w:rsid w:val="00D656E2"/>
    <w:rsid w:val="00D65D49"/>
    <w:rsid w:val="00D743BC"/>
    <w:rsid w:val="00D74C0E"/>
    <w:rsid w:val="00D754FA"/>
    <w:rsid w:val="00D77533"/>
    <w:rsid w:val="00D80CC5"/>
    <w:rsid w:val="00D81404"/>
    <w:rsid w:val="00D81A4B"/>
    <w:rsid w:val="00D82BE2"/>
    <w:rsid w:val="00D8517F"/>
    <w:rsid w:val="00D867B2"/>
    <w:rsid w:val="00D86D33"/>
    <w:rsid w:val="00D9134A"/>
    <w:rsid w:val="00D91CD6"/>
    <w:rsid w:val="00D920ED"/>
    <w:rsid w:val="00D9243C"/>
    <w:rsid w:val="00D95474"/>
    <w:rsid w:val="00D96758"/>
    <w:rsid w:val="00DA0FBC"/>
    <w:rsid w:val="00DA2748"/>
    <w:rsid w:val="00DA2FCE"/>
    <w:rsid w:val="00DA458D"/>
    <w:rsid w:val="00DA5727"/>
    <w:rsid w:val="00DA5BEA"/>
    <w:rsid w:val="00DB1616"/>
    <w:rsid w:val="00DB168D"/>
    <w:rsid w:val="00DB68EC"/>
    <w:rsid w:val="00DC02B7"/>
    <w:rsid w:val="00DC2990"/>
    <w:rsid w:val="00DC4090"/>
    <w:rsid w:val="00DC674C"/>
    <w:rsid w:val="00DC69F9"/>
    <w:rsid w:val="00DC6BBD"/>
    <w:rsid w:val="00DD0F19"/>
    <w:rsid w:val="00DD143B"/>
    <w:rsid w:val="00DD36E4"/>
    <w:rsid w:val="00DD6B1A"/>
    <w:rsid w:val="00DD6BAD"/>
    <w:rsid w:val="00DD712F"/>
    <w:rsid w:val="00DE0B63"/>
    <w:rsid w:val="00DE32B5"/>
    <w:rsid w:val="00DE33A3"/>
    <w:rsid w:val="00DE3DBD"/>
    <w:rsid w:val="00DE5125"/>
    <w:rsid w:val="00DE53B3"/>
    <w:rsid w:val="00DE67B5"/>
    <w:rsid w:val="00DE7EED"/>
    <w:rsid w:val="00DF05D4"/>
    <w:rsid w:val="00DF07D4"/>
    <w:rsid w:val="00DF25C8"/>
    <w:rsid w:val="00DF40FB"/>
    <w:rsid w:val="00DF4AC7"/>
    <w:rsid w:val="00DF5EE3"/>
    <w:rsid w:val="00DF7973"/>
    <w:rsid w:val="00DF79A8"/>
    <w:rsid w:val="00E016A4"/>
    <w:rsid w:val="00E031B4"/>
    <w:rsid w:val="00E05BDE"/>
    <w:rsid w:val="00E0656E"/>
    <w:rsid w:val="00E12F5A"/>
    <w:rsid w:val="00E163E2"/>
    <w:rsid w:val="00E16D61"/>
    <w:rsid w:val="00E2027F"/>
    <w:rsid w:val="00E2103E"/>
    <w:rsid w:val="00E21B28"/>
    <w:rsid w:val="00E246A9"/>
    <w:rsid w:val="00E24B42"/>
    <w:rsid w:val="00E263F6"/>
    <w:rsid w:val="00E304EB"/>
    <w:rsid w:val="00E3202C"/>
    <w:rsid w:val="00E32817"/>
    <w:rsid w:val="00E32E5D"/>
    <w:rsid w:val="00E35381"/>
    <w:rsid w:val="00E37A58"/>
    <w:rsid w:val="00E40973"/>
    <w:rsid w:val="00E419C5"/>
    <w:rsid w:val="00E42109"/>
    <w:rsid w:val="00E426ED"/>
    <w:rsid w:val="00E42D44"/>
    <w:rsid w:val="00E42DCA"/>
    <w:rsid w:val="00E454C4"/>
    <w:rsid w:val="00E45518"/>
    <w:rsid w:val="00E458BE"/>
    <w:rsid w:val="00E47251"/>
    <w:rsid w:val="00E50475"/>
    <w:rsid w:val="00E50533"/>
    <w:rsid w:val="00E510E2"/>
    <w:rsid w:val="00E51164"/>
    <w:rsid w:val="00E514C2"/>
    <w:rsid w:val="00E5258B"/>
    <w:rsid w:val="00E537C5"/>
    <w:rsid w:val="00E549B3"/>
    <w:rsid w:val="00E54D45"/>
    <w:rsid w:val="00E55252"/>
    <w:rsid w:val="00E56218"/>
    <w:rsid w:val="00E56AE9"/>
    <w:rsid w:val="00E56C64"/>
    <w:rsid w:val="00E57C4C"/>
    <w:rsid w:val="00E60F06"/>
    <w:rsid w:val="00E64C25"/>
    <w:rsid w:val="00E664F9"/>
    <w:rsid w:val="00E66941"/>
    <w:rsid w:val="00E67243"/>
    <w:rsid w:val="00E67E4E"/>
    <w:rsid w:val="00E71901"/>
    <w:rsid w:val="00E76874"/>
    <w:rsid w:val="00E806B2"/>
    <w:rsid w:val="00E80B34"/>
    <w:rsid w:val="00E812A3"/>
    <w:rsid w:val="00E81C78"/>
    <w:rsid w:val="00E82943"/>
    <w:rsid w:val="00E83A98"/>
    <w:rsid w:val="00E83BFF"/>
    <w:rsid w:val="00E83F80"/>
    <w:rsid w:val="00E842DF"/>
    <w:rsid w:val="00E91822"/>
    <w:rsid w:val="00E94408"/>
    <w:rsid w:val="00E94B0D"/>
    <w:rsid w:val="00E94F53"/>
    <w:rsid w:val="00EA06C2"/>
    <w:rsid w:val="00EA06E2"/>
    <w:rsid w:val="00EA32E2"/>
    <w:rsid w:val="00EA484F"/>
    <w:rsid w:val="00EA5759"/>
    <w:rsid w:val="00EA70E3"/>
    <w:rsid w:val="00EA7A20"/>
    <w:rsid w:val="00EB04CE"/>
    <w:rsid w:val="00EB41E1"/>
    <w:rsid w:val="00EB508B"/>
    <w:rsid w:val="00EB5704"/>
    <w:rsid w:val="00EB584F"/>
    <w:rsid w:val="00EB5B16"/>
    <w:rsid w:val="00EB762E"/>
    <w:rsid w:val="00EB7E09"/>
    <w:rsid w:val="00EC0346"/>
    <w:rsid w:val="00EC16D4"/>
    <w:rsid w:val="00EC3CCC"/>
    <w:rsid w:val="00EC5DD3"/>
    <w:rsid w:val="00EC6DCC"/>
    <w:rsid w:val="00ED08D0"/>
    <w:rsid w:val="00ED2B38"/>
    <w:rsid w:val="00ED2E13"/>
    <w:rsid w:val="00ED4A96"/>
    <w:rsid w:val="00ED5069"/>
    <w:rsid w:val="00ED72D3"/>
    <w:rsid w:val="00EE03C4"/>
    <w:rsid w:val="00EE09AF"/>
    <w:rsid w:val="00EE0BDE"/>
    <w:rsid w:val="00EE27F9"/>
    <w:rsid w:val="00EE4C46"/>
    <w:rsid w:val="00EE6ACC"/>
    <w:rsid w:val="00EE714E"/>
    <w:rsid w:val="00EE7A61"/>
    <w:rsid w:val="00EF161E"/>
    <w:rsid w:val="00EF36E6"/>
    <w:rsid w:val="00EF6672"/>
    <w:rsid w:val="00EF6841"/>
    <w:rsid w:val="00F02BAB"/>
    <w:rsid w:val="00F0345A"/>
    <w:rsid w:val="00F07D6C"/>
    <w:rsid w:val="00F10348"/>
    <w:rsid w:val="00F10A6A"/>
    <w:rsid w:val="00F12989"/>
    <w:rsid w:val="00F13895"/>
    <w:rsid w:val="00F13F84"/>
    <w:rsid w:val="00F2120F"/>
    <w:rsid w:val="00F215AB"/>
    <w:rsid w:val="00F2175D"/>
    <w:rsid w:val="00F2213B"/>
    <w:rsid w:val="00F24D8E"/>
    <w:rsid w:val="00F259B0"/>
    <w:rsid w:val="00F27F60"/>
    <w:rsid w:val="00F27FAD"/>
    <w:rsid w:val="00F34B71"/>
    <w:rsid w:val="00F3798E"/>
    <w:rsid w:val="00F37A47"/>
    <w:rsid w:val="00F406EA"/>
    <w:rsid w:val="00F424EA"/>
    <w:rsid w:val="00F42F6A"/>
    <w:rsid w:val="00F5087D"/>
    <w:rsid w:val="00F50B95"/>
    <w:rsid w:val="00F51386"/>
    <w:rsid w:val="00F51AC5"/>
    <w:rsid w:val="00F51F6E"/>
    <w:rsid w:val="00F526C5"/>
    <w:rsid w:val="00F53D71"/>
    <w:rsid w:val="00F544F2"/>
    <w:rsid w:val="00F54570"/>
    <w:rsid w:val="00F55781"/>
    <w:rsid w:val="00F56147"/>
    <w:rsid w:val="00F57A65"/>
    <w:rsid w:val="00F60593"/>
    <w:rsid w:val="00F6113D"/>
    <w:rsid w:val="00F626E7"/>
    <w:rsid w:val="00F65A8F"/>
    <w:rsid w:val="00F663DC"/>
    <w:rsid w:val="00F66917"/>
    <w:rsid w:val="00F70C79"/>
    <w:rsid w:val="00F71F20"/>
    <w:rsid w:val="00F73917"/>
    <w:rsid w:val="00F73E14"/>
    <w:rsid w:val="00F73F2A"/>
    <w:rsid w:val="00F7483C"/>
    <w:rsid w:val="00F755CC"/>
    <w:rsid w:val="00F77136"/>
    <w:rsid w:val="00F82EFF"/>
    <w:rsid w:val="00F848DE"/>
    <w:rsid w:val="00F84A9C"/>
    <w:rsid w:val="00F87C9F"/>
    <w:rsid w:val="00F9087A"/>
    <w:rsid w:val="00F9121F"/>
    <w:rsid w:val="00F913DB"/>
    <w:rsid w:val="00F91C84"/>
    <w:rsid w:val="00F91FF1"/>
    <w:rsid w:val="00F94D3C"/>
    <w:rsid w:val="00F94EB1"/>
    <w:rsid w:val="00FA2085"/>
    <w:rsid w:val="00FA2DAD"/>
    <w:rsid w:val="00FA4D2A"/>
    <w:rsid w:val="00FA5FC0"/>
    <w:rsid w:val="00FA6711"/>
    <w:rsid w:val="00FB1BD2"/>
    <w:rsid w:val="00FB2854"/>
    <w:rsid w:val="00FB35EA"/>
    <w:rsid w:val="00FB3EBD"/>
    <w:rsid w:val="00FB507A"/>
    <w:rsid w:val="00FC10EB"/>
    <w:rsid w:val="00FC1E1D"/>
    <w:rsid w:val="00FC4235"/>
    <w:rsid w:val="00FC4CE5"/>
    <w:rsid w:val="00FC5317"/>
    <w:rsid w:val="00FC6A87"/>
    <w:rsid w:val="00FC737B"/>
    <w:rsid w:val="00FC76C0"/>
    <w:rsid w:val="00FC773F"/>
    <w:rsid w:val="00FD0429"/>
    <w:rsid w:val="00FD06FD"/>
    <w:rsid w:val="00FD1A99"/>
    <w:rsid w:val="00FD2D1D"/>
    <w:rsid w:val="00FD5966"/>
    <w:rsid w:val="00FD6A18"/>
    <w:rsid w:val="00FE0685"/>
    <w:rsid w:val="00FE06E6"/>
    <w:rsid w:val="00FE3532"/>
    <w:rsid w:val="00FE3847"/>
    <w:rsid w:val="00FE3CE9"/>
    <w:rsid w:val="00FE6671"/>
    <w:rsid w:val="00FF02EA"/>
    <w:rsid w:val="00FF295A"/>
    <w:rsid w:val="00FF461E"/>
    <w:rsid w:val="00FF4C50"/>
    <w:rsid w:val="00FF5689"/>
    <w:rsid w:val="00FF5C33"/>
    <w:rsid w:val="00FF600E"/>
    <w:rsid w:val="00FF72A7"/>
    <w:rsid w:val="01180385"/>
    <w:rsid w:val="018C0D95"/>
    <w:rsid w:val="01BE14C8"/>
    <w:rsid w:val="025C5E26"/>
    <w:rsid w:val="03C34B60"/>
    <w:rsid w:val="0483120D"/>
    <w:rsid w:val="053A304B"/>
    <w:rsid w:val="05AF97C4"/>
    <w:rsid w:val="06233D40"/>
    <w:rsid w:val="0630335C"/>
    <w:rsid w:val="0723B107"/>
    <w:rsid w:val="0738178D"/>
    <w:rsid w:val="076E3B69"/>
    <w:rsid w:val="07A10441"/>
    <w:rsid w:val="0843E518"/>
    <w:rsid w:val="08EE00F2"/>
    <w:rsid w:val="099E1D41"/>
    <w:rsid w:val="09F2F7D8"/>
    <w:rsid w:val="0A482ADA"/>
    <w:rsid w:val="0A7BA6D5"/>
    <w:rsid w:val="0B53E15F"/>
    <w:rsid w:val="0B6B20ED"/>
    <w:rsid w:val="0C53C807"/>
    <w:rsid w:val="0C821743"/>
    <w:rsid w:val="0CAC1B92"/>
    <w:rsid w:val="0CC902A6"/>
    <w:rsid w:val="0D875172"/>
    <w:rsid w:val="0F14ADCE"/>
    <w:rsid w:val="0FBB26F5"/>
    <w:rsid w:val="12CE120E"/>
    <w:rsid w:val="139E5268"/>
    <w:rsid w:val="13D4387C"/>
    <w:rsid w:val="1539A417"/>
    <w:rsid w:val="1594B447"/>
    <w:rsid w:val="161A35A0"/>
    <w:rsid w:val="16EDE69A"/>
    <w:rsid w:val="17408145"/>
    <w:rsid w:val="17B19115"/>
    <w:rsid w:val="17D909CE"/>
    <w:rsid w:val="19D903BA"/>
    <w:rsid w:val="19F4CD11"/>
    <w:rsid w:val="1AE022B6"/>
    <w:rsid w:val="1B5EAE2F"/>
    <w:rsid w:val="1B77CD90"/>
    <w:rsid w:val="1B8DC5F3"/>
    <w:rsid w:val="1BECF519"/>
    <w:rsid w:val="1C20F379"/>
    <w:rsid w:val="1CB213CD"/>
    <w:rsid w:val="1E8C4650"/>
    <w:rsid w:val="1EA9ABDF"/>
    <w:rsid w:val="1F1722D6"/>
    <w:rsid w:val="1F23657F"/>
    <w:rsid w:val="21722C10"/>
    <w:rsid w:val="227FBCA6"/>
    <w:rsid w:val="268361C0"/>
    <w:rsid w:val="29C25822"/>
    <w:rsid w:val="2A065CEC"/>
    <w:rsid w:val="2C0FB707"/>
    <w:rsid w:val="2EA5F75A"/>
    <w:rsid w:val="2F7416A1"/>
    <w:rsid w:val="2FB417CC"/>
    <w:rsid w:val="2FF67AA8"/>
    <w:rsid w:val="30358990"/>
    <w:rsid w:val="317EBDC8"/>
    <w:rsid w:val="33DF1669"/>
    <w:rsid w:val="3628E854"/>
    <w:rsid w:val="36681AFA"/>
    <w:rsid w:val="371E063D"/>
    <w:rsid w:val="3B0FB17D"/>
    <w:rsid w:val="3B28E70A"/>
    <w:rsid w:val="3C007496"/>
    <w:rsid w:val="3C952A45"/>
    <w:rsid w:val="3D8D356D"/>
    <w:rsid w:val="3DA2F1DF"/>
    <w:rsid w:val="3E20DF42"/>
    <w:rsid w:val="3E30B5BB"/>
    <w:rsid w:val="3E65F386"/>
    <w:rsid w:val="3FB8A95C"/>
    <w:rsid w:val="40BFD37E"/>
    <w:rsid w:val="447E52C3"/>
    <w:rsid w:val="44C7D3DD"/>
    <w:rsid w:val="45058313"/>
    <w:rsid w:val="4681B374"/>
    <w:rsid w:val="46C7C4B3"/>
    <w:rsid w:val="4949D5B9"/>
    <w:rsid w:val="49613960"/>
    <w:rsid w:val="49B3F273"/>
    <w:rsid w:val="4AFB6C3F"/>
    <w:rsid w:val="4ED98906"/>
    <w:rsid w:val="4F67225F"/>
    <w:rsid w:val="521DC06F"/>
    <w:rsid w:val="52D01EFB"/>
    <w:rsid w:val="52FCBD5A"/>
    <w:rsid w:val="5379B72A"/>
    <w:rsid w:val="539A2952"/>
    <w:rsid w:val="5549D07A"/>
    <w:rsid w:val="555B4687"/>
    <w:rsid w:val="55891F67"/>
    <w:rsid w:val="55C86177"/>
    <w:rsid w:val="560A7670"/>
    <w:rsid w:val="56A73D30"/>
    <w:rsid w:val="5799220E"/>
    <w:rsid w:val="584DBFE9"/>
    <w:rsid w:val="5917A944"/>
    <w:rsid w:val="59C6E5DF"/>
    <w:rsid w:val="5A123820"/>
    <w:rsid w:val="5AD7ED5B"/>
    <w:rsid w:val="5B002B65"/>
    <w:rsid w:val="5B575A8F"/>
    <w:rsid w:val="5B91F881"/>
    <w:rsid w:val="5BAA77BD"/>
    <w:rsid w:val="5D3059B0"/>
    <w:rsid w:val="5DD94AC3"/>
    <w:rsid w:val="5E041609"/>
    <w:rsid w:val="5F48FC8B"/>
    <w:rsid w:val="5F4BC1B0"/>
    <w:rsid w:val="5F85A00A"/>
    <w:rsid w:val="5FFDB27A"/>
    <w:rsid w:val="6109C750"/>
    <w:rsid w:val="61136677"/>
    <w:rsid w:val="61230D11"/>
    <w:rsid w:val="612DE07E"/>
    <w:rsid w:val="61B43A28"/>
    <w:rsid w:val="6257F373"/>
    <w:rsid w:val="646F2B9C"/>
    <w:rsid w:val="6497890B"/>
    <w:rsid w:val="64E36A49"/>
    <w:rsid w:val="659516F9"/>
    <w:rsid w:val="65AADDCE"/>
    <w:rsid w:val="65F31E42"/>
    <w:rsid w:val="65FBFB43"/>
    <w:rsid w:val="65FC3265"/>
    <w:rsid w:val="675EEE09"/>
    <w:rsid w:val="67E573D5"/>
    <w:rsid w:val="69554D14"/>
    <w:rsid w:val="6961233B"/>
    <w:rsid w:val="69C5DD2E"/>
    <w:rsid w:val="69CEDB42"/>
    <w:rsid w:val="6B1EBD15"/>
    <w:rsid w:val="6B9AD3FB"/>
    <w:rsid w:val="6C264CB3"/>
    <w:rsid w:val="6D272E20"/>
    <w:rsid w:val="6D937DB3"/>
    <w:rsid w:val="721C830B"/>
    <w:rsid w:val="721F7840"/>
    <w:rsid w:val="7311DE32"/>
    <w:rsid w:val="7452D7FB"/>
    <w:rsid w:val="751A7C62"/>
    <w:rsid w:val="754EFC58"/>
    <w:rsid w:val="758E7C71"/>
    <w:rsid w:val="75C4B381"/>
    <w:rsid w:val="76D9695B"/>
    <w:rsid w:val="78A59A21"/>
    <w:rsid w:val="78D26E15"/>
    <w:rsid w:val="78FFD317"/>
    <w:rsid w:val="7924B62A"/>
    <w:rsid w:val="7AEAFEB0"/>
    <w:rsid w:val="7AF1030D"/>
    <w:rsid w:val="7C50A664"/>
    <w:rsid w:val="7C5D4D49"/>
    <w:rsid w:val="7DAE0FA4"/>
    <w:rsid w:val="7DE66B96"/>
    <w:rsid w:val="7E498E3C"/>
    <w:rsid w:val="7E7DA49E"/>
    <w:rsid w:val="7EC9478A"/>
    <w:rsid w:val="7FF5B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E1550"/>
  <w15:chartTrackingRefBased/>
  <w15:docId w15:val="{AD9AF790-C525-4899-BFA7-4B3F26F1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3AF"/>
  </w:style>
  <w:style w:type="paragraph" w:styleId="Heading1">
    <w:name w:val="heading 1"/>
    <w:basedOn w:val="Normal"/>
    <w:next w:val="Normal"/>
    <w:link w:val="Heading1Char"/>
    <w:uiPriority w:val="9"/>
    <w:qFormat/>
    <w:rsid w:val="00031D9F"/>
    <w:pPr>
      <w:keepNext/>
      <w:numPr>
        <w:numId w:val="36"/>
      </w:numPr>
      <w:spacing w:before="360" w:after="360" w:line="360" w:lineRule="auto"/>
      <w:jc w:val="both"/>
      <w:outlineLvl w:val="0"/>
    </w:pPr>
    <w:rPr>
      <w:rFonts w:ascii="Times New Roman" w:eastAsia="Times New Roman" w:hAnsi="Times New Roman" w:cs="Arial"/>
      <w:b/>
      <w:bCs/>
      <w:kern w:val="32"/>
      <w:sz w:val="28"/>
      <w:szCs w:val="32"/>
      <w:lang w:val="en-US" w:eastAsia="de-DE"/>
    </w:rPr>
  </w:style>
  <w:style w:type="paragraph" w:styleId="Heading2">
    <w:name w:val="heading 2"/>
    <w:basedOn w:val="Normal"/>
    <w:next w:val="Normal"/>
    <w:link w:val="Heading2Char"/>
    <w:uiPriority w:val="9"/>
    <w:unhideWhenUsed/>
    <w:qFormat/>
    <w:rsid w:val="004F0109"/>
    <w:pPr>
      <w:keepNext/>
      <w:keepLines/>
      <w:numPr>
        <w:ilvl w:val="1"/>
        <w:numId w:val="36"/>
      </w:numPr>
      <w:spacing w:before="40" w:after="0"/>
      <w:outlineLvl w:val="1"/>
    </w:pPr>
    <w:rPr>
      <w:rFonts w:asciiTheme="majorHAnsi" w:eastAsiaTheme="majorEastAsia" w:hAnsiTheme="majorHAnsi" w:cstheme="majorBidi"/>
      <w:b/>
      <w:szCs w:val="26"/>
    </w:rPr>
  </w:style>
  <w:style w:type="paragraph" w:styleId="Heading3">
    <w:name w:val="heading 3"/>
    <w:basedOn w:val="Normal"/>
    <w:next w:val="Normal"/>
    <w:link w:val="Heading3Char"/>
    <w:unhideWhenUsed/>
    <w:qFormat/>
    <w:rsid w:val="00D754FA"/>
    <w:pPr>
      <w:keepNext/>
      <w:keepLines/>
      <w:numPr>
        <w:ilvl w:val="2"/>
        <w:numId w:val="36"/>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C509D2"/>
    <w:pPr>
      <w:keepNext/>
      <w:keepLines/>
      <w:numPr>
        <w:ilvl w:val="3"/>
        <w:numId w:val="36"/>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877"/>
    <w:pPr>
      <w:keepNext/>
      <w:keepLines/>
      <w:numPr>
        <w:ilvl w:val="4"/>
        <w:numId w:val="36"/>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66877"/>
    <w:pPr>
      <w:keepNext/>
      <w:keepLines/>
      <w:numPr>
        <w:ilvl w:val="5"/>
        <w:numId w:val="36"/>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66877"/>
    <w:pPr>
      <w:keepNext/>
      <w:keepLines/>
      <w:numPr>
        <w:ilvl w:val="6"/>
        <w:numId w:val="36"/>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66877"/>
    <w:pPr>
      <w:keepNext/>
      <w:keepLines/>
      <w:numPr>
        <w:ilvl w:val="7"/>
        <w:numId w:val="3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6877"/>
    <w:pPr>
      <w:keepNext/>
      <w:keepLines/>
      <w:numPr>
        <w:ilvl w:val="8"/>
        <w:numId w:val="3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6AE9"/>
    <w:rPr>
      <w:color w:val="467886" w:themeColor="hyperlink"/>
      <w:u w:val="single"/>
    </w:rPr>
  </w:style>
  <w:style w:type="character" w:styleId="UnresolvedMention">
    <w:name w:val="Unresolved Mention"/>
    <w:basedOn w:val="DefaultParagraphFont"/>
    <w:uiPriority w:val="99"/>
    <w:semiHidden/>
    <w:unhideWhenUsed/>
    <w:rsid w:val="00E56AE9"/>
    <w:rPr>
      <w:color w:val="605E5C"/>
      <w:shd w:val="clear" w:color="auto" w:fill="E1DFDD"/>
    </w:rPr>
  </w:style>
  <w:style w:type="paragraph" w:styleId="ListParagraph">
    <w:name w:val="List Paragraph"/>
    <w:basedOn w:val="Normal"/>
    <w:uiPriority w:val="34"/>
    <w:qFormat/>
    <w:rsid w:val="00781992"/>
    <w:pPr>
      <w:spacing w:after="0" w:line="240" w:lineRule="auto"/>
      <w:ind w:left="720"/>
      <w:contextualSpacing/>
    </w:pPr>
    <w:rPr>
      <w:rFonts w:ascii="Times New Roman" w:eastAsia="Times New Roman" w:hAnsi="Times New Roman" w:cs="Times New Roman"/>
      <w:lang w:val="en-US" w:eastAsia="en-GB"/>
    </w:rPr>
  </w:style>
  <w:style w:type="paragraph" w:styleId="TableofFigures">
    <w:name w:val="table of figures"/>
    <w:basedOn w:val="Normal"/>
    <w:next w:val="Normal"/>
    <w:uiPriority w:val="99"/>
    <w:rsid w:val="00C45BB6"/>
    <w:pPr>
      <w:spacing w:before="120" w:after="120" w:line="360" w:lineRule="auto"/>
      <w:ind w:left="482" w:hanging="482"/>
      <w:jc w:val="both"/>
    </w:pPr>
    <w:rPr>
      <w:rFonts w:ascii="Times New Roman" w:eastAsia="Times New Roman" w:hAnsi="Times New Roman" w:cs="Times New Roman"/>
      <w:spacing w:val="-2"/>
      <w:lang w:val="en-US" w:eastAsia="de-DE"/>
    </w:rPr>
  </w:style>
  <w:style w:type="character" w:customStyle="1" w:styleId="Heading1Char">
    <w:name w:val="Heading 1 Char"/>
    <w:basedOn w:val="DefaultParagraphFont"/>
    <w:link w:val="Heading1"/>
    <w:uiPriority w:val="9"/>
    <w:rsid w:val="00031D9F"/>
    <w:rPr>
      <w:rFonts w:ascii="Times New Roman" w:eastAsia="Times New Roman" w:hAnsi="Times New Roman" w:cs="Arial"/>
      <w:b/>
      <w:bCs/>
      <w:kern w:val="32"/>
      <w:sz w:val="28"/>
      <w:szCs w:val="32"/>
      <w:lang w:val="en-US" w:eastAsia="de-DE"/>
    </w:rPr>
  </w:style>
  <w:style w:type="paragraph" w:styleId="TOC1">
    <w:name w:val="toc 1"/>
    <w:basedOn w:val="Normal"/>
    <w:next w:val="Normal"/>
    <w:autoRedefine/>
    <w:uiPriority w:val="39"/>
    <w:rsid w:val="00A86727"/>
    <w:pPr>
      <w:tabs>
        <w:tab w:val="left" w:pos="0"/>
        <w:tab w:val="left" w:pos="284"/>
        <w:tab w:val="right" w:leader="dot" w:pos="8504"/>
      </w:tabs>
      <w:spacing w:before="280" w:after="120" w:line="360" w:lineRule="auto"/>
      <w:jc w:val="both"/>
    </w:pPr>
    <w:rPr>
      <w:rFonts w:ascii="Times New Roman" w:eastAsia="Times New Roman" w:hAnsi="Times New Roman" w:cs="Times New Roman"/>
      <w:b/>
      <w:lang w:val="en-US" w:eastAsia="de-DE"/>
    </w:rPr>
  </w:style>
  <w:style w:type="paragraph" w:styleId="TOC2">
    <w:name w:val="toc 2"/>
    <w:basedOn w:val="Normal"/>
    <w:next w:val="Normal"/>
    <w:autoRedefine/>
    <w:uiPriority w:val="39"/>
    <w:rsid w:val="00A86727"/>
    <w:pPr>
      <w:tabs>
        <w:tab w:val="left" w:pos="709"/>
        <w:tab w:val="left" w:pos="1134"/>
        <w:tab w:val="right" w:leader="dot" w:pos="8504"/>
      </w:tabs>
      <w:spacing w:before="40" w:after="120" w:line="360" w:lineRule="auto"/>
      <w:ind w:left="482" w:hanging="198"/>
      <w:jc w:val="both"/>
    </w:pPr>
    <w:rPr>
      <w:rFonts w:ascii="Times New Roman" w:eastAsia="Times New Roman" w:hAnsi="Times New Roman" w:cs="Times New Roman"/>
      <w:lang w:val="en-US" w:eastAsia="de-DE"/>
    </w:rPr>
  </w:style>
  <w:style w:type="paragraph" w:styleId="TOC3">
    <w:name w:val="toc 3"/>
    <w:basedOn w:val="Normal"/>
    <w:next w:val="Normal"/>
    <w:autoRedefine/>
    <w:uiPriority w:val="39"/>
    <w:rsid w:val="00A86727"/>
    <w:pPr>
      <w:tabs>
        <w:tab w:val="left" w:pos="1701"/>
        <w:tab w:val="left" w:pos="2225"/>
        <w:tab w:val="right" w:leader="dot" w:pos="8504"/>
      </w:tabs>
      <w:spacing w:after="120" w:line="360" w:lineRule="auto"/>
      <w:ind w:left="1276" w:hanging="567"/>
      <w:jc w:val="both"/>
    </w:pPr>
    <w:rPr>
      <w:rFonts w:ascii="Times New Roman" w:eastAsia="Times New Roman" w:hAnsi="Times New Roman" w:cs="Times New Roman"/>
      <w:lang w:val="en-US" w:eastAsia="de-DE"/>
    </w:rPr>
  </w:style>
  <w:style w:type="paragraph" w:customStyle="1" w:styleId="Unsichtbareberschrift">
    <w:name w:val="Unsichtbare Überschrift"/>
    <w:basedOn w:val="Normal"/>
    <w:qFormat/>
    <w:rsid w:val="00A86727"/>
    <w:pPr>
      <w:spacing w:before="120" w:after="120" w:line="360" w:lineRule="auto"/>
      <w:jc w:val="both"/>
    </w:pPr>
    <w:rPr>
      <w:rFonts w:ascii="Times New Roman" w:eastAsia="Times New Roman" w:hAnsi="Times New Roman" w:cs="Arial"/>
      <w:b/>
      <w:bCs/>
      <w:kern w:val="32"/>
      <w:sz w:val="32"/>
      <w:szCs w:val="32"/>
      <w:lang w:val="en-US" w:eastAsia="de-DE"/>
    </w:rPr>
  </w:style>
  <w:style w:type="character" w:styleId="CommentReference">
    <w:name w:val="annotation reference"/>
    <w:basedOn w:val="DefaultParagraphFont"/>
    <w:uiPriority w:val="99"/>
    <w:semiHidden/>
    <w:unhideWhenUsed/>
    <w:rsid w:val="00BF2E61"/>
    <w:rPr>
      <w:sz w:val="16"/>
      <w:szCs w:val="16"/>
    </w:rPr>
  </w:style>
  <w:style w:type="paragraph" w:styleId="CommentText">
    <w:name w:val="annotation text"/>
    <w:basedOn w:val="Normal"/>
    <w:link w:val="CommentTextChar"/>
    <w:uiPriority w:val="99"/>
    <w:unhideWhenUsed/>
    <w:rsid w:val="00BF2E61"/>
    <w:pPr>
      <w:spacing w:line="240" w:lineRule="auto"/>
    </w:pPr>
    <w:rPr>
      <w:sz w:val="20"/>
      <w:szCs w:val="20"/>
    </w:rPr>
  </w:style>
  <w:style w:type="character" w:customStyle="1" w:styleId="CommentTextChar">
    <w:name w:val="Comment Text Char"/>
    <w:basedOn w:val="DefaultParagraphFont"/>
    <w:link w:val="CommentText"/>
    <w:uiPriority w:val="99"/>
    <w:rsid w:val="00BF2E61"/>
    <w:rPr>
      <w:sz w:val="20"/>
      <w:szCs w:val="20"/>
    </w:rPr>
  </w:style>
  <w:style w:type="paragraph" w:styleId="CommentSubject">
    <w:name w:val="annotation subject"/>
    <w:basedOn w:val="CommentText"/>
    <w:next w:val="CommentText"/>
    <w:link w:val="CommentSubjectChar"/>
    <w:uiPriority w:val="99"/>
    <w:semiHidden/>
    <w:unhideWhenUsed/>
    <w:rsid w:val="00BF2E61"/>
    <w:rPr>
      <w:b/>
      <w:bCs/>
    </w:rPr>
  </w:style>
  <w:style w:type="character" w:customStyle="1" w:styleId="CommentSubjectChar">
    <w:name w:val="Comment Subject Char"/>
    <w:basedOn w:val="CommentTextChar"/>
    <w:link w:val="CommentSubject"/>
    <w:uiPriority w:val="99"/>
    <w:semiHidden/>
    <w:rsid w:val="00BF2E61"/>
    <w:rPr>
      <w:b/>
      <w:bCs/>
      <w:sz w:val="20"/>
      <w:szCs w:val="20"/>
    </w:rPr>
  </w:style>
  <w:style w:type="character" w:customStyle="1" w:styleId="Heading2Char">
    <w:name w:val="Heading 2 Char"/>
    <w:basedOn w:val="DefaultParagraphFont"/>
    <w:link w:val="Heading2"/>
    <w:uiPriority w:val="9"/>
    <w:rsid w:val="004F0109"/>
    <w:rPr>
      <w:rFonts w:asciiTheme="majorHAnsi" w:eastAsiaTheme="majorEastAsia" w:hAnsiTheme="majorHAnsi" w:cstheme="majorBidi"/>
      <w:b/>
      <w:szCs w:val="26"/>
    </w:rPr>
  </w:style>
  <w:style w:type="character" w:customStyle="1" w:styleId="Heading3Char">
    <w:name w:val="Heading 3 Char"/>
    <w:basedOn w:val="DefaultParagraphFont"/>
    <w:link w:val="Heading3"/>
    <w:rsid w:val="00D754FA"/>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E3E94"/>
    <w:rPr>
      <w:rFonts w:ascii="Times New Roman" w:hAnsi="Times New Roman" w:cs="Times New Roman"/>
    </w:rPr>
  </w:style>
  <w:style w:type="paragraph" w:styleId="Header">
    <w:name w:val="header"/>
    <w:basedOn w:val="Normal"/>
    <w:link w:val="HeaderChar"/>
    <w:uiPriority w:val="99"/>
    <w:unhideWhenUsed/>
    <w:rsid w:val="007A493A"/>
    <w:pPr>
      <w:tabs>
        <w:tab w:val="center" w:pos="4252"/>
        <w:tab w:val="right" w:pos="8504"/>
      </w:tabs>
      <w:spacing w:after="0" w:line="240" w:lineRule="auto"/>
    </w:pPr>
  </w:style>
  <w:style w:type="character" w:customStyle="1" w:styleId="HeaderChar">
    <w:name w:val="Header Char"/>
    <w:basedOn w:val="DefaultParagraphFont"/>
    <w:link w:val="Header"/>
    <w:uiPriority w:val="99"/>
    <w:rsid w:val="00E54D45"/>
  </w:style>
  <w:style w:type="paragraph" w:styleId="Footer">
    <w:name w:val="footer"/>
    <w:basedOn w:val="Normal"/>
    <w:link w:val="FooterChar"/>
    <w:uiPriority w:val="99"/>
    <w:unhideWhenUsed/>
    <w:rsid w:val="007A493A"/>
    <w:pPr>
      <w:tabs>
        <w:tab w:val="center" w:pos="4252"/>
        <w:tab w:val="right" w:pos="8504"/>
      </w:tabs>
      <w:spacing w:after="0" w:line="240" w:lineRule="auto"/>
    </w:pPr>
  </w:style>
  <w:style w:type="character" w:customStyle="1" w:styleId="FooterChar">
    <w:name w:val="Footer Char"/>
    <w:basedOn w:val="DefaultParagraphFont"/>
    <w:link w:val="Footer"/>
    <w:uiPriority w:val="99"/>
    <w:rsid w:val="00E54D45"/>
  </w:style>
  <w:style w:type="character" w:styleId="PageNumber">
    <w:name w:val="page number"/>
    <w:basedOn w:val="DefaultParagraphFont"/>
    <w:uiPriority w:val="99"/>
    <w:semiHidden/>
    <w:unhideWhenUsed/>
    <w:rsid w:val="00E54D45"/>
  </w:style>
  <w:style w:type="character" w:customStyle="1" w:styleId="Heading4Char">
    <w:name w:val="Heading 4 Char"/>
    <w:basedOn w:val="DefaultParagraphFont"/>
    <w:link w:val="Heading4"/>
    <w:uiPriority w:val="9"/>
    <w:rsid w:val="00C509D2"/>
    <w:rPr>
      <w:rFonts w:asciiTheme="majorHAnsi" w:eastAsiaTheme="majorEastAsia" w:hAnsiTheme="majorHAnsi" w:cstheme="majorBidi"/>
      <w:i/>
      <w:iCs/>
      <w:color w:val="0F4761" w:themeColor="accent1" w:themeShade="BF"/>
    </w:rPr>
  </w:style>
  <w:style w:type="numbering" w:customStyle="1" w:styleId="Style1">
    <w:name w:val="Style1"/>
    <w:uiPriority w:val="99"/>
    <w:rsid w:val="00114977"/>
    <w:pPr>
      <w:numPr>
        <w:numId w:val="31"/>
      </w:numPr>
    </w:pPr>
  </w:style>
  <w:style w:type="numbering" w:customStyle="1" w:styleId="CurrentList1">
    <w:name w:val="Current List1"/>
    <w:uiPriority w:val="99"/>
    <w:rsid w:val="00370C37"/>
    <w:pPr>
      <w:numPr>
        <w:numId w:val="33"/>
      </w:numPr>
    </w:pPr>
  </w:style>
  <w:style w:type="character" w:customStyle="1" w:styleId="Heading5Char">
    <w:name w:val="Heading 5 Char"/>
    <w:basedOn w:val="DefaultParagraphFont"/>
    <w:link w:val="Heading5"/>
    <w:uiPriority w:val="9"/>
    <w:semiHidden/>
    <w:rsid w:val="0026687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266877"/>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26687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668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6877"/>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65D49"/>
    <w:rPr>
      <w:color w:val="666666"/>
    </w:rPr>
  </w:style>
  <w:style w:type="paragraph" w:styleId="Caption">
    <w:name w:val="caption"/>
    <w:basedOn w:val="Normal"/>
    <w:next w:val="Normal"/>
    <w:qFormat/>
    <w:rsid w:val="009D1B1C"/>
    <w:pPr>
      <w:spacing w:before="120" w:after="240" w:line="360" w:lineRule="auto"/>
      <w:jc w:val="center"/>
    </w:pPr>
    <w:rPr>
      <w:rFonts w:ascii="Times New Roman" w:eastAsia="Times New Roman" w:hAnsi="Times New Roman" w:cs="Times New Roman"/>
      <w:bCs/>
      <w:szCs w:val="20"/>
      <w:lang w:val="en-US" w:eastAsia="de-DE"/>
    </w:rPr>
  </w:style>
  <w:style w:type="character" w:customStyle="1" w:styleId="normaltextrun">
    <w:name w:val="normaltextrun"/>
    <w:basedOn w:val="DefaultParagraphFont"/>
    <w:rsid w:val="00B8337C"/>
  </w:style>
  <w:style w:type="character" w:customStyle="1" w:styleId="eop">
    <w:name w:val="eop"/>
    <w:basedOn w:val="DefaultParagraphFont"/>
    <w:rsid w:val="00B83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webSettings" Target="webSettings.xml"/><Relationship Id="rIdDoi1" Type="http://schemas.openxmlformats.org/officeDocument/2006/relationships/hyperlink" Target="https://doi.org/10.1016/j.jfineco.2020.07.002" TargetMode="External"/><Relationship Id="rIdDoi2" Type="http://schemas.openxmlformats.org/officeDocument/2006/relationships/hyperlink" Target="https://doi.org/10.1016/0304-405X(86)90065-6" TargetMode="External"/><Relationship Id="rIdDoi3" Type="http://schemas.openxmlformats.org/officeDocument/2006/relationships/hyperlink" Target="https://doi.org/10.2307/4126742" TargetMode="External"/><Relationship Id="rIdDoi4" Type="http://schemas.openxmlformats.org/officeDocument/2006/relationships/hyperlink" Target="https://doi.org/10.1111/0022-1082.00335" TargetMode="External"/><Relationship Id="rIdDoi5" Type="http://schemas.openxmlformats.org/officeDocument/2006/relationships/hyperlink" Target="https://doi.org/10.1093/rfs/7.1.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12BB566EBD991428E7980F1E6942682" ma:contentTypeVersion="7" ma:contentTypeDescription="Criar um novo documento." ma:contentTypeScope="" ma:versionID="a85ca32d53d33f5fe36eee1030d43a8e">
  <xsd:schema xmlns:xsd="http://www.w3.org/2001/XMLSchema" xmlns:xs="http://www.w3.org/2001/XMLSchema" xmlns:p="http://schemas.microsoft.com/office/2006/metadata/properties" xmlns:ns2="7819a277-b60c-48a2-99f2-59ceb487b933" targetNamespace="http://schemas.microsoft.com/office/2006/metadata/properties" ma:root="true" ma:fieldsID="770bd22518bc1e4142f56832e7911f5e" ns2:_="">
    <xsd:import namespace="7819a277-b60c-48a2-99f2-59ceb487b9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9a277-b60c-48a2-99f2-59ceb487b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A3CFA8-E1F4-4FD5-A7F7-B5D69E6F0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9a277-b60c-48a2-99f2-59ceb487b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758B3-8F53-4F3A-8A79-E12D03A499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10E2DB-91E6-415A-ADF8-1ED226D6E817}">
  <ds:schemaRefs>
    <ds:schemaRef ds:uri="http://schemas.openxmlformats.org/officeDocument/2006/bibliography"/>
  </ds:schemaRefs>
</ds:datastoreItem>
</file>

<file path=customXml/itemProps4.xml><?xml version="1.0" encoding="utf-8"?>
<ds:datastoreItem xmlns:ds="http://schemas.openxmlformats.org/officeDocument/2006/customXml" ds:itemID="{5219A6DC-5E03-429C-BBC1-4D73D06059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5862</Words>
  <Characters>33416</Characters>
  <Application>Microsoft Office Word</Application>
  <DocSecurity>4</DocSecurity>
  <Lines>278</Lines>
  <Paragraphs>78</Paragraphs>
  <ScaleCrop>false</ScaleCrop>
  <Company/>
  <LinksUpToDate>false</LinksUpToDate>
  <CharactersWithSpaces>39200</CharactersWithSpaces>
  <SharedDoc>false</SharedDoc>
  <HLinks>
    <vt:vector size="186" baseType="variant">
      <vt:variant>
        <vt:i4>1048628</vt:i4>
      </vt:variant>
      <vt:variant>
        <vt:i4>194</vt:i4>
      </vt:variant>
      <vt:variant>
        <vt:i4>0</vt:i4>
      </vt:variant>
      <vt:variant>
        <vt:i4>5</vt:i4>
      </vt:variant>
      <vt:variant>
        <vt:lpwstr/>
      </vt:variant>
      <vt:variant>
        <vt:lpwstr>_Toc223276215</vt:lpwstr>
      </vt:variant>
      <vt:variant>
        <vt:i4>1048628</vt:i4>
      </vt:variant>
      <vt:variant>
        <vt:i4>188</vt:i4>
      </vt:variant>
      <vt:variant>
        <vt:i4>0</vt:i4>
      </vt:variant>
      <vt:variant>
        <vt:i4>5</vt:i4>
      </vt:variant>
      <vt:variant>
        <vt:lpwstr/>
      </vt:variant>
      <vt:variant>
        <vt:lpwstr>_Toc223276214</vt:lpwstr>
      </vt:variant>
      <vt:variant>
        <vt:i4>1507383</vt:i4>
      </vt:variant>
      <vt:variant>
        <vt:i4>179</vt:i4>
      </vt:variant>
      <vt:variant>
        <vt:i4>0</vt:i4>
      </vt:variant>
      <vt:variant>
        <vt:i4>5</vt:i4>
      </vt:variant>
      <vt:variant>
        <vt:lpwstr/>
      </vt:variant>
      <vt:variant>
        <vt:lpwstr>_Toc223276163</vt:lpwstr>
      </vt:variant>
      <vt:variant>
        <vt:i4>1507383</vt:i4>
      </vt:variant>
      <vt:variant>
        <vt:i4>173</vt:i4>
      </vt:variant>
      <vt:variant>
        <vt:i4>0</vt:i4>
      </vt:variant>
      <vt:variant>
        <vt:i4>5</vt:i4>
      </vt:variant>
      <vt:variant>
        <vt:lpwstr/>
      </vt:variant>
      <vt:variant>
        <vt:lpwstr>_Toc223276162</vt:lpwstr>
      </vt:variant>
      <vt:variant>
        <vt:i4>1507383</vt:i4>
      </vt:variant>
      <vt:variant>
        <vt:i4>167</vt:i4>
      </vt:variant>
      <vt:variant>
        <vt:i4>0</vt:i4>
      </vt:variant>
      <vt:variant>
        <vt:i4>5</vt:i4>
      </vt:variant>
      <vt:variant>
        <vt:lpwstr/>
      </vt:variant>
      <vt:variant>
        <vt:lpwstr>_Toc223276161</vt:lpwstr>
      </vt:variant>
      <vt:variant>
        <vt:i4>1507383</vt:i4>
      </vt:variant>
      <vt:variant>
        <vt:i4>161</vt:i4>
      </vt:variant>
      <vt:variant>
        <vt:i4>0</vt:i4>
      </vt:variant>
      <vt:variant>
        <vt:i4>5</vt:i4>
      </vt:variant>
      <vt:variant>
        <vt:lpwstr/>
      </vt:variant>
      <vt:variant>
        <vt:lpwstr>_Toc223276160</vt:lpwstr>
      </vt:variant>
      <vt:variant>
        <vt:i4>1310775</vt:i4>
      </vt:variant>
      <vt:variant>
        <vt:i4>155</vt:i4>
      </vt:variant>
      <vt:variant>
        <vt:i4>0</vt:i4>
      </vt:variant>
      <vt:variant>
        <vt:i4>5</vt:i4>
      </vt:variant>
      <vt:variant>
        <vt:lpwstr/>
      </vt:variant>
      <vt:variant>
        <vt:lpwstr>_Toc223276159</vt:lpwstr>
      </vt:variant>
      <vt:variant>
        <vt:i4>1310775</vt:i4>
      </vt:variant>
      <vt:variant>
        <vt:i4>149</vt:i4>
      </vt:variant>
      <vt:variant>
        <vt:i4>0</vt:i4>
      </vt:variant>
      <vt:variant>
        <vt:i4>5</vt:i4>
      </vt:variant>
      <vt:variant>
        <vt:lpwstr/>
      </vt:variant>
      <vt:variant>
        <vt:lpwstr>_Toc223276158</vt:lpwstr>
      </vt:variant>
      <vt:variant>
        <vt:i4>1310775</vt:i4>
      </vt:variant>
      <vt:variant>
        <vt:i4>143</vt:i4>
      </vt:variant>
      <vt:variant>
        <vt:i4>0</vt:i4>
      </vt:variant>
      <vt:variant>
        <vt:i4>5</vt:i4>
      </vt:variant>
      <vt:variant>
        <vt:lpwstr/>
      </vt:variant>
      <vt:variant>
        <vt:lpwstr>_Toc223276157</vt:lpwstr>
      </vt:variant>
      <vt:variant>
        <vt:i4>1310775</vt:i4>
      </vt:variant>
      <vt:variant>
        <vt:i4>137</vt:i4>
      </vt:variant>
      <vt:variant>
        <vt:i4>0</vt:i4>
      </vt:variant>
      <vt:variant>
        <vt:i4>5</vt:i4>
      </vt:variant>
      <vt:variant>
        <vt:lpwstr/>
      </vt:variant>
      <vt:variant>
        <vt:lpwstr>_Toc223276156</vt:lpwstr>
      </vt:variant>
      <vt:variant>
        <vt:i4>1507378</vt:i4>
      </vt:variant>
      <vt:variant>
        <vt:i4>128</vt:i4>
      </vt:variant>
      <vt:variant>
        <vt:i4>0</vt:i4>
      </vt:variant>
      <vt:variant>
        <vt:i4>5</vt:i4>
      </vt:variant>
      <vt:variant>
        <vt:lpwstr/>
      </vt:variant>
      <vt:variant>
        <vt:lpwstr>_Toc223276469</vt:lpwstr>
      </vt:variant>
      <vt:variant>
        <vt:i4>1507378</vt:i4>
      </vt:variant>
      <vt:variant>
        <vt:i4>122</vt:i4>
      </vt:variant>
      <vt:variant>
        <vt:i4>0</vt:i4>
      </vt:variant>
      <vt:variant>
        <vt:i4>5</vt:i4>
      </vt:variant>
      <vt:variant>
        <vt:lpwstr/>
      </vt:variant>
      <vt:variant>
        <vt:lpwstr>_Toc223276468</vt:lpwstr>
      </vt:variant>
      <vt:variant>
        <vt:i4>1507378</vt:i4>
      </vt:variant>
      <vt:variant>
        <vt:i4>116</vt:i4>
      </vt:variant>
      <vt:variant>
        <vt:i4>0</vt:i4>
      </vt:variant>
      <vt:variant>
        <vt:i4>5</vt:i4>
      </vt:variant>
      <vt:variant>
        <vt:lpwstr/>
      </vt:variant>
      <vt:variant>
        <vt:lpwstr>_Toc223276467</vt:lpwstr>
      </vt:variant>
      <vt:variant>
        <vt:i4>1507378</vt:i4>
      </vt:variant>
      <vt:variant>
        <vt:i4>110</vt:i4>
      </vt:variant>
      <vt:variant>
        <vt:i4>0</vt:i4>
      </vt:variant>
      <vt:variant>
        <vt:i4>5</vt:i4>
      </vt:variant>
      <vt:variant>
        <vt:lpwstr/>
      </vt:variant>
      <vt:variant>
        <vt:lpwstr>_Toc223276466</vt:lpwstr>
      </vt:variant>
      <vt:variant>
        <vt:i4>1507378</vt:i4>
      </vt:variant>
      <vt:variant>
        <vt:i4>104</vt:i4>
      </vt:variant>
      <vt:variant>
        <vt:i4>0</vt:i4>
      </vt:variant>
      <vt:variant>
        <vt:i4>5</vt:i4>
      </vt:variant>
      <vt:variant>
        <vt:lpwstr/>
      </vt:variant>
      <vt:variant>
        <vt:lpwstr>_Toc223276465</vt:lpwstr>
      </vt:variant>
      <vt:variant>
        <vt:i4>1507378</vt:i4>
      </vt:variant>
      <vt:variant>
        <vt:i4>98</vt:i4>
      </vt:variant>
      <vt:variant>
        <vt:i4>0</vt:i4>
      </vt:variant>
      <vt:variant>
        <vt:i4>5</vt:i4>
      </vt:variant>
      <vt:variant>
        <vt:lpwstr/>
      </vt:variant>
      <vt:variant>
        <vt:lpwstr>_Toc223276464</vt:lpwstr>
      </vt:variant>
      <vt:variant>
        <vt:i4>1507378</vt:i4>
      </vt:variant>
      <vt:variant>
        <vt:i4>92</vt:i4>
      </vt:variant>
      <vt:variant>
        <vt:i4>0</vt:i4>
      </vt:variant>
      <vt:variant>
        <vt:i4>5</vt:i4>
      </vt:variant>
      <vt:variant>
        <vt:lpwstr/>
      </vt:variant>
      <vt:variant>
        <vt:lpwstr>_Toc223276463</vt:lpwstr>
      </vt:variant>
      <vt:variant>
        <vt:i4>1507378</vt:i4>
      </vt:variant>
      <vt:variant>
        <vt:i4>86</vt:i4>
      </vt:variant>
      <vt:variant>
        <vt:i4>0</vt:i4>
      </vt:variant>
      <vt:variant>
        <vt:i4>5</vt:i4>
      </vt:variant>
      <vt:variant>
        <vt:lpwstr/>
      </vt:variant>
      <vt:variant>
        <vt:lpwstr>_Toc223276462</vt:lpwstr>
      </vt:variant>
      <vt:variant>
        <vt:i4>1507378</vt:i4>
      </vt:variant>
      <vt:variant>
        <vt:i4>80</vt:i4>
      </vt:variant>
      <vt:variant>
        <vt:i4>0</vt:i4>
      </vt:variant>
      <vt:variant>
        <vt:i4>5</vt:i4>
      </vt:variant>
      <vt:variant>
        <vt:lpwstr/>
      </vt:variant>
      <vt:variant>
        <vt:lpwstr>_Toc223276461</vt:lpwstr>
      </vt:variant>
      <vt:variant>
        <vt:i4>1507378</vt:i4>
      </vt:variant>
      <vt:variant>
        <vt:i4>74</vt:i4>
      </vt:variant>
      <vt:variant>
        <vt:i4>0</vt:i4>
      </vt:variant>
      <vt:variant>
        <vt:i4>5</vt:i4>
      </vt:variant>
      <vt:variant>
        <vt:lpwstr/>
      </vt:variant>
      <vt:variant>
        <vt:lpwstr>_Toc223276460</vt:lpwstr>
      </vt:variant>
      <vt:variant>
        <vt:i4>1310770</vt:i4>
      </vt:variant>
      <vt:variant>
        <vt:i4>68</vt:i4>
      </vt:variant>
      <vt:variant>
        <vt:i4>0</vt:i4>
      </vt:variant>
      <vt:variant>
        <vt:i4>5</vt:i4>
      </vt:variant>
      <vt:variant>
        <vt:lpwstr/>
      </vt:variant>
      <vt:variant>
        <vt:lpwstr>_Toc223276459</vt:lpwstr>
      </vt:variant>
      <vt:variant>
        <vt:i4>1310770</vt:i4>
      </vt:variant>
      <vt:variant>
        <vt:i4>62</vt:i4>
      </vt:variant>
      <vt:variant>
        <vt:i4>0</vt:i4>
      </vt:variant>
      <vt:variant>
        <vt:i4>5</vt:i4>
      </vt:variant>
      <vt:variant>
        <vt:lpwstr/>
      </vt:variant>
      <vt:variant>
        <vt:lpwstr>_Toc223276458</vt:lpwstr>
      </vt:variant>
      <vt:variant>
        <vt:i4>1310770</vt:i4>
      </vt:variant>
      <vt:variant>
        <vt:i4>56</vt:i4>
      </vt:variant>
      <vt:variant>
        <vt:i4>0</vt:i4>
      </vt:variant>
      <vt:variant>
        <vt:i4>5</vt:i4>
      </vt:variant>
      <vt:variant>
        <vt:lpwstr/>
      </vt:variant>
      <vt:variant>
        <vt:lpwstr>_Toc223276457</vt:lpwstr>
      </vt:variant>
      <vt:variant>
        <vt:i4>1310770</vt:i4>
      </vt:variant>
      <vt:variant>
        <vt:i4>50</vt:i4>
      </vt:variant>
      <vt:variant>
        <vt:i4>0</vt:i4>
      </vt:variant>
      <vt:variant>
        <vt:i4>5</vt:i4>
      </vt:variant>
      <vt:variant>
        <vt:lpwstr/>
      </vt:variant>
      <vt:variant>
        <vt:lpwstr>_Toc223276456</vt:lpwstr>
      </vt:variant>
      <vt:variant>
        <vt:i4>1310770</vt:i4>
      </vt:variant>
      <vt:variant>
        <vt:i4>44</vt:i4>
      </vt:variant>
      <vt:variant>
        <vt:i4>0</vt:i4>
      </vt:variant>
      <vt:variant>
        <vt:i4>5</vt:i4>
      </vt:variant>
      <vt:variant>
        <vt:lpwstr/>
      </vt:variant>
      <vt:variant>
        <vt:lpwstr>_Toc223276455</vt:lpwstr>
      </vt:variant>
      <vt:variant>
        <vt:i4>1310770</vt:i4>
      </vt:variant>
      <vt:variant>
        <vt:i4>38</vt:i4>
      </vt:variant>
      <vt:variant>
        <vt:i4>0</vt:i4>
      </vt:variant>
      <vt:variant>
        <vt:i4>5</vt:i4>
      </vt:variant>
      <vt:variant>
        <vt:lpwstr/>
      </vt:variant>
      <vt:variant>
        <vt:lpwstr>_Toc223276454</vt:lpwstr>
      </vt:variant>
      <vt:variant>
        <vt:i4>1310770</vt:i4>
      </vt:variant>
      <vt:variant>
        <vt:i4>32</vt:i4>
      </vt:variant>
      <vt:variant>
        <vt:i4>0</vt:i4>
      </vt:variant>
      <vt:variant>
        <vt:i4>5</vt:i4>
      </vt:variant>
      <vt:variant>
        <vt:lpwstr/>
      </vt:variant>
      <vt:variant>
        <vt:lpwstr>_Toc223276453</vt:lpwstr>
      </vt:variant>
      <vt:variant>
        <vt:i4>1310770</vt:i4>
      </vt:variant>
      <vt:variant>
        <vt:i4>26</vt:i4>
      </vt:variant>
      <vt:variant>
        <vt:i4>0</vt:i4>
      </vt:variant>
      <vt:variant>
        <vt:i4>5</vt:i4>
      </vt:variant>
      <vt:variant>
        <vt:lpwstr/>
      </vt:variant>
      <vt:variant>
        <vt:lpwstr>_Toc223276452</vt:lpwstr>
      </vt:variant>
      <vt:variant>
        <vt:i4>1310770</vt:i4>
      </vt:variant>
      <vt:variant>
        <vt:i4>20</vt:i4>
      </vt:variant>
      <vt:variant>
        <vt:i4>0</vt:i4>
      </vt:variant>
      <vt:variant>
        <vt:i4>5</vt:i4>
      </vt:variant>
      <vt:variant>
        <vt:lpwstr/>
      </vt:variant>
      <vt:variant>
        <vt:lpwstr>_Toc223276451</vt:lpwstr>
      </vt:variant>
      <vt:variant>
        <vt:i4>1310770</vt:i4>
      </vt:variant>
      <vt:variant>
        <vt:i4>14</vt:i4>
      </vt:variant>
      <vt:variant>
        <vt:i4>0</vt:i4>
      </vt:variant>
      <vt:variant>
        <vt:i4>5</vt:i4>
      </vt:variant>
      <vt:variant>
        <vt:lpwstr/>
      </vt:variant>
      <vt:variant>
        <vt:lpwstr>_Toc223276450</vt:lpwstr>
      </vt:variant>
      <vt:variant>
        <vt:i4>1376306</vt:i4>
      </vt:variant>
      <vt:variant>
        <vt:i4>8</vt:i4>
      </vt:variant>
      <vt:variant>
        <vt:i4>0</vt:i4>
      </vt:variant>
      <vt:variant>
        <vt:i4>5</vt:i4>
      </vt:variant>
      <vt:variant>
        <vt:lpwstr/>
      </vt:variant>
      <vt:variant>
        <vt:lpwstr>_Toc223276449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Endreß</dc:creator>
  <cp:keywords/>
  <dc:description/>
  <cp:lastModifiedBy>Julian Endreß</cp:lastModifiedBy>
  <cp:revision>552</cp:revision>
  <dcterms:created xsi:type="dcterms:W3CDTF">2026-02-10T12:29:00Z</dcterms:created>
  <dcterms:modified xsi:type="dcterms:W3CDTF">2026-03-01T18:51:00Z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0x010100212BB566EBD991428E7980F1E6942682</vt:lpwstr>
  </property>
</Properties>
</file>