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emf" ContentType="image/x-emf"/>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3261"/>
      </w:pPr>
      <w:r>
        <w:rPr>
          <w:b w:val="false"/>
        </w:rPr>
      </w:r>
      <w:r>
        <mc:AlternateContent>
          <mc:Choice Requires="wpg">
            <w:drawing>
              <wp:inline xmlns:wp="http://schemas.openxmlformats.org/drawingml/2006/wordprocessingDrawing" distT="0" distB="0" distL="0" distR="0">
                <wp:extent cx="1267912" cy="1357630"/>
                <wp:effectExtent l="0" t="0" r="2540" b="1270"/>
                <wp:docPr id="5" name="Picture 2"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4" name="Picture 2" hidden="0"/>
                        <pic:cNvPicPr>
                          <a:picLocks noChangeAspect="1"/>
                        </pic:cNvPicPr>
                        <pic:nvPr isPhoto="0" userDrawn="0"/>
                      </pic:nvPicPr>
                      <pic:blipFill>
                        <a:blip r:embed="rId12"/>
                        <a:stretch/>
                      </pic:blipFill>
                      <pic:spPr bwMode="auto">
                        <a:xfrm>
                          <a:off x="0" y="0"/>
                          <a:ext cx="1301230" cy="1393307"/>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mso-wrap-distance-left:0.0pt;mso-wrap-distance-top:0.0pt;mso-wrap-distance-right:0.0pt;mso-wrap-distance-bottom:0.0pt;width:99.8pt;height:106.9pt;">
                <v:path textboxrect="0,0,0,0"/>
                <v:imagedata r:id="rId12" o:title=""/>
              </v:shape>
            </w:pict>
          </mc:Fallback>
        </mc:AlternateContent>
      </w:r>
      <w:r/>
    </w:p>
    <w:p>
      <w:pPr>
        <w:pStyle w:val="841"/>
      </w:pPr>
      <w:r>
        <w:t xml:space="preserve">UMR 5271 CNRS – Université savoie mont blanc</w:t>
      </w:r>
      <w:r/>
    </w:p>
    <w:p>
      <w:pPr>
        <w:pStyle w:val="810"/>
      </w:pPr>
      <w:r/>
      <w:sdt>
        <w:sdtPr>
          <w:alias w:val="Titre "/>
          <w15:appearance w15:val="boundingBox"/>
          <w:id w:val="264884223"/>
          <w:placeholder>
            <w:docPart w:val="E3D0E65C50394613A2847895260BA2F8"/>
          </w:placeholder>
          <w:tag w:val=""/>
          <w:text/>
          <w:rPr/>
        </w:sdtPr>
        <w:sdtContent>
          <w:r>
            <w:t xml:space="preserve">Livret d’Accueil du </w:t>
          </w:r>
          <w:r>
            <w:rPr>
              <w:b w:val="false"/>
            </w:rPr>
            <w:t xml:space="preserve">LOCIE</w:t>
          </w:r>
        </w:sdtContent>
      </w:sdt>
      <w:r/>
      <w:r/>
    </w:p>
    <w:p>
      <w:pPr>
        <w:jc w:val="center"/>
      </w:pPr>
      <w:r/>
      <w:hyperlink r:id="rId13" w:tooltip="https://www.univ-smb.fr/locie/" w:history="1">
        <w:r>
          <w:rPr>
            <w:rStyle w:val="812"/>
          </w:rPr>
          <w:t xml:space="preserve">https://www.univ-smb.fr/locie/</w:t>
        </w:r>
      </w:hyperlink>
      <w:r>
        <w:t xml:space="preserve"> </w:t>
      </w:r>
      <w:r/>
    </w:p>
    <w:p>
      <w:pPr>
        <w:ind w:left="1701"/>
        <w:rPr>
          <w:highlight w:val="none"/>
        </w:rPr>
      </w:pPr>
      <w:r>
        <mc:AlternateContent>
          <mc:Choice Requires="wpg">
            <w:drawing>
              <wp:inline xmlns:wp="http://schemas.openxmlformats.org/drawingml/2006/wordprocessingDrawing" distT="0" distB="0" distL="0" distR="0">
                <wp:extent cx="3848430" cy="2884756"/>
                <wp:effectExtent l="0" t="0" r="0" b="0"/>
                <wp:docPr id="6" name="Image 6"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5" name="Image 6" hidden="0"/>
                        <pic:cNvPicPr>
                          <a:picLocks noChangeAspect="1"/>
                        </pic:cNvPicPr>
                        <pic:nvPr isPhoto="0" userDrawn="0"/>
                      </pic:nvPicPr>
                      <pic:blipFill>
                        <a:blip r:embed="rId14"/>
                        <a:stretch/>
                      </pic:blipFill>
                      <pic:spPr bwMode="auto">
                        <a:xfrm>
                          <a:off x="0" y="0"/>
                          <a:ext cx="3862593" cy="289537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mso-wrap-distance-left:0.0pt;mso-wrap-distance-top:0.0pt;mso-wrap-distance-right:0.0pt;mso-wrap-distance-bottom:0.0pt;width:303.0pt;height:227.1pt;" stroked="false">
                <v:path textboxrect="0,0,0,0"/>
                <v:imagedata r:id="rId14" o:title=""/>
              </v:shape>
            </w:pict>
          </mc:Fallback>
        </mc:AlternateContent>
      </w:r>
      <w:r/>
    </w:p>
    <w:p>
      <w:pPr>
        <w:ind w:left="1701"/>
      </w:pPr>
      <w:r>
        <w:rPr>
          <w:highlight w:val="none"/>
        </w:rPr>
      </w:r>
      <w:r>
        <w:rPr>
          <w:highlight w:val="none"/>
        </w:rPr>
      </w:r>
      <w:r/>
    </w:p>
    <w:p>
      <w:pPr>
        <w:tabs>
          <w:tab w:val="left" w:pos="3872" w:leader="none"/>
        </w:tabs>
      </w:pPr>
      <w:r/>
      <w:r/>
    </w:p>
    <w:p>
      <w:pPr>
        <w:pStyle w:val="851"/>
        <w:tabs>
          <w:tab w:val="right" w:pos="7797" w:leader="none"/>
        </w:tabs>
      </w:pPr>
      <w:r/>
      <w:sdt>
        <w:sdtPr>
          <w:alias w:val="Version"/>
          <w15:appearance w15:val="boundingBox"/>
          <w:id w:val="155738898"/>
          <w:placeholder>
            <w:docPart w:val="DEBD074585A248B88064EA13C228BF7D"/>
          </w:placeholder>
          <w:tag w:val=""/>
          <w:text/>
          <w:rPr/>
        </w:sdtPr>
        <w:sdtContent>
          <w:r>
            <w:t xml:space="preserve">Version : 1.0</w:t>
          </w:r>
        </w:sdtContent>
      </w:sdt>
      <w:r>
        <w:tab/>
      </w:r>
      <w:r/>
    </w:p>
    <w:p>
      <w:pPr>
        <w:pStyle w:val="851"/>
        <w:tabs>
          <w:tab w:val="center" w:pos="4606" w:leader="none"/>
        </w:tabs>
      </w:pPr>
      <w:r>
        <w:t xml:space="preserve">du : </w:t>
      </w:r>
      <w:sdt>
        <w:sdtPr>
          <w:alias w:val="Date de publication"/>
          <w15:appearance w15:val="boundingBox"/>
          <w:id w:val="-1579513643"/>
          <w:placeholder>
            <w:docPart w:val="A7A1D12D5E1E44189845AA0A31E83599"/>
          </w:placeholder>
          <w:tag w:val=""/>
          <w:date w:fullDate="2021-01-06T00:00:00Z">
            <w:calendar w:val="gregorian"/>
            <w:dateFormat w:val="dd/MM/yyyy"/>
            <w:lid w:val="fr-FR"/>
          </w:date>
          <w:rPr/>
        </w:sdtPr>
        <w:sdtContent>
          <w:r>
            <w:t xml:space="preserve">13/05/2022</w:t>
          </w:r>
        </w:sdtContent>
      </w:sdt>
      <w:r/>
      <w:r/>
    </w:p>
    <w:p>
      <w:pPr>
        <w:pStyle w:val="789"/>
      </w:pPr>
      <w:r/>
      <w:bookmarkStart w:id="0" w:name="_Toc367812133"/>
      <w:r/>
      <w:bookmarkStart w:id="1" w:name="_Toc92377703"/>
      <w:r>
        <w:t xml:space="preserve">S</w:t>
      </w:r>
      <w:r>
        <w:t xml:space="preserve">ommaire</w:t>
      </w:r>
      <w:bookmarkEnd w:id="0"/>
      <w:r/>
      <w:bookmarkEnd w:id="1"/>
      <w:r/>
      <w:r/>
    </w:p>
    <w:p>
      <w:pPr>
        <w:pStyle w:val="820"/>
        <w:rPr>
          <w:rFonts w:ascii="Calibri" w:hAnsi="Calibri" w:cs="Calibri" w:eastAsia="Calibri"/>
        </w:rPr>
      </w:pPr>
      <w:r>
        <w:rPr>
          <w:b/>
          <w:bCs/>
          <w:caps/>
        </w:rPr>
        <w:fldChar w:fldCharType="begin"/>
      </w:r>
      <w:r>
        <w:rPr>
          <w:b/>
          <w:bCs/>
          <w:caps/>
        </w:rPr>
        <w:instrText xml:space="preserve"> TOC \o "1-6" \h \z \u </w:instrText>
      </w:r>
      <w:r>
        <w:rPr>
          <w:b/>
          <w:bCs/>
          <w:caps/>
        </w:rPr>
        <w:fldChar w:fldCharType="separate"/>
      </w:r>
      <w:hyperlink w:tooltip="#_Toc92377703" w:anchor="_Toc92377703" w:history="1">
        <w:r>
          <w:rPr>
            <w:rStyle w:val="812"/>
          </w:rPr>
          <w:t xml:space="preserve">Sommaire</w:t>
        </w:r>
        <w:r>
          <w:tab/>
        </w:r>
        <w:r>
          <w:fldChar w:fldCharType="begin"/>
        </w:r>
        <w:r>
          <w:instrText xml:space="preserve"> PAGEREF _Toc92377703 \h </w:instrText>
        </w:r>
        <w:r>
          <w:fldChar w:fldCharType="separate"/>
        </w:r>
        <w:r>
          <w:t xml:space="preserve">2</w:t>
        </w:r>
        <w:r>
          <w:fldChar w:fldCharType="end"/>
        </w:r>
      </w:hyperlink>
      <w:r/>
      <w:r/>
    </w:p>
    <w:p>
      <w:pPr>
        <w:pStyle w:val="820"/>
        <w:rPr>
          <w:rFonts w:ascii="Calibri" w:hAnsi="Calibri" w:cs="Calibri" w:eastAsia="Calibri"/>
        </w:rPr>
      </w:pPr>
      <w:r/>
      <w:hyperlink w:tooltip="#_Toc92377704" w:anchor="_Toc92377704" w:history="1">
        <w:r>
          <w:rPr>
            <w:rStyle w:val="812"/>
          </w:rPr>
          <w:t xml:space="preserve">Les instances universitaires</w:t>
        </w:r>
        <w:r>
          <w:tab/>
        </w:r>
        <w:r>
          <w:fldChar w:fldCharType="begin"/>
        </w:r>
        <w:r>
          <w:instrText xml:space="preserve"> PAGEREF _Toc92377704 \h </w:instrText>
        </w:r>
        <w:r>
          <w:fldChar w:fldCharType="separate"/>
        </w:r>
        <w:r>
          <w:t xml:space="preserve">5</w:t>
        </w:r>
        <w:r>
          <w:fldChar w:fldCharType="end"/>
        </w:r>
      </w:hyperlink>
      <w:r/>
      <w:r/>
    </w:p>
    <w:p>
      <w:pPr>
        <w:pStyle w:val="821"/>
        <w:rPr>
          <w:rFonts w:ascii="Calibri" w:hAnsi="Calibri" w:cs="Calibri" w:eastAsia="Calibri"/>
        </w:rPr>
      </w:pPr>
      <w:r/>
      <w:hyperlink w:tooltip="#_Toc92377705" w:anchor="_Toc92377705" w:history="1">
        <w:r>
          <w:rPr>
            <w:rStyle w:val="812"/>
          </w:rPr>
          <w:t xml:space="preserve">l'Université savoie mont blanc</w:t>
        </w:r>
        <w:r>
          <w:tab/>
        </w:r>
        <w:r>
          <w:fldChar w:fldCharType="begin"/>
        </w:r>
        <w:r>
          <w:instrText xml:space="preserve"> PAGEREF _Toc92377705 \h </w:instrText>
        </w:r>
        <w:r>
          <w:fldChar w:fldCharType="separate"/>
        </w:r>
        <w:r>
          <w:t xml:space="preserve">5</w:t>
        </w:r>
        <w:r>
          <w:fldChar w:fldCharType="end"/>
        </w:r>
      </w:hyperlink>
      <w:r/>
      <w:r/>
    </w:p>
    <w:p>
      <w:pPr>
        <w:pStyle w:val="821"/>
        <w:rPr>
          <w:rFonts w:ascii="Calibri" w:hAnsi="Calibri" w:cs="Calibri" w:eastAsia="Calibri"/>
        </w:rPr>
      </w:pPr>
      <w:r/>
      <w:hyperlink w:tooltip="#_Toc92377706" w:anchor="_Toc92377706" w:history="1">
        <w:r>
          <w:rPr>
            <w:rStyle w:val="812"/>
          </w:rPr>
          <w:t xml:space="preserve">Polytech Annecy-Chambéry</w:t>
        </w:r>
        <w:r>
          <w:tab/>
        </w:r>
        <w:r>
          <w:fldChar w:fldCharType="begin"/>
        </w:r>
        <w:r>
          <w:instrText xml:space="preserve"> PAGEREF _Toc92377706 \h </w:instrText>
        </w:r>
        <w:r>
          <w:fldChar w:fldCharType="separate"/>
        </w:r>
        <w:r>
          <w:t xml:space="preserve">5</w:t>
        </w:r>
        <w:r>
          <w:fldChar w:fldCharType="end"/>
        </w:r>
      </w:hyperlink>
      <w:r/>
      <w:r/>
    </w:p>
    <w:p>
      <w:pPr>
        <w:pStyle w:val="820"/>
        <w:rPr>
          <w:rFonts w:ascii="Calibri" w:hAnsi="Calibri" w:cs="Calibri" w:eastAsia="Calibri"/>
        </w:rPr>
      </w:pPr>
      <w:r/>
      <w:hyperlink w:tooltip="#_Toc92377707" w:anchor="_Toc92377707" w:history="1">
        <w:r>
          <w:rPr>
            <w:rStyle w:val="812"/>
          </w:rPr>
          <w:t xml:space="preserve">La formation doctorale</w:t>
        </w:r>
        <w:r>
          <w:tab/>
        </w:r>
        <w:r>
          <w:fldChar w:fldCharType="begin"/>
        </w:r>
        <w:r>
          <w:instrText xml:space="preserve"> PAGEREF _Toc92377707 \h </w:instrText>
        </w:r>
        <w:r>
          <w:fldChar w:fldCharType="separate"/>
        </w:r>
        <w:r>
          <w:t xml:space="preserve">6</w:t>
        </w:r>
        <w:r>
          <w:fldChar w:fldCharType="end"/>
        </w:r>
      </w:hyperlink>
      <w:r/>
      <w:r/>
    </w:p>
    <w:p>
      <w:pPr>
        <w:pStyle w:val="821"/>
        <w:rPr>
          <w:rFonts w:ascii="Calibri" w:hAnsi="Calibri" w:cs="Calibri" w:eastAsia="Calibri"/>
        </w:rPr>
      </w:pPr>
      <w:r/>
      <w:hyperlink w:tooltip="#_Toc92377708" w:anchor="_Toc92377708" w:history="1">
        <w:r>
          <w:rPr>
            <w:rStyle w:val="812"/>
          </w:rPr>
          <w:t xml:space="preserve">CODUSMB</w:t>
        </w:r>
        <w:r>
          <w:tab/>
        </w:r>
        <w:r>
          <w:fldChar w:fldCharType="begin"/>
        </w:r>
        <w:r>
          <w:instrText xml:space="preserve"> PAGEREF _Toc92377708 \h </w:instrText>
        </w:r>
        <w:r>
          <w:fldChar w:fldCharType="separate"/>
        </w:r>
        <w:r>
          <w:t xml:space="preserve">6</w:t>
        </w:r>
        <w:r>
          <w:fldChar w:fldCharType="end"/>
        </w:r>
      </w:hyperlink>
      <w:r/>
      <w:r/>
    </w:p>
    <w:p>
      <w:pPr>
        <w:pStyle w:val="821"/>
        <w:rPr>
          <w:rFonts w:ascii="Calibri" w:hAnsi="Calibri" w:cs="Calibri" w:eastAsia="Calibri"/>
        </w:rPr>
      </w:pPr>
      <w:r/>
      <w:hyperlink w:tooltip="#_Toc92377709" w:anchor="_Toc92377709" w:history="1">
        <w:r>
          <w:rPr>
            <w:rStyle w:val="812"/>
          </w:rPr>
          <w:t xml:space="preserve">L’école doctorale SIE</w:t>
        </w:r>
        <w:r>
          <w:tab/>
        </w:r>
        <w:r>
          <w:fldChar w:fldCharType="begin"/>
        </w:r>
        <w:r>
          <w:instrText xml:space="preserve"> PAGEREF _Toc92377709 \h </w:instrText>
        </w:r>
        <w:r>
          <w:fldChar w:fldCharType="separate"/>
        </w:r>
        <w:r>
          <w:t xml:space="preserve">6</w:t>
        </w:r>
        <w:r>
          <w:fldChar w:fldCharType="end"/>
        </w:r>
      </w:hyperlink>
      <w:r/>
      <w:r/>
    </w:p>
    <w:p>
      <w:pPr>
        <w:pStyle w:val="821"/>
        <w:rPr>
          <w:rFonts w:ascii="Calibri" w:hAnsi="Calibri" w:cs="Calibri" w:eastAsia="Calibri"/>
        </w:rPr>
      </w:pPr>
      <w:r/>
      <w:hyperlink w:tooltip="#_Toc92377710" w:anchor="_Toc92377710" w:history="1">
        <w:r>
          <w:rPr>
            <w:rStyle w:val="812"/>
          </w:rPr>
          <w:t xml:space="preserve">Le DFTIP *</w:t>
        </w:r>
        <w:r>
          <w:tab/>
        </w:r>
        <w:r>
          <w:fldChar w:fldCharType="begin"/>
        </w:r>
        <w:r>
          <w:instrText xml:space="preserve"> PAGEREF _Toc92377710 \h </w:instrText>
        </w:r>
        <w:r>
          <w:fldChar w:fldCharType="separate"/>
        </w:r>
        <w:r>
          <w:t xml:space="preserve">7</w:t>
        </w:r>
        <w:r>
          <w:fldChar w:fldCharType="end"/>
        </w:r>
      </w:hyperlink>
      <w:r/>
      <w:r/>
    </w:p>
    <w:p>
      <w:pPr>
        <w:pStyle w:val="820"/>
        <w:rPr>
          <w:rFonts w:ascii="Calibri" w:hAnsi="Calibri" w:cs="Calibri" w:eastAsia="Calibri"/>
        </w:rPr>
      </w:pPr>
      <w:r/>
      <w:hyperlink w:tooltip="#_Toc92377711" w:anchor="_Toc92377711" w:history="1">
        <w:r>
          <w:rPr>
            <w:rStyle w:val="812"/>
          </w:rPr>
          <w:t xml:space="preserve">Le LOCIE</w:t>
        </w:r>
        <w:r>
          <w:tab/>
        </w:r>
        <w:r>
          <w:fldChar w:fldCharType="begin"/>
        </w:r>
        <w:r>
          <w:instrText xml:space="preserve"> PAGEREF _Toc92377711 \h </w:instrText>
        </w:r>
        <w:r>
          <w:fldChar w:fldCharType="separate"/>
        </w:r>
        <w:r>
          <w:t xml:space="preserve">8</w:t>
        </w:r>
        <w:r>
          <w:fldChar w:fldCharType="end"/>
        </w:r>
      </w:hyperlink>
      <w:r/>
      <w:r/>
    </w:p>
    <w:p>
      <w:pPr>
        <w:pStyle w:val="821"/>
        <w:rPr>
          <w:rFonts w:ascii="Calibri" w:hAnsi="Calibri" w:cs="Calibri" w:eastAsia="Calibri"/>
        </w:rPr>
      </w:pPr>
      <w:r/>
      <w:hyperlink w:tooltip="#_Toc92377712" w:anchor="_Toc92377712" w:history="1">
        <w:r>
          <w:rPr>
            <w:rStyle w:val="812"/>
          </w:rPr>
          <w:t xml:space="preserve">Historique</w:t>
        </w:r>
        <w:r>
          <w:tab/>
        </w:r>
        <w:r>
          <w:fldChar w:fldCharType="begin"/>
        </w:r>
        <w:r>
          <w:instrText xml:space="preserve"> PAGEREF _Toc92377712 \h </w:instrText>
        </w:r>
        <w:r>
          <w:fldChar w:fldCharType="separate"/>
        </w:r>
        <w:r>
          <w:t xml:space="preserve">8</w:t>
        </w:r>
        <w:r>
          <w:fldChar w:fldCharType="end"/>
        </w:r>
      </w:hyperlink>
      <w:r/>
      <w:r/>
    </w:p>
    <w:p>
      <w:pPr>
        <w:pStyle w:val="821"/>
        <w:rPr>
          <w:rFonts w:ascii="Calibri" w:hAnsi="Calibri" w:cs="Calibri" w:eastAsia="Calibri"/>
        </w:rPr>
      </w:pPr>
      <w:r/>
      <w:hyperlink w:tooltip="#_Toc92377713" w:anchor="_Toc92377713" w:history="1">
        <w:r>
          <w:rPr>
            <w:rStyle w:val="812"/>
          </w:rPr>
          <w:t xml:space="preserve">Les tutelles</w:t>
        </w:r>
        <w:r>
          <w:tab/>
        </w:r>
        <w:r>
          <w:fldChar w:fldCharType="begin"/>
        </w:r>
        <w:r>
          <w:instrText xml:space="preserve"> PAGEREF _Toc92377713 \h </w:instrText>
        </w:r>
        <w:r>
          <w:fldChar w:fldCharType="separate"/>
        </w:r>
        <w:r>
          <w:t xml:space="preserve">8</w:t>
        </w:r>
        <w:r>
          <w:fldChar w:fldCharType="end"/>
        </w:r>
      </w:hyperlink>
      <w:r/>
      <w:r/>
    </w:p>
    <w:p>
      <w:pPr>
        <w:pStyle w:val="821"/>
        <w:rPr>
          <w:rFonts w:ascii="Calibri" w:hAnsi="Calibri" w:cs="Calibri" w:eastAsia="Calibri"/>
        </w:rPr>
      </w:pPr>
      <w:r/>
      <w:hyperlink w:tooltip="#_Toc92377714" w:anchor="_Toc92377714" w:history="1">
        <w:r>
          <w:rPr>
            <w:rStyle w:val="812"/>
          </w:rPr>
          <w:t xml:space="preserve">Axes de recherche</w:t>
        </w:r>
        <w:r>
          <w:tab/>
        </w:r>
        <w:r>
          <w:fldChar w:fldCharType="begin"/>
        </w:r>
        <w:r>
          <w:instrText xml:space="preserve"> PAGEREF _Toc92377714 \h </w:instrText>
        </w:r>
        <w:r>
          <w:fldChar w:fldCharType="separate"/>
        </w:r>
        <w:r>
          <w:t xml:space="preserve">8</w:t>
        </w:r>
        <w:r>
          <w:fldChar w:fldCharType="end"/>
        </w:r>
      </w:hyperlink>
      <w:r/>
      <w:r/>
    </w:p>
    <w:p>
      <w:pPr>
        <w:pStyle w:val="821"/>
        <w:rPr>
          <w:rFonts w:ascii="Calibri" w:hAnsi="Calibri" w:cs="Calibri" w:eastAsia="Calibri"/>
        </w:rPr>
      </w:pPr>
      <w:r/>
      <w:hyperlink w:tooltip="#_Toc92377715" w:anchor="_Toc92377715" w:history="1">
        <w:r>
          <w:rPr>
            <w:rStyle w:val="812"/>
          </w:rPr>
          <w:t xml:space="preserve">Les différents lieux d’activité</w:t>
        </w:r>
        <w:r>
          <w:tab/>
        </w:r>
        <w:r>
          <w:fldChar w:fldCharType="begin"/>
        </w:r>
        <w:r>
          <w:instrText xml:space="preserve"> PAGEREF _Toc92377715 \h </w:instrText>
        </w:r>
        <w:r>
          <w:fldChar w:fldCharType="separate"/>
        </w:r>
        <w:r>
          <w:t xml:space="preserve">10</w:t>
        </w:r>
        <w:r>
          <w:fldChar w:fldCharType="end"/>
        </w:r>
      </w:hyperlink>
      <w:r/>
      <w:r/>
    </w:p>
    <w:p>
      <w:pPr>
        <w:pStyle w:val="821"/>
        <w:rPr>
          <w:rFonts w:ascii="Calibri" w:hAnsi="Calibri" w:cs="Calibri" w:eastAsia="Calibri"/>
        </w:rPr>
      </w:pPr>
      <w:r/>
      <w:hyperlink w:tooltip="#_Toc92377716" w:anchor="_Toc92377716" w:history="1">
        <w:r>
          <w:rPr>
            <w:rStyle w:val="812"/>
          </w:rPr>
          <w:t xml:space="preserve">Le personnel PERMANENT (</w:t>
        </w:r>
        <w:r>
          <w:rPr>
            <w:rStyle w:val="812"/>
            <w:rFonts w:cs="Times New Roman (Titres CS)"/>
          </w:rPr>
          <w:t xml:space="preserve">voir : www.univ-smb.fr/locie)</w:t>
        </w:r>
        <w:r>
          <w:tab/>
        </w:r>
        <w:r>
          <w:fldChar w:fldCharType="begin"/>
        </w:r>
        <w:r>
          <w:instrText xml:space="preserve"> PAGEREF _Toc92377716 \h </w:instrText>
        </w:r>
        <w:r>
          <w:fldChar w:fldCharType="separate"/>
        </w:r>
        <w:r>
          <w:t xml:space="preserve">10</w:t>
        </w:r>
        <w:r>
          <w:fldChar w:fldCharType="end"/>
        </w:r>
      </w:hyperlink>
      <w:r/>
      <w:r/>
    </w:p>
    <w:p>
      <w:pPr>
        <w:pStyle w:val="822"/>
        <w:rPr>
          <w:rFonts w:ascii="Calibri" w:hAnsi="Calibri" w:cs="Calibri" w:eastAsia="Calibri"/>
        </w:rPr>
      </w:pPr>
      <w:r/>
      <w:hyperlink w:tooltip="#_Toc92377717" w:anchor="_Toc92377717" w:history="1">
        <w:r>
          <w:rPr>
            <w:rStyle w:val="812"/>
          </w:rPr>
          <w:t xml:space="preserve">Les Enseignants–Chercheurs / Chercheurs</w:t>
        </w:r>
        <w:r>
          <w:tab/>
        </w:r>
        <w:r>
          <w:fldChar w:fldCharType="begin"/>
        </w:r>
        <w:r>
          <w:instrText xml:space="preserve"> PAGEREF _Toc92377717 \h </w:instrText>
        </w:r>
        <w:r>
          <w:fldChar w:fldCharType="separate"/>
        </w:r>
        <w:r>
          <w:t xml:space="preserve">10</w:t>
        </w:r>
        <w:r>
          <w:fldChar w:fldCharType="end"/>
        </w:r>
      </w:hyperlink>
      <w:r/>
      <w:r/>
    </w:p>
    <w:p>
      <w:pPr>
        <w:pStyle w:val="822"/>
        <w:rPr>
          <w:rFonts w:ascii="Calibri" w:hAnsi="Calibri" w:cs="Calibri" w:eastAsia="Calibri"/>
        </w:rPr>
      </w:pPr>
      <w:r/>
      <w:hyperlink w:tooltip="#_Toc92377718" w:anchor="_Toc92377718" w:history="1">
        <w:r>
          <w:rPr>
            <w:rStyle w:val="812"/>
          </w:rPr>
          <w:t xml:space="preserve">Les chercheurs associés</w:t>
        </w:r>
        <w:r>
          <w:tab/>
        </w:r>
        <w:r>
          <w:fldChar w:fldCharType="begin"/>
        </w:r>
        <w:r>
          <w:instrText xml:space="preserve"> PAGEREF _Toc92377718 \h </w:instrText>
        </w:r>
        <w:r>
          <w:fldChar w:fldCharType="separate"/>
        </w:r>
        <w:r>
          <w:t xml:space="preserve">10</w:t>
        </w:r>
        <w:r>
          <w:fldChar w:fldCharType="end"/>
        </w:r>
      </w:hyperlink>
      <w:r/>
      <w:r/>
    </w:p>
    <w:p>
      <w:pPr>
        <w:pStyle w:val="822"/>
        <w:rPr>
          <w:rFonts w:ascii="Calibri" w:hAnsi="Calibri" w:cs="Calibri" w:eastAsia="Calibri"/>
        </w:rPr>
      </w:pPr>
      <w:r/>
      <w:hyperlink w:tooltip="#_Toc92377719" w:anchor="_Toc92377719" w:history="1">
        <w:r>
          <w:rPr>
            <w:rStyle w:val="812"/>
          </w:rPr>
          <w:t xml:space="preserve">Les membres Techniques et Administratifs</w:t>
        </w:r>
        <w:r>
          <w:tab/>
        </w:r>
        <w:r>
          <w:fldChar w:fldCharType="begin"/>
        </w:r>
        <w:r>
          <w:instrText xml:space="preserve"> PAGEREF _Toc92377719 \h </w:instrText>
        </w:r>
        <w:r>
          <w:fldChar w:fldCharType="separate"/>
        </w:r>
        <w:r>
          <w:t xml:space="preserve">10</w:t>
        </w:r>
        <w:r>
          <w:fldChar w:fldCharType="end"/>
        </w:r>
      </w:hyperlink>
      <w:r/>
      <w:r/>
    </w:p>
    <w:p>
      <w:pPr>
        <w:pStyle w:val="822"/>
        <w:rPr>
          <w:rFonts w:ascii="Calibri" w:hAnsi="Calibri" w:cs="Calibri" w:eastAsia="Calibri"/>
        </w:rPr>
      </w:pPr>
      <w:r/>
      <w:hyperlink w:tooltip="#_Toc92377720" w:anchor="_Toc92377720" w:history="1">
        <w:r>
          <w:rPr>
            <w:rStyle w:val="812"/>
          </w:rPr>
          <w:t xml:space="preserve">Les DOCTORANTS et POST-DOCTORANTS</w:t>
        </w:r>
        <w:r>
          <w:tab/>
        </w:r>
        <w:r>
          <w:fldChar w:fldCharType="begin"/>
        </w:r>
        <w:r>
          <w:instrText xml:space="preserve"> PAGEREF _Toc92377720 \h </w:instrText>
        </w:r>
        <w:r>
          <w:fldChar w:fldCharType="separate"/>
        </w:r>
        <w:r>
          <w:t xml:space="preserve">10</w:t>
        </w:r>
        <w:r>
          <w:fldChar w:fldCharType="end"/>
        </w:r>
      </w:hyperlink>
      <w:r/>
      <w:r/>
    </w:p>
    <w:p>
      <w:pPr>
        <w:pStyle w:val="821"/>
        <w:rPr>
          <w:rFonts w:ascii="Calibri" w:hAnsi="Calibri" w:cs="Calibri" w:eastAsia="Calibri"/>
        </w:rPr>
      </w:pPr>
      <w:r/>
      <w:hyperlink w:tooltip="#_Toc92377721" w:anchor="_Toc92377721" w:history="1">
        <w:r>
          <w:rPr>
            <w:rStyle w:val="812"/>
          </w:rPr>
          <w:t xml:space="preserve">Organigramme du LOCIE</w:t>
        </w:r>
        <w:r>
          <w:tab/>
        </w:r>
        <w:r>
          <w:fldChar w:fldCharType="begin"/>
        </w:r>
        <w:r>
          <w:instrText xml:space="preserve"> PAGEREF _Toc92377721 \h </w:instrText>
        </w:r>
        <w:r>
          <w:fldChar w:fldCharType="separate"/>
        </w:r>
        <w:r>
          <w:t xml:space="preserve">10</w:t>
        </w:r>
        <w:r>
          <w:fldChar w:fldCharType="end"/>
        </w:r>
      </w:hyperlink>
      <w:r/>
      <w:r/>
    </w:p>
    <w:p>
      <w:pPr>
        <w:pStyle w:val="822"/>
        <w:rPr>
          <w:rFonts w:ascii="Calibri" w:hAnsi="Calibri" w:cs="Calibri" w:eastAsia="Calibri"/>
        </w:rPr>
      </w:pPr>
      <w:r/>
      <w:hyperlink w:tooltip="#_Toc92377722" w:anchor="_Toc92377722" w:history="1">
        <w:r>
          <w:rPr>
            <w:rStyle w:val="812"/>
          </w:rPr>
          <w:t xml:space="preserve">L’assemblée générale</w:t>
        </w:r>
        <w:r>
          <w:tab/>
        </w:r>
        <w:r>
          <w:fldChar w:fldCharType="begin"/>
        </w:r>
        <w:r>
          <w:instrText xml:space="preserve"> PAGEREF _Toc92377722 \h </w:instrText>
        </w:r>
        <w:r>
          <w:fldChar w:fldCharType="separate"/>
        </w:r>
        <w:r>
          <w:t xml:space="preserve">11</w:t>
        </w:r>
        <w:r>
          <w:fldChar w:fldCharType="end"/>
        </w:r>
      </w:hyperlink>
      <w:r/>
      <w:r/>
    </w:p>
    <w:p>
      <w:pPr>
        <w:pStyle w:val="822"/>
        <w:rPr>
          <w:rFonts w:ascii="Calibri" w:hAnsi="Calibri" w:cs="Calibri" w:eastAsia="Calibri"/>
        </w:rPr>
      </w:pPr>
      <w:r/>
      <w:hyperlink w:tooltip="#_Toc92377723" w:anchor="_Toc92377723" w:history="1">
        <w:r>
          <w:rPr>
            <w:rStyle w:val="812"/>
          </w:rPr>
          <w:t xml:space="preserve">Conseil du laboratoire</w:t>
        </w:r>
        <w:r>
          <w:tab/>
        </w:r>
        <w:r>
          <w:fldChar w:fldCharType="begin"/>
        </w:r>
        <w:r>
          <w:instrText xml:space="preserve"> PAGEREF _Toc92377723 \h </w:instrText>
        </w:r>
        <w:r>
          <w:fldChar w:fldCharType="separate"/>
        </w:r>
        <w:r>
          <w:t xml:space="preserve">11</w:t>
        </w:r>
        <w:r>
          <w:fldChar w:fldCharType="end"/>
        </w:r>
      </w:hyperlink>
      <w:r/>
      <w:r/>
    </w:p>
    <w:p>
      <w:pPr>
        <w:pStyle w:val="822"/>
        <w:rPr>
          <w:rFonts w:ascii="Calibri" w:hAnsi="Calibri" w:cs="Calibri" w:eastAsia="Calibri"/>
        </w:rPr>
      </w:pPr>
      <w:r/>
      <w:hyperlink w:tooltip="#_Toc92377724" w:anchor="_Toc92377724" w:history="1">
        <w:r>
          <w:rPr>
            <w:rStyle w:val="812"/>
          </w:rPr>
          <w:t xml:space="preserve">Conseil scientifique</w:t>
        </w:r>
        <w:r>
          <w:tab/>
        </w:r>
        <w:r>
          <w:fldChar w:fldCharType="begin"/>
        </w:r>
        <w:r>
          <w:instrText xml:space="preserve"> PAGEREF _Toc92377724 \h </w:instrText>
        </w:r>
        <w:r>
          <w:fldChar w:fldCharType="separate"/>
        </w:r>
        <w:r>
          <w:t xml:space="preserve">12</w:t>
        </w:r>
        <w:r>
          <w:fldChar w:fldCharType="end"/>
        </w:r>
      </w:hyperlink>
      <w:r/>
      <w:r/>
    </w:p>
    <w:p>
      <w:pPr>
        <w:pStyle w:val="822"/>
        <w:rPr>
          <w:rFonts w:ascii="Calibri" w:hAnsi="Calibri" w:cs="Calibri" w:eastAsia="Calibri"/>
        </w:rPr>
      </w:pPr>
      <w:r/>
      <w:hyperlink w:tooltip="#_Toc92377725" w:anchor="_Toc92377725" w:history="1">
        <w:r>
          <w:rPr>
            <w:rStyle w:val="812"/>
          </w:rPr>
          <w:t xml:space="preserve">Commission scientifique</w:t>
        </w:r>
        <w:r>
          <w:tab/>
        </w:r>
        <w:r>
          <w:fldChar w:fldCharType="begin"/>
        </w:r>
        <w:r>
          <w:instrText xml:space="preserve"> PAGEREF _Toc92377725 \h </w:instrText>
        </w:r>
        <w:r>
          <w:fldChar w:fldCharType="separate"/>
        </w:r>
        <w:r>
          <w:t xml:space="preserve">12</w:t>
        </w:r>
        <w:r>
          <w:fldChar w:fldCharType="end"/>
        </w:r>
      </w:hyperlink>
      <w:r/>
      <w:r/>
    </w:p>
    <w:p>
      <w:pPr>
        <w:pStyle w:val="822"/>
        <w:rPr>
          <w:rFonts w:ascii="Calibri" w:hAnsi="Calibri" w:cs="Calibri" w:eastAsia="Calibri"/>
        </w:rPr>
      </w:pPr>
      <w:r/>
      <w:hyperlink w:tooltip="#_Toc92377726" w:anchor="_Toc92377726" w:history="1">
        <w:r>
          <w:rPr>
            <w:rStyle w:val="812"/>
          </w:rPr>
          <w:t xml:space="preserve">Chargés de mission</w:t>
        </w:r>
        <w:r>
          <w:tab/>
        </w:r>
        <w:r>
          <w:fldChar w:fldCharType="begin"/>
        </w:r>
        <w:r>
          <w:instrText xml:space="preserve"> PAGEREF _Toc92377726 \h </w:instrText>
        </w:r>
        <w:r>
          <w:fldChar w:fldCharType="separate"/>
        </w:r>
        <w:r>
          <w:t xml:space="preserve">12</w:t>
        </w:r>
        <w:r>
          <w:fldChar w:fldCharType="end"/>
        </w:r>
      </w:hyperlink>
      <w:r/>
      <w:r/>
    </w:p>
    <w:p>
      <w:pPr>
        <w:pStyle w:val="820"/>
        <w:rPr>
          <w:rFonts w:ascii="Calibri" w:hAnsi="Calibri" w:cs="Calibri" w:eastAsia="Calibri"/>
        </w:rPr>
      </w:pPr>
      <w:r/>
      <w:hyperlink w:tooltip="#_Toc92377727" w:anchor="_Toc92377727" w:history="1">
        <w:r>
          <w:rPr>
            <w:rStyle w:val="812"/>
          </w:rPr>
          <w:t xml:space="preserve">Droits, devoirs, procédures au sein du laboratoire</w:t>
        </w:r>
        <w:r>
          <w:tab/>
        </w:r>
        <w:r>
          <w:fldChar w:fldCharType="begin"/>
        </w:r>
        <w:r>
          <w:instrText xml:space="preserve"> PAGEREF _Toc92377727 \h </w:instrText>
        </w:r>
        <w:r>
          <w:fldChar w:fldCharType="separate"/>
        </w:r>
        <w:r>
          <w:t xml:space="preserve">13</w:t>
        </w:r>
        <w:r>
          <w:fldChar w:fldCharType="end"/>
        </w:r>
      </w:hyperlink>
      <w:r/>
      <w:r/>
    </w:p>
    <w:p>
      <w:pPr>
        <w:pStyle w:val="821"/>
        <w:rPr>
          <w:rFonts w:ascii="Calibri" w:hAnsi="Calibri" w:cs="Calibri" w:eastAsia="Calibri"/>
        </w:rPr>
      </w:pPr>
      <w:r/>
      <w:hyperlink w:tooltip="#_Toc92377728" w:anchor="_Toc92377728" w:history="1">
        <w:r>
          <w:rPr>
            <w:rStyle w:val="812"/>
          </w:rPr>
          <w:t xml:space="preserve">Règlement intérieur</w:t>
        </w:r>
        <w:r>
          <w:tab/>
        </w:r>
        <w:r>
          <w:fldChar w:fldCharType="begin"/>
        </w:r>
        <w:r>
          <w:instrText xml:space="preserve"> PAGEREF _Toc92377728 \h </w:instrText>
        </w:r>
        <w:r>
          <w:fldChar w:fldCharType="separate"/>
        </w:r>
        <w:r>
          <w:t xml:space="preserve">13</w:t>
        </w:r>
        <w:r>
          <w:fldChar w:fldCharType="end"/>
        </w:r>
      </w:hyperlink>
      <w:r/>
      <w:r/>
    </w:p>
    <w:p>
      <w:pPr>
        <w:pStyle w:val="821"/>
        <w:rPr>
          <w:rFonts w:ascii="Calibri" w:hAnsi="Calibri" w:cs="Calibri" w:eastAsia="Calibri"/>
        </w:rPr>
      </w:pPr>
      <w:r/>
      <w:hyperlink w:tooltip="#_Toc92377729" w:anchor="_Toc92377729" w:history="1">
        <w:r>
          <w:rPr>
            <w:rStyle w:val="812"/>
          </w:rPr>
          <w:t xml:space="preserve">Consignes de sécurité</w:t>
        </w:r>
        <w:r>
          <w:tab/>
        </w:r>
        <w:r>
          <w:fldChar w:fldCharType="begin"/>
        </w:r>
        <w:r>
          <w:instrText xml:space="preserve"> PAGEREF _Toc92377729 \h </w:instrText>
        </w:r>
        <w:r>
          <w:fldChar w:fldCharType="separate"/>
        </w:r>
        <w:r>
          <w:t xml:space="preserve">13</w:t>
        </w:r>
        <w:r>
          <w:fldChar w:fldCharType="end"/>
        </w:r>
      </w:hyperlink>
      <w:r/>
      <w:r/>
    </w:p>
    <w:p>
      <w:pPr>
        <w:pStyle w:val="821"/>
        <w:rPr>
          <w:rFonts w:ascii="Calibri" w:hAnsi="Calibri" w:cs="Calibri" w:eastAsia="Calibri"/>
        </w:rPr>
      </w:pPr>
      <w:r/>
      <w:hyperlink w:tooltip="#_Toc92377730" w:anchor="_Toc92377730" w:history="1">
        <w:r>
          <w:rPr>
            <w:rStyle w:val="812"/>
          </w:rPr>
          <w:t xml:space="preserve">Supports Informatique</w:t>
        </w:r>
        <w:r>
          <w:tab/>
        </w:r>
        <w:r>
          <w:fldChar w:fldCharType="begin"/>
        </w:r>
        <w:r>
          <w:instrText xml:space="preserve"> PAGEREF _Toc92377730 \h </w:instrText>
        </w:r>
        <w:r>
          <w:fldChar w:fldCharType="separate"/>
        </w:r>
        <w:r>
          <w:t xml:space="preserve">13</w:t>
        </w:r>
        <w:r>
          <w:fldChar w:fldCharType="end"/>
        </w:r>
      </w:hyperlink>
      <w:r/>
      <w:r/>
    </w:p>
    <w:p>
      <w:pPr>
        <w:pStyle w:val="822"/>
        <w:rPr>
          <w:rFonts w:ascii="Calibri" w:hAnsi="Calibri" w:cs="Calibri" w:eastAsia="Calibri"/>
        </w:rPr>
      </w:pPr>
      <w:r/>
      <w:hyperlink w:tooltip="#_Toc92377731" w:anchor="_Toc92377731" w:history="1">
        <w:r>
          <w:rPr>
            <w:rStyle w:val="812"/>
          </w:rPr>
          <w:t xml:space="preserve">Compte informatique</w:t>
        </w:r>
        <w:r>
          <w:tab/>
        </w:r>
        <w:r>
          <w:fldChar w:fldCharType="begin"/>
        </w:r>
        <w:r>
          <w:instrText xml:space="preserve"> PAGEREF _Toc92377731 \h </w:instrText>
        </w:r>
        <w:r>
          <w:fldChar w:fldCharType="separate"/>
        </w:r>
        <w:r>
          <w:t xml:space="preserve">13</w:t>
        </w:r>
        <w:r>
          <w:fldChar w:fldCharType="end"/>
        </w:r>
      </w:hyperlink>
      <w:r/>
      <w:r/>
    </w:p>
    <w:p>
      <w:pPr>
        <w:pStyle w:val="822"/>
        <w:rPr>
          <w:rFonts w:ascii="Calibri" w:hAnsi="Calibri" w:cs="Calibri" w:eastAsia="Calibri"/>
        </w:rPr>
      </w:pPr>
      <w:r/>
      <w:hyperlink w:tooltip="#_Toc92377732" w:anchor="_Toc92377732" w:history="1">
        <w:r>
          <w:rPr>
            <w:rStyle w:val="812"/>
          </w:rPr>
          <w:t xml:space="preserve">Les Logiciels</w:t>
        </w:r>
        <w:r>
          <w:tab/>
        </w:r>
        <w:r>
          <w:fldChar w:fldCharType="begin"/>
        </w:r>
        <w:r>
          <w:instrText xml:space="preserve"> PAGEREF _Toc92377732 \h </w:instrText>
        </w:r>
        <w:r>
          <w:fldChar w:fldCharType="separate"/>
        </w:r>
        <w:r>
          <w:t xml:space="preserve">14</w:t>
        </w:r>
        <w:r>
          <w:fldChar w:fldCharType="end"/>
        </w:r>
      </w:hyperlink>
      <w:r/>
      <w:r/>
    </w:p>
    <w:p>
      <w:pPr>
        <w:pStyle w:val="822"/>
        <w:rPr>
          <w:rFonts w:ascii="Calibri" w:hAnsi="Calibri" w:cs="Calibri" w:eastAsia="Calibri"/>
        </w:rPr>
      </w:pPr>
      <w:r/>
      <w:hyperlink w:tooltip="#_Toc92377733" w:anchor="_Toc92377733" w:history="1">
        <w:r>
          <w:rPr>
            <w:rStyle w:val="812"/>
          </w:rPr>
          <w:t xml:space="preserve">Les disques réseau</w:t>
        </w:r>
        <w:r>
          <w:tab/>
        </w:r>
        <w:r>
          <w:fldChar w:fldCharType="begin"/>
        </w:r>
        <w:r>
          <w:instrText xml:space="preserve"> PAGEREF _Toc92377733 \h </w:instrText>
        </w:r>
        <w:r>
          <w:fldChar w:fldCharType="separate"/>
        </w:r>
        <w:r>
          <w:t xml:space="preserve">15</w:t>
        </w:r>
        <w:r>
          <w:fldChar w:fldCharType="end"/>
        </w:r>
      </w:hyperlink>
      <w:r/>
      <w:r/>
    </w:p>
    <w:p>
      <w:pPr>
        <w:pStyle w:val="822"/>
        <w:rPr>
          <w:rFonts w:ascii="Calibri" w:hAnsi="Calibri" w:cs="Calibri" w:eastAsia="Calibri"/>
        </w:rPr>
      </w:pPr>
      <w:r/>
      <w:hyperlink w:tooltip="#_Toc92377734" w:anchor="_Toc92377734" w:history="1">
        <w:r>
          <w:rPr>
            <w:rStyle w:val="812"/>
          </w:rPr>
          <w:t xml:space="preserve">Les sites de ressources internes</w:t>
        </w:r>
        <w:r>
          <w:tab/>
        </w:r>
        <w:r>
          <w:fldChar w:fldCharType="begin"/>
        </w:r>
        <w:r>
          <w:instrText xml:space="preserve"> PAGEREF _Toc92377734 \h </w:instrText>
        </w:r>
        <w:r>
          <w:fldChar w:fldCharType="separate"/>
        </w:r>
        <w:r>
          <w:t xml:space="preserve">15</w:t>
        </w:r>
        <w:r>
          <w:fldChar w:fldCharType="end"/>
        </w:r>
      </w:hyperlink>
      <w:r/>
      <w:r/>
    </w:p>
    <w:p>
      <w:pPr>
        <w:pStyle w:val="821"/>
        <w:rPr>
          <w:rFonts w:ascii="Calibri" w:hAnsi="Calibri" w:cs="Calibri" w:eastAsia="Calibri"/>
        </w:rPr>
      </w:pPr>
      <w:r/>
      <w:hyperlink w:tooltip="#_Toc92377735" w:anchor="_Toc92377735" w:history="1">
        <w:r>
          <w:rPr>
            <w:rStyle w:val="812"/>
          </w:rPr>
          <w:t xml:space="preserve">Demande de Congés</w:t>
        </w:r>
        <w:r>
          <w:tab/>
        </w:r>
        <w:r>
          <w:fldChar w:fldCharType="begin"/>
        </w:r>
        <w:r>
          <w:instrText xml:space="preserve"> PAGEREF _Toc92377735 \h </w:instrText>
        </w:r>
        <w:r>
          <w:fldChar w:fldCharType="separate"/>
        </w:r>
        <w:r>
          <w:t xml:space="preserve">16</w:t>
        </w:r>
        <w:r>
          <w:fldChar w:fldCharType="end"/>
        </w:r>
      </w:hyperlink>
      <w:r/>
      <w:r/>
    </w:p>
    <w:p>
      <w:pPr>
        <w:pStyle w:val="821"/>
        <w:rPr>
          <w:rFonts w:ascii="Calibri" w:hAnsi="Calibri" w:cs="Calibri" w:eastAsia="Calibri"/>
        </w:rPr>
      </w:pPr>
      <w:r/>
      <w:hyperlink w:tooltip="#_Toc92377736" w:anchor="_Toc92377736" w:history="1">
        <w:r>
          <w:rPr>
            <w:rStyle w:val="812"/>
          </w:rPr>
          <w:t xml:space="preserve">Demande de clés, badges et cartes d'accès</w:t>
        </w:r>
        <w:r>
          <w:tab/>
        </w:r>
        <w:r>
          <w:fldChar w:fldCharType="begin"/>
        </w:r>
        <w:r>
          <w:instrText xml:space="preserve"> PAGEREF _Toc92377736 \h </w:instrText>
        </w:r>
        <w:r>
          <w:fldChar w:fldCharType="separate"/>
        </w:r>
        <w:r>
          <w:t xml:space="preserve">16</w:t>
        </w:r>
        <w:r>
          <w:fldChar w:fldCharType="end"/>
        </w:r>
      </w:hyperlink>
      <w:r/>
      <w:r/>
    </w:p>
    <w:p>
      <w:pPr>
        <w:pStyle w:val="821"/>
        <w:rPr>
          <w:rFonts w:ascii="Calibri" w:hAnsi="Calibri" w:cs="Calibri" w:eastAsia="Calibri"/>
        </w:rPr>
      </w:pPr>
      <w:r/>
      <w:hyperlink w:tooltip="#_Toc92377737" w:anchor="_Toc92377737" w:history="1">
        <w:r>
          <w:rPr>
            <w:rStyle w:val="812"/>
          </w:rPr>
          <w:t xml:space="preserve">Contrôle d'accès aux bâtiments</w:t>
        </w:r>
        <w:r>
          <w:tab/>
        </w:r>
        <w:r>
          <w:fldChar w:fldCharType="begin"/>
        </w:r>
        <w:r>
          <w:instrText xml:space="preserve"> PAGEREF _Toc92377737 \h </w:instrText>
        </w:r>
        <w:r>
          <w:fldChar w:fldCharType="separate"/>
        </w:r>
        <w:r>
          <w:t xml:space="preserve">16</w:t>
        </w:r>
        <w:r>
          <w:fldChar w:fldCharType="end"/>
        </w:r>
      </w:hyperlink>
      <w:r/>
      <w:r/>
    </w:p>
    <w:p>
      <w:pPr>
        <w:pStyle w:val="821"/>
        <w:rPr>
          <w:rFonts w:ascii="Calibri" w:hAnsi="Calibri" w:cs="Calibri" w:eastAsia="Calibri"/>
        </w:rPr>
      </w:pPr>
      <w:r/>
      <w:hyperlink w:tooltip="#_Toc92377738" w:anchor="_Toc92377738" w:history="1">
        <w:r>
          <w:rPr>
            <w:rStyle w:val="812"/>
          </w:rPr>
          <w:t xml:space="preserve">Ordres de mission</w:t>
        </w:r>
        <w:r>
          <w:tab/>
        </w:r>
        <w:r>
          <w:fldChar w:fldCharType="begin"/>
        </w:r>
        <w:r>
          <w:instrText xml:space="preserve"> PAGEREF _Toc92377738 \h </w:instrText>
        </w:r>
        <w:r>
          <w:fldChar w:fldCharType="separate"/>
        </w:r>
        <w:r>
          <w:t xml:space="preserve">16</w:t>
        </w:r>
        <w:r>
          <w:fldChar w:fldCharType="end"/>
        </w:r>
      </w:hyperlink>
      <w:r/>
      <w:r/>
    </w:p>
    <w:p>
      <w:pPr>
        <w:pStyle w:val="821"/>
        <w:rPr>
          <w:rFonts w:ascii="Calibri" w:hAnsi="Calibri" w:cs="Calibri" w:eastAsia="Calibri"/>
        </w:rPr>
      </w:pPr>
      <w:r/>
      <w:hyperlink w:tooltip="#_Toc92377739" w:anchor="_Toc92377739" w:history="1">
        <w:r>
          <w:rPr>
            <w:rStyle w:val="812"/>
          </w:rPr>
          <w:t xml:space="preserve">Bons de commande</w:t>
        </w:r>
        <w:r>
          <w:tab/>
        </w:r>
        <w:r>
          <w:fldChar w:fldCharType="begin"/>
        </w:r>
        <w:r>
          <w:instrText xml:space="preserve"> PAGEREF _Toc92377739 \h </w:instrText>
        </w:r>
        <w:r>
          <w:fldChar w:fldCharType="separate"/>
        </w:r>
        <w:r>
          <w:t xml:space="preserve">17</w:t>
        </w:r>
        <w:r>
          <w:fldChar w:fldCharType="end"/>
        </w:r>
      </w:hyperlink>
      <w:r/>
      <w:r/>
    </w:p>
    <w:p>
      <w:pPr>
        <w:pStyle w:val="820"/>
        <w:rPr>
          <w:rFonts w:ascii="Calibri" w:hAnsi="Calibri" w:cs="Calibri" w:eastAsia="Calibri"/>
        </w:rPr>
      </w:pPr>
      <w:r/>
      <w:hyperlink w:tooltip="#_Toc92377740" w:anchor="_Toc92377740" w:history="1">
        <w:r>
          <w:rPr>
            <w:rStyle w:val="812"/>
          </w:rPr>
          <w:t xml:space="preserve">Déroulement d’une thèse</w:t>
        </w:r>
        <w:r>
          <w:tab/>
        </w:r>
        <w:r>
          <w:fldChar w:fldCharType="begin"/>
        </w:r>
        <w:r>
          <w:instrText xml:space="preserve"> PAGEREF _Toc92377740 \h </w:instrText>
        </w:r>
        <w:r>
          <w:fldChar w:fldCharType="separate"/>
        </w:r>
        <w:r>
          <w:t xml:space="preserve">18</w:t>
        </w:r>
        <w:r>
          <w:fldChar w:fldCharType="end"/>
        </w:r>
      </w:hyperlink>
      <w:r/>
      <w:r/>
    </w:p>
    <w:p>
      <w:pPr>
        <w:pStyle w:val="821"/>
        <w:rPr>
          <w:rFonts w:ascii="Calibri" w:hAnsi="Calibri" w:cs="Calibri" w:eastAsia="Calibri"/>
        </w:rPr>
      </w:pPr>
      <w:r/>
      <w:hyperlink w:tooltip="#_Toc92377741" w:anchor="_Toc92377741" w:history="1">
        <w:r>
          <w:rPr>
            <w:rStyle w:val="812"/>
          </w:rPr>
          <w:t xml:space="preserve">Inscription - Procédures administratives</w:t>
        </w:r>
        <w:r>
          <w:tab/>
        </w:r>
        <w:r>
          <w:fldChar w:fldCharType="begin"/>
        </w:r>
        <w:r>
          <w:instrText xml:space="preserve"> PAGEREF _Toc92377741 \h </w:instrText>
        </w:r>
        <w:r>
          <w:fldChar w:fldCharType="separate"/>
        </w:r>
        <w:r>
          <w:t xml:space="preserve">18</w:t>
        </w:r>
        <w:r>
          <w:fldChar w:fldCharType="end"/>
        </w:r>
      </w:hyperlink>
      <w:r/>
      <w:r/>
    </w:p>
    <w:p>
      <w:pPr>
        <w:pStyle w:val="822"/>
        <w:rPr>
          <w:rFonts w:ascii="Calibri" w:hAnsi="Calibri" w:cs="Calibri" w:eastAsia="Calibri"/>
        </w:rPr>
      </w:pPr>
      <w:r/>
      <w:hyperlink w:tooltip="#_Toc92377742" w:anchor="_Toc92377742" w:history="1">
        <w:r>
          <w:rPr>
            <w:rStyle w:val="812"/>
          </w:rPr>
          <w:t xml:space="preserve">Etudiants Français</w:t>
        </w:r>
        <w:r>
          <w:tab/>
        </w:r>
        <w:r>
          <w:fldChar w:fldCharType="begin"/>
        </w:r>
        <w:r>
          <w:instrText xml:space="preserve"> PAGEREF _Toc92377742 \h </w:instrText>
        </w:r>
        <w:r>
          <w:fldChar w:fldCharType="separate"/>
        </w:r>
        <w:r>
          <w:t xml:space="preserve">18</w:t>
        </w:r>
        <w:r>
          <w:fldChar w:fldCharType="end"/>
        </w:r>
      </w:hyperlink>
      <w:r/>
      <w:r/>
    </w:p>
    <w:p>
      <w:pPr>
        <w:pStyle w:val="823"/>
        <w:tabs>
          <w:tab w:val="right" w:pos="9203" w:leader="dot"/>
        </w:tabs>
        <w:rPr>
          <w:rFonts w:ascii="Calibri" w:hAnsi="Calibri" w:cs="Calibri" w:eastAsia="Calibri"/>
        </w:rPr>
      </w:pPr>
      <w:r/>
      <w:hyperlink w:tooltip="#_Toc92377743" w:anchor="_Toc92377743" w:history="1">
        <w:r>
          <w:rPr>
            <w:rStyle w:val="812"/>
          </w:rPr>
          <w:t xml:space="preserve">Inscription pédagogique en 1ère année de doctorat auprès de l'Ecole Doctorale</w:t>
        </w:r>
        <w:r>
          <w:tab/>
        </w:r>
        <w:r>
          <w:fldChar w:fldCharType="begin"/>
        </w:r>
        <w:r>
          <w:instrText xml:space="preserve"> PAGEREF _Toc92377743 \h </w:instrText>
        </w:r>
        <w:r>
          <w:fldChar w:fldCharType="separate"/>
        </w:r>
        <w:r>
          <w:t xml:space="preserve">18</w:t>
        </w:r>
        <w:r>
          <w:fldChar w:fldCharType="end"/>
        </w:r>
      </w:hyperlink>
      <w:r/>
      <w:r/>
    </w:p>
    <w:p>
      <w:pPr>
        <w:pStyle w:val="823"/>
        <w:tabs>
          <w:tab w:val="right" w:pos="9203" w:leader="dot"/>
        </w:tabs>
        <w:rPr>
          <w:rFonts w:ascii="Calibri" w:hAnsi="Calibri" w:cs="Calibri" w:eastAsia="Calibri"/>
        </w:rPr>
      </w:pPr>
      <w:r/>
      <w:hyperlink w:tooltip="#_Toc92377744" w:anchor="_Toc92377744" w:history="1">
        <w:r>
          <w:rPr>
            <w:rStyle w:val="812"/>
          </w:rPr>
          <w:t xml:space="preserve">Inscription administrative en 1ère année de doctorat auprès de la scolarité du Bourget</w:t>
        </w:r>
        <w:r>
          <w:tab/>
        </w:r>
        <w:r>
          <w:fldChar w:fldCharType="begin"/>
        </w:r>
        <w:r>
          <w:instrText xml:space="preserve"> PAGEREF _Toc92377744 \h </w:instrText>
        </w:r>
        <w:r>
          <w:fldChar w:fldCharType="separate"/>
        </w:r>
        <w:r>
          <w:t xml:space="preserve">18</w:t>
        </w:r>
        <w:r>
          <w:fldChar w:fldCharType="end"/>
        </w:r>
      </w:hyperlink>
      <w:r/>
      <w:r/>
    </w:p>
    <w:p>
      <w:pPr>
        <w:pStyle w:val="822"/>
        <w:rPr>
          <w:rFonts w:ascii="Calibri" w:hAnsi="Calibri" w:cs="Calibri" w:eastAsia="Calibri"/>
        </w:rPr>
      </w:pPr>
      <w:r/>
      <w:hyperlink w:tooltip="#_Toc92377745" w:anchor="_Toc92377745" w:history="1">
        <w:r>
          <w:rPr>
            <w:rStyle w:val="812"/>
          </w:rPr>
          <w:t xml:space="preserve">Etudiants Etrangers</w:t>
        </w:r>
        <w:r>
          <w:tab/>
        </w:r>
        <w:r>
          <w:fldChar w:fldCharType="begin"/>
        </w:r>
        <w:r>
          <w:instrText xml:space="preserve"> PAGEREF _Toc92377745 \h </w:instrText>
        </w:r>
        <w:r>
          <w:fldChar w:fldCharType="separate"/>
        </w:r>
        <w:r>
          <w:t xml:space="preserve">19</w:t>
        </w:r>
        <w:r>
          <w:fldChar w:fldCharType="end"/>
        </w:r>
      </w:hyperlink>
      <w:r/>
      <w:r/>
    </w:p>
    <w:p>
      <w:pPr>
        <w:pStyle w:val="822"/>
        <w:rPr>
          <w:rFonts w:ascii="Calibri" w:hAnsi="Calibri" w:cs="Calibri" w:eastAsia="Calibri"/>
        </w:rPr>
      </w:pPr>
      <w:r/>
      <w:hyperlink w:tooltip="#_Toc92377746" w:anchor="_Toc92377746" w:history="1">
        <w:r>
          <w:rPr>
            <w:rStyle w:val="812"/>
          </w:rPr>
          <w:t xml:space="preserve">Direction et Suivi de la thèse</w:t>
        </w:r>
        <w:r>
          <w:tab/>
        </w:r>
        <w:r>
          <w:fldChar w:fldCharType="begin"/>
        </w:r>
        <w:r>
          <w:instrText xml:space="preserve"> PAGEREF _Toc92377746 \h </w:instrText>
        </w:r>
        <w:r>
          <w:fldChar w:fldCharType="separate"/>
        </w:r>
        <w:r>
          <w:t xml:space="preserve">20</w:t>
        </w:r>
        <w:r>
          <w:fldChar w:fldCharType="end"/>
        </w:r>
      </w:hyperlink>
      <w:r/>
      <w:r/>
    </w:p>
    <w:p>
      <w:pPr>
        <w:pStyle w:val="822"/>
        <w:rPr>
          <w:rFonts w:ascii="Calibri" w:hAnsi="Calibri" w:cs="Calibri" w:eastAsia="Calibri"/>
        </w:rPr>
      </w:pPr>
      <w:r/>
      <w:hyperlink w:tooltip="#_Toc92377747" w:anchor="_Toc92377747" w:history="1">
        <w:r>
          <w:rPr>
            <w:rStyle w:val="812"/>
          </w:rPr>
          <w:t xml:space="preserve">Sécurité sociale</w:t>
        </w:r>
        <w:r>
          <w:tab/>
        </w:r>
        <w:r>
          <w:fldChar w:fldCharType="begin"/>
        </w:r>
        <w:r>
          <w:instrText xml:space="preserve"> PAGEREF _Toc92377747 \h </w:instrText>
        </w:r>
        <w:r>
          <w:fldChar w:fldCharType="separate"/>
        </w:r>
        <w:r>
          <w:t xml:space="preserve">21</w:t>
        </w:r>
        <w:r>
          <w:fldChar w:fldCharType="end"/>
        </w:r>
      </w:hyperlink>
      <w:r/>
      <w:r/>
    </w:p>
    <w:p>
      <w:pPr>
        <w:pStyle w:val="821"/>
        <w:rPr>
          <w:rFonts w:ascii="Calibri" w:hAnsi="Calibri" w:cs="Calibri" w:eastAsia="Calibri"/>
        </w:rPr>
      </w:pPr>
      <w:r/>
      <w:hyperlink w:tooltip="#_Toc92377748" w:anchor="_Toc92377748" w:history="1">
        <w:r>
          <w:rPr>
            <w:rStyle w:val="812"/>
          </w:rPr>
          <w:t xml:space="preserve">Déroulement de la thèse</w:t>
        </w:r>
        <w:r>
          <w:tab/>
        </w:r>
        <w:r>
          <w:fldChar w:fldCharType="begin"/>
        </w:r>
        <w:r>
          <w:instrText xml:space="preserve"> PAGEREF _Toc92377748 \h </w:instrText>
        </w:r>
        <w:r>
          <w:fldChar w:fldCharType="separate"/>
        </w:r>
        <w:r>
          <w:t xml:space="preserve">22</w:t>
        </w:r>
        <w:r>
          <w:fldChar w:fldCharType="end"/>
        </w:r>
      </w:hyperlink>
      <w:r/>
      <w:r/>
    </w:p>
    <w:p>
      <w:pPr>
        <w:pStyle w:val="821"/>
        <w:rPr>
          <w:rFonts w:ascii="Calibri" w:hAnsi="Calibri" w:cs="Calibri" w:eastAsia="Calibri"/>
        </w:rPr>
      </w:pPr>
      <w:r/>
      <w:hyperlink w:tooltip="#_Toc92377749" w:anchor="_Toc92377749" w:history="1">
        <w:r>
          <w:rPr>
            <w:rStyle w:val="812"/>
          </w:rPr>
          <w:t xml:space="preserve">S’informer</w:t>
        </w:r>
        <w:r>
          <w:tab/>
        </w:r>
        <w:r>
          <w:fldChar w:fldCharType="begin"/>
        </w:r>
        <w:r>
          <w:instrText xml:space="preserve"> PAGEREF _Toc92377749 \h </w:instrText>
        </w:r>
        <w:r>
          <w:fldChar w:fldCharType="separate"/>
        </w:r>
        <w:r>
          <w:t xml:space="preserve">22</w:t>
        </w:r>
        <w:r>
          <w:fldChar w:fldCharType="end"/>
        </w:r>
      </w:hyperlink>
      <w:r/>
      <w:r/>
    </w:p>
    <w:p>
      <w:pPr>
        <w:pStyle w:val="821"/>
        <w:rPr>
          <w:rFonts w:ascii="Calibri" w:hAnsi="Calibri" w:cs="Calibri" w:eastAsia="Calibri"/>
        </w:rPr>
      </w:pPr>
      <w:r/>
      <w:hyperlink w:tooltip="#_Toc92377750" w:anchor="_Toc92377750" w:history="1">
        <w:r>
          <w:rPr>
            <w:rStyle w:val="812"/>
          </w:rPr>
          <w:t xml:space="preserve">Procédure de soutenance</w:t>
        </w:r>
        <w:r>
          <w:tab/>
        </w:r>
        <w:r>
          <w:fldChar w:fldCharType="begin"/>
        </w:r>
        <w:r>
          <w:instrText xml:space="preserve"> PAGEREF _Toc92377750 \h </w:instrText>
        </w:r>
        <w:r>
          <w:fldChar w:fldCharType="separate"/>
        </w:r>
        <w:r>
          <w:t xml:space="preserve">22</w:t>
        </w:r>
        <w:r>
          <w:fldChar w:fldCharType="end"/>
        </w:r>
      </w:hyperlink>
      <w:r/>
      <w:r/>
    </w:p>
    <w:p>
      <w:pPr>
        <w:pStyle w:val="822"/>
        <w:rPr>
          <w:rFonts w:ascii="Calibri" w:hAnsi="Calibri" w:cs="Calibri" w:eastAsia="Calibri"/>
        </w:rPr>
      </w:pPr>
      <w:r/>
      <w:hyperlink w:tooltip="#_Toc92377751" w:anchor="_Toc92377751" w:history="1">
        <w:r>
          <w:rPr>
            <w:rStyle w:val="812"/>
          </w:rPr>
          <w:t xml:space="preserve">Le manuscrit de thèse</w:t>
        </w:r>
        <w:r>
          <w:tab/>
        </w:r>
        <w:r>
          <w:fldChar w:fldCharType="begin"/>
        </w:r>
        <w:r>
          <w:instrText xml:space="preserve"> PAGEREF _Toc92377751 \h </w:instrText>
        </w:r>
        <w:r>
          <w:fldChar w:fldCharType="separate"/>
        </w:r>
        <w:r>
          <w:t xml:space="preserve">23</w:t>
        </w:r>
        <w:r>
          <w:fldChar w:fldCharType="end"/>
        </w:r>
      </w:hyperlink>
      <w:r/>
      <w:r/>
    </w:p>
    <w:p>
      <w:pPr>
        <w:pStyle w:val="822"/>
        <w:rPr>
          <w:rFonts w:ascii="Calibri" w:hAnsi="Calibri" w:cs="Calibri" w:eastAsia="Calibri"/>
        </w:rPr>
      </w:pPr>
      <w:r/>
      <w:hyperlink w:tooltip="#_Toc92377752" w:anchor="_Toc92377752" w:history="1">
        <w:r>
          <w:rPr>
            <w:rStyle w:val="812"/>
          </w:rPr>
          <w:t xml:space="preserve">La présentation orale</w:t>
        </w:r>
        <w:r>
          <w:tab/>
        </w:r>
        <w:r>
          <w:fldChar w:fldCharType="begin"/>
        </w:r>
        <w:r>
          <w:instrText xml:space="preserve"> PAGEREF _Toc92377752 \h </w:instrText>
        </w:r>
        <w:r>
          <w:fldChar w:fldCharType="separate"/>
        </w:r>
        <w:r>
          <w:t xml:space="preserve">24</w:t>
        </w:r>
        <w:r>
          <w:fldChar w:fldCharType="end"/>
        </w:r>
      </w:hyperlink>
      <w:r/>
      <w:r/>
    </w:p>
    <w:p>
      <w:pPr>
        <w:pStyle w:val="820"/>
        <w:rPr>
          <w:rFonts w:ascii="Calibri" w:hAnsi="Calibri" w:cs="Calibri" w:eastAsia="Calibri"/>
        </w:rPr>
      </w:pPr>
      <w:r/>
      <w:hyperlink w:tooltip="#_Toc92377753" w:anchor="_Toc92377753" w:history="1">
        <w:r>
          <w:rPr>
            <w:rStyle w:val="812"/>
          </w:rPr>
          <w:t xml:space="preserve">L’après-thèse</w:t>
        </w:r>
        <w:r>
          <w:tab/>
        </w:r>
        <w:r>
          <w:fldChar w:fldCharType="begin"/>
        </w:r>
        <w:r>
          <w:instrText xml:space="preserve"> PAGEREF _Toc92377753 \h </w:instrText>
        </w:r>
        <w:r>
          <w:fldChar w:fldCharType="separate"/>
        </w:r>
        <w:r>
          <w:t xml:space="preserve">25</w:t>
        </w:r>
        <w:r>
          <w:fldChar w:fldCharType="end"/>
        </w:r>
      </w:hyperlink>
      <w:r/>
      <w:r/>
    </w:p>
    <w:p>
      <w:pPr>
        <w:pStyle w:val="821"/>
        <w:rPr>
          <w:rFonts w:ascii="Calibri" w:hAnsi="Calibri" w:cs="Calibri" w:eastAsia="Calibri"/>
        </w:rPr>
      </w:pPr>
      <w:r/>
      <w:hyperlink w:tooltip="#_Toc92377754" w:anchor="_Toc92377754" w:history="1">
        <w:r>
          <w:rPr>
            <w:rStyle w:val="812"/>
          </w:rPr>
          <w:t xml:space="preserve">ATER</w:t>
        </w:r>
        <w:r>
          <w:tab/>
        </w:r>
        <w:r>
          <w:fldChar w:fldCharType="begin"/>
        </w:r>
        <w:r>
          <w:instrText xml:space="preserve"> PAGEREF _Toc92377754 \h </w:instrText>
        </w:r>
        <w:r>
          <w:fldChar w:fldCharType="separate"/>
        </w:r>
        <w:r>
          <w:t xml:space="preserve">25</w:t>
        </w:r>
        <w:r>
          <w:fldChar w:fldCharType="end"/>
        </w:r>
      </w:hyperlink>
      <w:r/>
      <w:r/>
    </w:p>
    <w:p>
      <w:pPr>
        <w:pStyle w:val="821"/>
        <w:rPr>
          <w:rFonts w:ascii="Calibri" w:hAnsi="Calibri" w:cs="Calibri" w:eastAsia="Calibri"/>
        </w:rPr>
      </w:pPr>
      <w:r/>
      <w:hyperlink w:tooltip="#_Toc92377755" w:anchor="_Toc92377755" w:history="1">
        <w:r>
          <w:rPr>
            <w:rStyle w:val="812"/>
          </w:rPr>
          <w:t xml:space="preserve">Post-doctorat</w:t>
        </w:r>
        <w:r>
          <w:tab/>
        </w:r>
        <w:r>
          <w:fldChar w:fldCharType="begin"/>
        </w:r>
        <w:r>
          <w:instrText xml:space="preserve"> PAGEREF _Toc92377755 \h </w:instrText>
        </w:r>
        <w:r>
          <w:fldChar w:fldCharType="separate"/>
        </w:r>
        <w:r>
          <w:t xml:space="preserve">26</w:t>
        </w:r>
        <w:r>
          <w:fldChar w:fldCharType="end"/>
        </w:r>
      </w:hyperlink>
      <w:r/>
      <w:r/>
    </w:p>
    <w:p>
      <w:pPr>
        <w:pStyle w:val="821"/>
        <w:rPr>
          <w:rFonts w:ascii="Calibri" w:hAnsi="Calibri" w:cs="Calibri" w:eastAsia="Calibri"/>
        </w:rPr>
      </w:pPr>
      <w:r/>
      <w:hyperlink w:tooltip="#_Toc92377756" w:anchor="_Toc92377756" w:history="1">
        <w:r>
          <w:rPr>
            <w:rStyle w:val="812"/>
          </w:rPr>
          <w:t xml:space="preserve">Devenir Enseignant-Chercheur à l’Université</w:t>
        </w:r>
        <w:r>
          <w:tab/>
        </w:r>
        <w:r>
          <w:fldChar w:fldCharType="begin"/>
        </w:r>
        <w:r>
          <w:instrText xml:space="preserve"> PAGEREF _Toc92377756 \h </w:instrText>
        </w:r>
        <w:r>
          <w:fldChar w:fldCharType="separate"/>
        </w:r>
        <w:r>
          <w:t xml:space="preserve">26</w:t>
        </w:r>
        <w:r>
          <w:fldChar w:fldCharType="end"/>
        </w:r>
      </w:hyperlink>
      <w:r/>
      <w:r/>
    </w:p>
    <w:p>
      <w:pPr>
        <w:pStyle w:val="821"/>
        <w:rPr>
          <w:rFonts w:ascii="Calibri" w:hAnsi="Calibri" w:cs="Calibri" w:eastAsia="Calibri"/>
        </w:rPr>
      </w:pPr>
      <w:r/>
      <w:hyperlink w:tooltip="#_Toc92377757" w:anchor="_Toc92377757" w:history="1">
        <w:r>
          <w:rPr>
            <w:rStyle w:val="812"/>
          </w:rPr>
          <w:t xml:space="preserve">Faire carrière au CNRS</w:t>
        </w:r>
        <w:r>
          <w:tab/>
        </w:r>
        <w:r>
          <w:fldChar w:fldCharType="begin"/>
        </w:r>
        <w:r>
          <w:instrText xml:space="preserve"> PAGEREF _Toc92377757 \h </w:instrText>
        </w:r>
        <w:r>
          <w:fldChar w:fldCharType="separate"/>
        </w:r>
        <w:r>
          <w:t xml:space="preserve">27</w:t>
        </w:r>
        <w:r>
          <w:fldChar w:fldCharType="end"/>
        </w:r>
      </w:hyperlink>
      <w:r/>
      <w:r/>
    </w:p>
    <w:p>
      <w:pPr>
        <w:pStyle w:val="821"/>
        <w:rPr>
          <w:rFonts w:ascii="Calibri" w:hAnsi="Calibri" w:cs="Calibri" w:eastAsia="Calibri"/>
        </w:rPr>
      </w:pPr>
      <w:r/>
      <w:hyperlink w:tooltip="#_Toc92377758" w:anchor="_Toc92377758" w:history="1">
        <w:r>
          <w:rPr>
            <w:rStyle w:val="812"/>
          </w:rPr>
          <w:t xml:space="preserve">Ingénieur de recherche</w:t>
        </w:r>
        <w:r>
          <w:tab/>
        </w:r>
        <w:r>
          <w:fldChar w:fldCharType="begin"/>
        </w:r>
        <w:r>
          <w:instrText xml:space="preserve"> PAGEREF _Toc92377758 \h </w:instrText>
        </w:r>
        <w:r>
          <w:fldChar w:fldCharType="separate"/>
        </w:r>
        <w:r>
          <w:t xml:space="preserve">28</w:t>
        </w:r>
        <w:r>
          <w:fldChar w:fldCharType="end"/>
        </w:r>
      </w:hyperlink>
      <w:r/>
      <w:r/>
    </w:p>
    <w:p>
      <w:pPr>
        <w:pStyle w:val="820"/>
        <w:rPr>
          <w:rFonts w:ascii="Calibri" w:hAnsi="Calibri" w:cs="Calibri" w:eastAsia="Calibri"/>
        </w:rPr>
      </w:pPr>
      <w:r/>
      <w:hyperlink w:tooltip="#_Toc92377759" w:anchor="_Toc92377759" w:history="1">
        <w:r>
          <w:rPr>
            <w:rStyle w:val="812"/>
          </w:rPr>
          <w:t xml:space="preserve">Informations complémentaires</w:t>
        </w:r>
        <w:r>
          <w:tab/>
        </w:r>
        <w:r>
          <w:fldChar w:fldCharType="begin"/>
        </w:r>
        <w:r>
          <w:instrText xml:space="preserve"> PAGEREF _Toc92377759 \h </w:instrText>
        </w:r>
        <w:r>
          <w:fldChar w:fldCharType="separate"/>
        </w:r>
        <w:r>
          <w:t xml:space="preserve">29</w:t>
        </w:r>
        <w:r>
          <w:fldChar w:fldCharType="end"/>
        </w:r>
      </w:hyperlink>
      <w:r/>
      <w:r/>
    </w:p>
    <w:p>
      <w:pPr>
        <w:pStyle w:val="821"/>
        <w:rPr>
          <w:rFonts w:ascii="Calibri" w:hAnsi="Calibri" w:cs="Calibri" w:eastAsia="Calibri"/>
        </w:rPr>
      </w:pPr>
      <w:r/>
      <w:hyperlink w:tooltip="#_Toc92377760" w:anchor="_Toc92377760" w:history="1">
        <w:r>
          <w:rPr>
            <w:rStyle w:val="812"/>
          </w:rPr>
          <w:t xml:space="preserve">Formation continue</w:t>
        </w:r>
        <w:r>
          <w:tab/>
        </w:r>
        <w:r>
          <w:fldChar w:fldCharType="begin"/>
        </w:r>
        <w:r>
          <w:instrText xml:space="preserve"> PAGEREF _Toc92377760 \h </w:instrText>
        </w:r>
        <w:r>
          <w:fldChar w:fldCharType="separate"/>
        </w:r>
        <w:r>
          <w:t xml:space="preserve">29</w:t>
        </w:r>
        <w:r>
          <w:fldChar w:fldCharType="end"/>
        </w:r>
      </w:hyperlink>
      <w:r/>
      <w:r/>
    </w:p>
    <w:p>
      <w:pPr>
        <w:pStyle w:val="821"/>
        <w:rPr>
          <w:rFonts w:ascii="Calibri" w:hAnsi="Calibri" w:cs="Calibri" w:eastAsia="Calibri"/>
        </w:rPr>
      </w:pPr>
      <w:r/>
      <w:hyperlink w:tooltip="#_Toc92377761" w:anchor="_Toc92377761" w:history="1">
        <w:r>
          <w:rPr>
            <w:rStyle w:val="812"/>
          </w:rPr>
          <w:t xml:space="preserve">La malette du doctorant</w:t>
        </w:r>
        <w:r>
          <w:tab/>
        </w:r>
        <w:r>
          <w:fldChar w:fldCharType="begin"/>
        </w:r>
        <w:r>
          <w:instrText xml:space="preserve"> PAGEREF _Toc92377761 \h </w:instrText>
        </w:r>
        <w:r>
          <w:fldChar w:fldCharType="separate"/>
        </w:r>
        <w:r>
          <w:t xml:space="preserve">29</w:t>
        </w:r>
        <w:r>
          <w:fldChar w:fldCharType="end"/>
        </w:r>
      </w:hyperlink>
      <w:r/>
      <w:r/>
    </w:p>
    <w:p>
      <w:pPr>
        <w:pStyle w:val="822"/>
        <w:rPr>
          <w:rFonts w:ascii="Calibri" w:hAnsi="Calibri" w:cs="Calibri" w:eastAsia="Calibri"/>
        </w:rPr>
      </w:pPr>
      <w:r/>
      <w:hyperlink w:tooltip="#_Toc92377762" w:anchor="_Toc92377762" w:history="1">
        <w:r>
          <w:rPr>
            <w:rStyle w:val="812"/>
          </w:rPr>
          <w:t xml:space="preserve">Gérer son projet de thèse</w:t>
        </w:r>
        <w:r>
          <w:tab/>
        </w:r>
        <w:r>
          <w:fldChar w:fldCharType="begin"/>
        </w:r>
        <w:r>
          <w:instrText xml:space="preserve"> PAGEREF _Toc92377762 \h </w:instrText>
        </w:r>
        <w:r>
          <w:fldChar w:fldCharType="separate"/>
        </w:r>
        <w:r>
          <w:t xml:space="preserve">29</w:t>
        </w:r>
        <w:r>
          <w:fldChar w:fldCharType="end"/>
        </w:r>
      </w:hyperlink>
      <w:r/>
      <w:r/>
    </w:p>
    <w:p>
      <w:pPr>
        <w:pStyle w:val="824"/>
        <w:rPr>
          <w:rFonts w:ascii="Calibri" w:hAnsi="Calibri" w:cs="Calibri" w:eastAsia="Calibri"/>
        </w:rPr>
      </w:pPr>
      <w:r/>
      <w:hyperlink w:tooltip="#_Toc92377763" w:anchor="_Toc92377763" w:history="1">
        <w:r>
          <w:rPr>
            <w:rStyle w:val="812"/>
          </w:rPr>
          <w:t xml:space="preserve">Livre « l’art de la thèse »</w:t>
        </w:r>
        <w:r>
          <w:tab/>
        </w:r>
        <w:r>
          <w:fldChar w:fldCharType="begin"/>
        </w:r>
        <w:r>
          <w:instrText xml:space="preserve"> PAGEREF _Toc92377763 \h </w:instrText>
        </w:r>
        <w:r>
          <w:fldChar w:fldCharType="separate"/>
        </w:r>
        <w:r>
          <w:t xml:space="preserve">29</w:t>
        </w:r>
        <w:r>
          <w:fldChar w:fldCharType="end"/>
        </w:r>
      </w:hyperlink>
      <w:r/>
      <w:r/>
    </w:p>
    <w:p>
      <w:pPr>
        <w:pStyle w:val="824"/>
        <w:rPr>
          <w:rFonts w:ascii="Calibri" w:hAnsi="Calibri" w:cs="Calibri" w:eastAsia="Calibri"/>
        </w:rPr>
      </w:pPr>
      <w:r/>
      <w:hyperlink w:tooltip="#_Toc92377764" w:anchor="_Toc92377764" w:history="1">
        <w:r>
          <w:rPr>
            <w:rStyle w:val="812"/>
          </w:rPr>
          <w:t xml:space="preserve">Livre « la communication scientifique en anglais »</w:t>
        </w:r>
        <w:r>
          <w:tab/>
        </w:r>
        <w:r>
          <w:fldChar w:fldCharType="begin"/>
        </w:r>
        <w:r>
          <w:instrText xml:space="preserve"> PAGEREF _Toc92377764 \h </w:instrText>
        </w:r>
        <w:r>
          <w:fldChar w:fldCharType="separate"/>
        </w:r>
        <w:r>
          <w:t xml:space="preserve">29</w:t>
        </w:r>
        <w:r>
          <w:fldChar w:fldCharType="end"/>
        </w:r>
      </w:hyperlink>
      <w:r/>
      <w:r/>
    </w:p>
    <w:p>
      <w:pPr>
        <w:pStyle w:val="822"/>
        <w:rPr>
          <w:rFonts w:ascii="Calibri" w:hAnsi="Calibri" w:cs="Calibri" w:eastAsia="Calibri"/>
        </w:rPr>
      </w:pPr>
      <w:r/>
      <w:hyperlink w:tooltip="#_Toc92377765" w:anchor="_Toc92377765" w:history="1">
        <w:r>
          <w:rPr>
            <w:rStyle w:val="812"/>
          </w:rPr>
          <w:t xml:space="preserve">Logithèque</w:t>
        </w:r>
        <w:r>
          <w:tab/>
        </w:r>
        <w:r>
          <w:fldChar w:fldCharType="begin"/>
        </w:r>
        <w:r>
          <w:instrText xml:space="preserve"> PAGEREF _Toc92377765 \h </w:instrText>
        </w:r>
        <w:r>
          <w:fldChar w:fldCharType="separate"/>
        </w:r>
        <w:r>
          <w:t xml:space="preserve">29</w:t>
        </w:r>
        <w:r>
          <w:fldChar w:fldCharType="end"/>
        </w:r>
      </w:hyperlink>
      <w:r/>
      <w:r/>
    </w:p>
    <w:p>
      <w:pPr>
        <w:pStyle w:val="823"/>
        <w:tabs>
          <w:tab w:val="right" w:pos="9203" w:leader="dot"/>
        </w:tabs>
        <w:rPr>
          <w:rFonts w:ascii="Calibri" w:hAnsi="Calibri" w:cs="Calibri" w:eastAsia="Calibri"/>
        </w:rPr>
      </w:pPr>
      <w:r/>
      <w:hyperlink w:tooltip="#_Toc92377766" w:anchor="_Toc92377766" w:history="1">
        <w:r>
          <w:rPr>
            <w:rStyle w:val="812"/>
          </w:rPr>
          <w:t xml:space="preserve">Représenter ses idées</w:t>
        </w:r>
        <w:r>
          <w:tab/>
        </w:r>
        <w:r>
          <w:fldChar w:fldCharType="begin"/>
        </w:r>
        <w:r>
          <w:instrText xml:space="preserve"> PAGEREF _Toc92377766 \h </w:instrText>
        </w:r>
        <w:r>
          <w:fldChar w:fldCharType="separate"/>
        </w:r>
        <w:r>
          <w:t xml:space="preserve">30</w:t>
        </w:r>
        <w:r>
          <w:fldChar w:fldCharType="end"/>
        </w:r>
      </w:hyperlink>
      <w:r/>
      <w:r/>
    </w:p>
    <w:p>
      <w:pPr>
        <w:pStyle w:val="823"/>
        <w:tabs>
          <w:tab w:val="right" w:pos="9203" w:leader="dot"/>
        </w:tabs>
        <w:rPr>
          <w:rFonts w:ascii="Calibri" w:hAnsi="Calibri" w:cs="Calibri" w:eastAsia="Calibri"/>
        </w:rPr>
      </w:pPr>
      <w:r/>
      <w:hyperlink w:tooltip="#_Toc92377767" w:anchor="_Toc92377767" w:history="1">
        <w:r>
          <w:rPr>
            <w:rStyle w:val="812"/>
          </w:rPr>
          <w:t xml:space="preserve">Gérer ses données</w:t>
        </w:r>
        <w:r>
          <w:tab/>
        </w:r>
        <w:r>
          <w:fldChar w:fldCharType="begin"/>
        </w:r>
        <w:r>
          <w:instrText xml:space="preserve"> PAGEREF _Toc92377767 \h </w:instrText>
        </w:r>
        <w:r>
          <w:fldChar w:fldCharType="separate"/>
        </w:r>
        <w:r>
          <w:t xml:space="preserve">30</w:t>
        </w:r>
        <w:r>
          <w:fldChar w:fldCharType="end"/>
        </w:r>
      </w:hyperlink>
      <w:r/>
      <w:r/>
    </w:p>
    <w:p>
      <w:pPr>
        <w:pStyle w:val="824"/>
        <w:rPr>
          <w:rFonts w:ascii="Calibri" w:hAnsi="Calibri" w:cs="Calibri" w:eastAsia="Calibri"/>
        </w:rPr>
      </w:pPr>
      <w:r/>
      <w:hyperlink w:tooltip="#_Toc92377768" w:anchor="_Toc92377768" w:history="1">
        <w:r>
          <w:rPr>
            <w:rStyle w:val="812"/>
          </w:rPr>
          <w:t xml:space="preserve">Le porte-documents de Windows</w:t>
        </w:r>
        <w:r>
          <w:tab/>
        </w:r>
        <w:r>
          <w:fldChar w:fldCharType="begin"/>
        </w:r>
        <w:r>
          <w:instrText xml:space="preserve"> PAGEREF _Toc92377768 \h </w:instrText>
        </w:r>
        <w:r>
          <w:fldChar w:fldCharType="separate"/>
        </w:r>
        <w:r>
          <w:t xml:space="preserve">30</w:t>
        </w:r>
        <w:r>
          <w:fldChar w:fldCharType="end"/>
        </w:r>
      </w:hyperlink>
      <w:r/>
      <w:r/>
    </w:p>
    <w:p>
      <w:pPr>
        <w:pStyle w:val="824"/>
        <w:rPr>
          <w:rFonts w:ascii="Calibri" w:hAnsi="Calibri" w:cs="Calibri" w:eastAsia="Calibri"/>
        </w:rPr>
      </w:pPr>
      <w:r/>
      <w:hyperlink w:tooltip="#_Toc92377769" w:anchor="_Toc92377769" w:history="1">
        <w:r>
          <w:rPr>
            <w:rStyle w:val="812"/>
          </w:rPr>
          <w:t xml:space="preserve">Dropbox</w:t>
        </w:r>
        <w:r>
          <w:tab/>
        </w:r>
        <w:r>
          <w:fldChar w:fldCharType="begin"/>
        </w:r>
        <w:r>
          <w:instrText xml:space="preserve"> PAGEREF _Toc92377769 \h </w:instrText>
        </w:r>
        <w:r>
          <w:fldChar w:fldCharType="separate"/>
        </w:r>
        <w:r>
          <w:t xml:space="preserve">30</w:t>
        </w:r>
        <w:r>
          <w:fldChar w:fldCharType="end"/>
        </w:r>
      </w:hyperlink>
      <w:r/>
      <w:r/>
    </w:p>
    <w:p>
      <w:pPr>
        <w:pStyle w:val="824"/>
        <w:rPr>
          <w:rFonts w:ascii="Calibri" w:hAnsi="Calibri" w:cs="Calibri" w:eastAsia="Calibri"/>
        </w:rPr>
      </w:pPr>
      <w:r/>
      <w:hyperlink w:tooltip="#_Toc92377770" w:anchor="_Toc92377770" w:history="1">
        <w:r>
          <w:rPr>
            <w:rStyle w:val="812"/>
          </w:rPr>
          <w:t xml:space="preserve">FreeFileSync</w:t>
        </w:r>
        <w:r>
          <w:tab/>
        </w:r>
        <w:r>
          <w:fldChar w:fldCharType="begin"/>
        </w:r>
        <w:r>
          <w:instrText xml:space="preserve"> PAGEREF _Toc92377770 \h </w:instrText>
        </w:r>
        <w:r>
          <w:fldChar w:fldCharType="separate"/>
        </w:r>
        <w:r>
          <w:t xml:space="preserve">30</w:t>
        </w:r>
        <w:r>
          <w:fldChar w:fldCharType="end"/>
        </w:r>
      </w:hyperlink>
      <w:r/>
      <w:r/>
    </w:p>
    <w:p>
      <w:pPr>
        <w:pStyle w:val="823"/>
        <w:tabs>
          <w:tab w:val="right" w:pos="9203" w:leader="dot"/>
        </w:tabs>
        <w:rPr>
          <w:rFonts w:ascii="Calibri" w:hAnsi="Calibri" w:cs="Calibri" w:eastAsia="Calibri"/>
        </w:rPr>
      </w:pPr>
      <w:r/>
      <w:hyperlink w:tooltip="#_Toc92377771" w:anchor="_Toc92377771" w:history="1">
        <w:r>
          <w:rPr>
            <w:rStyle w:val="812"/>
          </w:rPr>
          <w:t xml:space="preserve">Utilisation des logiciels alternatifs aux logiciels sous License</w:t>
        </w:r>
        <w:r>
          <w:tab/>
        </w:r>
        <w:r>
          <w:fldChar w:fldCharType="begin"/>
        </w:r>
        <w:r>
          <w:instrText xml:space="preserve"> PAGEREF _Toc92377771 \h </w:instrText>
        </w:r>
        <w:r>
          <w:fldChar w:fldCharType="separate"/>
        </w:r>
        <w:r>
          <w:t xml:space="preserve">30</w:t>
        </w:r>
        <w:r>
          <w:fldChar w:fldCharType="end"/>
        </w:r>
      </w:hyperlink>
      <w:r/>
      <w:r/>
    </w:p>
    <w:p>
      <w:pPr>
        <w:pStyle w:val="824"/>
        <w:rPr>
          <w:rFonts w:ascii="Calibri" w:hAnsi="Calibri" w:cs="Calibri" w:eastAsia="Calibri"/>
        </w:rPr>
      </w:pPr>
      <w:r/>
      <w:hyperlink w:tooltip="#_Toc92377772" w:anchor="_Toc92377772" w:history="1">
        <w:r>
          <w:rPr>
            <w:rStyle w:val="812"/>
          </w:rPr>
          <w:t xml:space="preserve">Matlab et Octave</w:t>
        </w:r>
        <w:r>
          <w:tab/>
        </w:r>
        <w:r>
          <w:fldChar w:fldCharType="begin"/>
        </w:r>
        <w:r>
          <w:instrText xml:space="preserve"> PAGEREF _Toc92377772 \h </w:instrText>
        </w:r>
        <w:r>
          <w:fldChar w:fldCharType="separate"/>
        </w:r>
        <w:r>
          <w:t xml:space="preserve">30</w:t>
        </w:r>
        <w:r>
          <w:fldChar w:fldCharType="end"/>
        </w:r>
      </w:hyperlink>
      <w:r/>
      <w:r/>
    </w:p>
    <w:p>
      <w:pPr>
        <w:pStyle w:val="824"/>
        <w:rPr>
          <w:rFonts w:ascii="Calibri" w:hAnsi="Calibri" w:cs="Calibri" w:eastAsia="Calibri"/>
        </w:rPr>
      </w:pPr>
      <w:r/>
      <w:hyperlink w:tooltip="#_Toc92377773" w:anchor="_Toc92377773" w:history="1">
        <w:r>
          <w:rPr>
            <w:rStyle w:val="812"/>
          </w:rPr>
          <w:t xml:space="preserve">Matlab et Scilab</w:t>
        </w:r>
        <w:r>
          <w:tab/>
        </w:r>
        <w:r>
          <w:fldChar w:fldCharType="begin"/>
        </w:r>
        <w:r>
          <w:instrText xml:space="preserve"> PAGEREF _Toc92377773 \h </w:instrText>
        </w:r>
        <w:r>
          <w:fldChar w:fldCharType="separate"/>
        </w:r>
        <w:r>
          <w:t xml:space="preserve">31</w:t>
        </w:r>
        <w:r>
          <w:fldChar w:fldCharType="end"/>
        </w:r>
      </w:hyperlink>
      <w:r/>
      <w:r/>
    </w:p>
    <w:p>
      <w:pPr>
        <w:pStyle w:val="824"/>
        <w:rPr>
          <w:rFonts w:ascii="Calibri" w:hAnsi="Calibri" w:cs="Calibri" w:eastAsia="Calibri"/>
        </w:rPr>
      </w:pPr>
      <w:r/>
      <w:hyperlink w:tooltip="#_Toc92377774" w:anchor="_Toc92377774" w:history="1">
        <w:r>
          <w:rPr>
            <w:rStyle w:val="812"/>
          </w:rPr>
          <w:t xml:space="preserve">Python</w:t>
        </w:r>
        <w:r>
          <w:tab/>
        </w:r>
        <w:r>
          <w:fldChar w:fldCharType="begin"/>
        </w:r>
        <w:r>
          <w:instrText xml:space="preserve"> PAGEREF _Toc92377774 \h </w:instrText>
        </w:r>
        <w:r>
          <w:fldChar w:fldCharType="separate"/>
        </w:r>
        <w:r>
          <w:t xml:space="preserve">31</w:t>
        </w:r>
        <w:r>
          <w:fldChar w:fldCharType="end"/>
        </w:r>
      </w:hyperlink>
      <w:r/>
      <w:r/>
    </w:p>
    <w:p>
      <w:pPr>
        <w:pStyle w:val="822"/>
        <w:rPr>
          <w:rFonts w:ascii="Calibri" w:hAnsi="Calibri" w:cs="Calibri" w:eastAsia="Calibri"/>
        </w:rPr>
      </w:pPr>
      <w:r/>
      <w:hyperlink w:tooltip="#_Toc92377775" w:anchor="_Toc92377775" w:history="1">
        <w:r>
          <w:rPr>
            <w:rStyle w:val="812"/>
          </w:rPr>
          <w:t xml:space="preserve">L’expérimentation</w:t>
        </w:r>
        <w:r>
          <w:tab/>
        </w:r>
        <w:r>
          <w:fldChar w:fldCharType="begin"/>
        </w:r>
        <w:r>
          <w:instrText xml:space="preserve"> PAGEREF _Toc92377775 \h </w:instrText>
        </w:r>
        <w:r>
          <w:fldChar w:fldCharType="separate"/>
        </w:r>
        <w:r>
          <w:t xml:space="preserve">31</w:t>
        </w:r>
        <w:r>
          <w:fldChar w:fldCharType="end"/>
        </w:r>
      </w:hyperlink>
      <w:r/>
      <w:r/>
    </w:p>
    <w:p>
      <w:pPr>
        <w:pStyle w:val="822"/>
        <w:rPr>
          <w:rFonts w:ascii="Calibri" w:hAnsi="Calibri" w:cs="Calibri" w:eastAsia="Calibri"/>
        </w:rPr>
      </w:pPr>
      <w:r/>
      <w:hyperlink w:tooltip="#_Toc92377776" w:anchor="_Toc92377776" w:history="1">
        <w:r>
          <w:rPr>
            <w:rStyle w:val="812"/>
          </w:rPr>
          <w:t xml:space="preserve">La rédaction</w:t>
        </w:r>
        <w:r>
          <w:tab/>
        </w:r>
        <w:r>
          <w:fldChar w:fldCharType="begin"/>
        </w:r>
        <w:r>
          <w:instrText xml:space="preserve"> PAGEREF _Toc92377776 \h </w:instrText>
        </w:r>
        <w:r>
          <w:fldChar w:fldCharType="separate"/>
        </w:r>
        <w:r>
          <w:t xml:space="preserve">32</w:t>
        </w:r>
        <w:r>
          <w:fldChar w:fldCharType="end"/>
        </w:r>
      </w:hyperlink>
      <w:r/>
      <w:r/>
    </w:p>
    <w:p>
      <w:pPr>
        <w:pStyle w:val="823"/>
        <w:tabs>
          <w:tab w:val="right" w:pos="9203" w:leader="dot"/>
        </w:tabs>
        <w:rPr>
          <w:rFonts w:ascii="Calibri" w:hAnsi="Calibri" w:cs="Calibri" w:eastAsia="Calibri"/>
        </w:rPr>
      </w:pPr>
      <w:r/>
      <w:hyperlink w:tooltip="#_Toc92377777" w:anchor="_Toc92377777" w:history="1">
        <w:r>
          <w:rPr>
            <w:rStyle w:val="812"/>
          </w:rPr>
          <w:t xml:space="preserve">LaTeX</w:t>
        </w:r>
        <w:r>
          <w:tab/>
        </w:r>
        <w:r>
          <w:fldChar w:fldCharType="begin"/>
        </w:r>
        <w:r>
          <w:instrText xml:space="preserve"> PAGEREF _Toc92377777 \h </w:instrText>
        </w:r>
        <w:r>
          <w:fldChar w:fldCharType="separate"/>
        </w:r>
        <w:r>
          <w:t xml:space="preserve">32</w:t>
        </w:r>
        <w:r>
          <w:fldChar w:fldCharType="end"/>
        </w:r>
      </w:hyperlink>
      <w:r/>
      <w:r/>
    </w:p>
    <w:p>
      <w:pPr>
        <w:pStyle w:val="823"/>
        <w:tabs>
          <w:tab w:val="right" w:pos="9203" w:leader="dot"/>
        </w:tabs>
        <w:rPr>
          <w:rFonts w:ascii="Calibri" w:hAnsi="Calibri" w:cs="Calibri" w:eastAsia="Calibri"/>
        </w:rPr>
      </w:pPr>
      <w:r/>
      <w:hyperlink w:tooltip="#_Toc92377778" w:anchor="_Toc92377778" w:history="1">
        <w:r>
          <w:rPr>
            <w:rStyle w:val="812"/>
          </w:rPr>
          <w:t xml:space="preserve">Microsoft Word</w:t>
        </w:r>
        <w:r>
          <w:tab/>
        </w:r>
        <w:r>
          <w:fldChar w:fldCharType="begin"/>
        </w:r>
        <w:r>
          <w:instrText xml:space="preserve"> PAGEREF _Toc92377778 \h </w:instrText>
        </w:r>
        <w:r>
          <w:fldChar w:fldCharType="separate"/>
        </w:r>
        <w:r>
          <w:t xml:space="preserve">32</w:t>
        </w:r>
        <w:r>
          <w:fldChar w:fldCharType="end"/>
        </w:r>
      </w:hyperlink>
      <w:r/>
      <w:r/>
    </w:p>
    <w:p>
      <w:pPr>
        <w:pStyle w:val="821"/>
        <w:rPr>
          <w:rFonts w:ascii="Calibri" w:hAnsi="Calibri" w:cs="Calibri" w:eastAsia="Calibri"/>
        </w:rPr>
      </w:pPr>
      <w:r/>
      <w:hyperlink w:tooltip="#_Toc92377779" w:anchor="_Toc92377779" w:history="1">
        <w:r>
          <w:rPr>
            <w:rStyle w:val="812"/>
          </w:rPr>
          <w:t xml:space="preserve">Restauration Universitaire</w:t>
        </w:r>
        <w:r>
          <w:tab/>
        </w:r>
        <w:r>
          <w:fldChar w:fldCharType="begin"/>
        </w:r>
        <w:r>
          <w:instrText xml:space="preserve"> PAGEREF _Toc92377779 \h </w:instrText>
        </w:r>
        <w:r>
          <w:fldChar w:fldCharType="separate"/>
        </w:r>
        <w:r>
          <w:t xml:space="preserve">33</w:t>
        </w:r>
        <w:r>
          <w:fldChar w:fldCharType="end"/>
        </w:r>
      </w:hyperlink>
      <w:r/>
      <w:r/>
    </w:p>
    <w:p>
      <w:pPr>
        <w:pStyle w:val="821"/>
        <w:rPr>
          <w:rFonts w:ascii="Calibri" w:hAnsi="Calibri" w:cs="Calibri" w:eastAsia="Calibri"/>
        </w:rPr>
      </w:pPr>
      <w:r/>
      <w:hyperlink w:tooltip="#_Toc92377780" w:anchor="_Toc92377780" w:history="1">
        <w:r>
          <w:rPr>
            <w:rStyle w:val="812"/>
          </w:rPr>
          <w:t xml:space="preserve">Bibliothèque</w:t>
        </w:r>
        <w:r>
          <w:tab/>
        </w:r>
        <w:r>
          <w:fldChar w:fldCharType="begin"/>
        </w:r>
        <w:r>
          <w:instrText xml:space="preserve"> PAGEREF _Toc92377780 \h </w:instrText>
        </w:r>
        <w:r>
          <w:fldChar w:fldCharType="separate"/>
        </w:r>
        <w:r>
          <w:t xml:space="preserve">33</w:t>
        </w:r>
        <w:r>
          <w:fldChar w:fldCharType="end"/>
        </w:r>
      </w:hyperlink>
      <w:r/>
      <w:r/>
    </w:p>
    <w:p>
      <w:pPr>
        <w:pStyle w:val="821"/>
        <w:rPr>
          <w:rFonts w:ascii="Calibri" w:hAnsi="Calibri" w:cs="Calibri" w:eastAsia="Calibri"/>
        </w:rPr>
      </w:pPr>
      <w:r/>
      <w:hyperlink w:tooltip="#_Toc92377781" w:anchor="_Toc92377781" w:history="1">
        <w:r>
          <w:rPr>
            <w:rStyle w:val="812"/>
          </w:rPr>
          <w:t xml:space="preserve">Se déplacer</w:t>
        </w:r>
        <w:r>
          <w:tab/>
        </w:r>
        <w:r>
          <w:fldChar w:fldCharType="begin"/>
        </w:r>
        <w:r>
          <w:instrText xml:space="preserve"> PAGEREF _Toc92377781 \h </w:instrText>
        </w:r>
        <w:r>
          <w:fldChar w:fldCharType="separate"/>
        </w:r>
        <w:r>
          <w:t xml:space="preserve">34</w:t>
        </w:r>
        <w:r>
          <w:fldChar w:fldCharType="end"/>
        </w:r>
      </w:hyperlink>
      <w:r/>
      <w:r/>
    </w:p>
    <w:p>
      <w:pPr>
        <w:pStyle w:val="822"/>
        <w:rPr>
          <w:rFonts w:ascii="Calibri" w:hAnsi="Calibri" w:cs="Calibri" w:eastAsia="Calibri"/>
        </w:rPr>
      </w:pPr>
      <w:r/>
      <w:hyperlink w:tooltip="#_Toc92377782" w:anchor="_Toc92377782" w:history="1">
        <w:r>
          <w:rPr>
            <w:rStyle w:val="812"/>
          </w:rPr>
          <w:t xml:space="preserve">Réseau de transports urbains</w:t>
        </w:r>
        <w:r>
          <w:tab/>
        </w:r>
        <w:r>
          <w:fldChar w:fldCharType="begin"/>
        </w:r>
        <w:r>
          <w:instrText xml:space="preserve"> PAGEREF _Toc92377782 \h </w:instrText>
        </w:r>
        <w:r>
          <w:fldChar w:fldCharType="separate"/>
        </w:r>
        <w:r>
          <w:t xml:space="preserve">34</w:t>
        </w:r>
        <w:r>
          <w:fldChar w:fldCharType="end"/>
        </w:r>
      </w:hyperlink>
      <w:r/>
      <w:r/>
    </w:p>
    <w:p>
      <w:pPr>
        <w:pStyle w:val="822"/>
        <w:rPr>
          <w:rFonts w:ascii="Calibri" w:hAnsi="Calibri" w:cs="Calibri" w:eastAsia="Calibri"/>
        </w:rPr>
      </w:pPr>
      <w:r/>
      <w:hyperlink w:tooltip="#_Toc92377783" w:anchor="_Toc92377783" w:history="1">
        <w:r>
          <w:rPr>
            <w:rStyle w:val="812"/>
          </w:rPr>
          <w:t xml:space="preserve">Vélo</w:t>
        </w:r>
        <w:r>
          <w:tab/>
        </w:r>
        <w:r>
          <w:fldChar w:fldCharType="begin"/>
        </w:r>
        <w:r>
          <w:instrText xml:space="preserve"> PAGEREF _Toc92377783 \h </w:instrText>
        </w:r>
        <w:r>
          <w:fldChar w:fldCharType="separate"/>
        </w:r>
        <w:r>
          <w:t xml:space="preserve">34</w:t>
        </w:r>
        <w:r>
          <w:fldChar w:fldCharType="end"/>
        </w:r>
      </w:hyperlink>
      <w:r/>
      <w:r/>
    </w:p>
    <w:p>
      <w:pPr>
        <w:pStyle w:val="822"/>
        <w:rPr>
          <w:rFonts w:ascii="Calibri" w:hAnsi="Calibri" w:cs="Calibri" w:eastAsia="Calibri"/>
        </w:rPr>
      </w:pPr>
      <w:r/>
      <w:hyperlink w:tooltip="#_Toc92377784" w:anchor="_Toc92377784" w:history="1">
        <w:r>
          <w:rPr>
            <w:rStyle w:val="812"/>
          </w:rPr>
          <w:t xml:space="preserve">Prise en charge partielle des frais de déplacement domicile/travail</w:t>
        </w:r>
        <w:r>
          <w:tab/>
        </w:r>
        <w:r>
          <w:fldChar w:fldCharType="begin"/>
        </w:r>
        <w:r>
          <w:instrText xml:space="preserve"> PAGEREF _Toc92377784 \h </w:instrText>
        </w:r>
        <w:r>
          <w:fldChar w:fldCharType="separate"/>
        </w:r>
        <w:r>
          <w:t xml:space="preserve">35</w:t>
        </w:r>
        <w:r>
          <w:fldChar w:fldCharType="end"/>
        </w:r>
      </w:hyperlink>
      <w:r/>
      <w:r/>
    </w:p>
    <w:p>
      <w:pPr>
        <w:pStyle w:val="822"/>
        <w:rPr>
          <w:rFonts w:ascii="Calibri" w:hAnsi="Calibri" w:cs="Calibri" w:eastAsia="Calibri"/>
        </w:rPr>
      </w:pPr>
      <w:r/>
      <w:hyperlink w:tooltip="#_Toc92377785" w:anchor="_Toc92377785" w:history="1">
        <w:r>
          <w:rPr>
            <w:rStyle w:val="812"/>
          </w:rPr>
          <w:t xml:space="preserve">Plan du site</w:t>
        </w:r>
        <w:r>
          <w:tab/>
        </w:r>
        <w:r>
          <w:fldChar w:fldCharType="begin"/>
        </w:r>
        <w:r>
          <w:instrText xml:space="preserve"> PAGEREF _Toc92377785 \h </w:instrText>
        </w:r>
        <w:r>
          <w:fldChar w:fldCharType="separate"/>
        </w:r>
        <w:r>
          <w:t xml:space="preserve">37</w:t>
        </w:r>
        <w:r>
          <w:fldChar w:fldCharType="end"/>
        </w:r>
      </w:hyperlink>
      <w:r/>
      <w:r/>
    </w:p>
    <w:p>
      <w:pPr>
        <w:pStyle w:val="821"/>
        <w:rPr>
          <w:rFonts w:ascii="Calibri" w:hAnsi="Calibri" w:cs="Calibri" w:eastAsia="Calibri"/>
        </w:rPr>
      </w:pPr>
      <w:r/>
      <w:hyperlink w:tooltip="#_Toc92377786" w:anchor="_Toc92377786" w:history="1">
        <w:r>
          <w:rPr>
            <w:rStyle w:val="812"/>
          </w:rPr>
          <w:t xml:space="preserve">Se loger</w:t>
        </w:r>
        <w:r>
          <w:tab/>
        </w:r>
        <w:r>
          <w:fldChar w:fldCharType="begin"/>
        </w:r>
        <w:r>
          <w:instrText xml:space="preserve"> PAGEREF _Toc92377786 \h </w:instrText>
        </w:r>
        <w:r>
          <w:fldChar w:fldCharType="separate"/>
        </w:r>
        <w:r>
          <w:t xml:space="preserve">37</w:t>
        </w:r>
        <w:r>
          <w:fldChar w:fldCharType="end"/>
        </w:r>
      </w:hyperlink>
      <w:r/>
      <w:r/>
    </w:p>
    <w:p>
      <w:pPr>
        <w:pStyle w:val="822"/>
        <w:rPr>
          <w:rFonts w:ascii="Calibri" w:hAnsi="Calibri" w:cs="Calibri" w:eastAsia="Calibri"/>
        </w:rPr>
      </w:pPr>
      <w:r/>
      <w:hyperlink w:tooltip="#_Toc92377787" w:anchor="_Toc92377787" w:history="1">
        <w:r>
          <w:rPr>
            <w:rStyle w:val="812"/>
          </w:rPr>
          <w:t xml:space="preserve">CAF, APL</w:t>
        </w:r>
        <w:r>
          <w:tab/>
        </w:r>
        <w:r>
          <w:fldChar w:fldCharType="begin"/>
        </w:r>
        <w:r>
          <w:instrText xml:space="preserve"> PAGEREF _Toc92377787 \h </w:instrText>
        </w:r>
        <w:r>
          <w:fldChar w:fldCharType="separate"/>
        </w:r>
        <w:r>
          <w:t xml:space="preserve">37</w:t>
        </w:r>
        <w:r>
          <w:fldChar w:fldCharType="end"/>
        </w:r>
      </w:hyperlink>
      <w:r/>
      <w:r/>
    </w:p>
    <w:p>
      <w:pPr>
        <w:pStyle w:val="821"/>
        <w:rPr>
          <w:rFonts w:ascii="Calibri" w:hAnsi="Calibri" w:cs="Calibri" w:eastAsia="Calibri"/>
        </w:rPr>
      </w:pPr>
      <w:r/>
      <w:hyperlink w:tooltip="#_Toc92377788" w:anchor="_Toc92377788" w:history="1">
        <w:r>
          <w:rPr>
            <w:rStyle w:val="812"/>
          </w:rPr>
          <w:t xml:space="preserve">Adresses utiles</w:t>
        </w:r>
        <w:r>
          <w:tab/>
        </w:r>
        <w:r>
          <w:fldChar w:fldCharType="begin"/>
        </w:r>
        <w:r>
          <w:instrText xml:space="preserve"> PAGEREF _Toc92377788 \h </w:instrText>
        </w:r>
        <w:r>
          <w:fldChar w:fldCharType="separate"/>
        </w:r>
        <w:r>
          <w:t xml:space="preserve">38</w:t>
        </w:r>
        <w:r>
          <w:fldChar w:fldCharType="end"/>
        </w:r>
      </w:hyperlink>
      <w:r/>
      <w:r/>
    </w:p>
    <w:p>
      <w:r>
        <w:rPr>
          <w:b/>
          <w:bCs/>
          <w:caps/>
        </w:rPr>
        <w:fldChar w:fldCharType="end"/>
      </w:r>
      <w:r/>
    </w:p>
    <w:p>
      <w:pPr>
        <w:pStyle w:val="789"/>
      </w:pPr>
      <w:r/>
      <w:bookmarkStart w:id="2" w:name="_Toc367812134"/>
      <w:r/>
      <w:bookmarkStart w:id="3" w:name="_Toc92377704"/>
      <w:r>
        <w:t xml:space="preserve">Les i</w:t>
      </w:r>
      <w:r>
        <w:t xml:space="preserve">nstances </w:t>
      </w:r>
      <w:r>
        <w:t xml:space="preserve">u</w:t>
      </w:r>
      <w:r>
        <w:t xml:space="preserve">niversitaires</w:t>
      </w:r>
      <w:bookmarkEnd w:id="2"/>
      <w:r/>
      <w:bookmarkEnd w:id="3"/>
      <w:r/>
      <w:r/>
    </w:p>
    <w:p>
      <w:pPr>
        <w:pStyle w:val="790"/>
      </w:pPr>
      <w:r/>
      <w:bookmarkStart w:id="4" w:name="_Toc367812135"/>
      <w:r/>
      <w:bookmarkStart w:id="5" w:name="_Toc92377705"/>
      <w:r>
        <w:t xml:space="preserve">l'Université</w:t>
      </w:r>
      <w:r>
        <w:t xml:space="preserve"> </w:t>
      </w:r>
      <w:r>
        <w:t xml:space="preserve">savoie mont blanc</w:t>
      </w:r>
      <w:bookmarkEnd w:id="4"/>
      <w:r/>
      <w:bookmarkEnd w:id="5"/>
      <w:r/>
      <w:r/>
    </w:p>
    <w:p>
      <w:r>
        <w:t xml:space="preserve">Fondée en </w:t>
      </w:r>
      <w:hyperlink r:id="rId15" w:tooltip="1979" w:history="1">
        <w:r>
          <w:rPr>
            <w:rStyle w:val="812"/>
            <w:color w:val="auto"/>
            <w:u w:val="none"/>
          </w:rPr>
          <w:t xml:space="preserve">1979</w:t>
        </w:r>
      </w:hyperlink>
      <w:r>
        <w:t xml:space="preserve">, l'Université Savoie</w:t>
      </w:r>
      <w:r>
        <w:t xml:space="preserve"> Mont Blanc</w:t>
      </w:r>
      <w:r>
        <w:t xml:space="preserve"> accueille aujourd'hui plus de 1</w:t>
      </w:r>
      <w:r>
        <w:t xml:space="preserve">4</w:t>
      </w:r>
      <w:r>
        <w:t xml:space="preserve"> 000 étudiants. Souh</w:t>
      </w:r>
      <w:r>
        <w:t xml:space="preserve">aitant éviter de faire un choix entre les deux grandes villes locales, Chambéry et Annecy, les autorités ont préféré opter pour une solution pratique en mettant en place une université bicéphale répartie entre les départements de Savoie et de Haute-Savoie.</w:t>
      </w:r>
      <w:r/>
    </w:p>
    <w:p>
      <w:r>
        <w:t xml:space="preserve">L’université Savoie</w:t>
      </w:r>
      <w:r>
        <w:t xml:space="preserve"> Mont Blanc</w:t>
      </w:r>
      <w:r>
        <w:t xml:space="preserve"> est ainsi repartie sur trois campus :</w:t>
      </w:r>
      <w:r/>
    </w:p>
    <w:p>
      <w:pPr>
        <w:pStyle w:val="865"/>
        <w:tabs>
          <w:tab w:val="left" w:pos="924" w:leader="none"/>
        </w:tabs>
      </w:pPr>
      <w:r>
        <w:t xml:space="preserve">Jacob-</w:t>
      </w:r>
      <w:r>
        <w:t xml:space="preserve">Bellecombette à Chambéry</w:t>
      </w:r>
      <w:r/>
    </w:p>
    <w:p>
      <w:pPr>
        <w:pStyle w:val="865"/>
      </w:pPr>
      <w:r>
        <w:t xml:space="preserve">Annecy-le-Vieux </w:t>
      </w:r>
      <w:r/>
    </w:p>
    <w:p>
      <w:pPr>
        <w:pStyle w:val="865"/>
      </w:pPr>
      <w:r>
        <w:t xml:space="preserve">Le Bourget-du-Lac</w:t>
      </w:r>
      <w:r/>
    </w:p>
    <w:p>
      <w:r>
        <w:rPr>
          <w:rFonts w:eastAsia="Arial Unicode MS"/>
        </w:rPr>
        <w:t xml:space="preserve">Elle comprend </w:t>
      </w:r>
      <w:r>
        <w:rPr>
          <w:rFonts w:eastAsia="Arial Unicode MS"/>
        </w:rPr>
        <w:t xml:space="preserve">7</w:t>
      </w:r>
      <w:r>
        <w:rPr>
          <w:rFonts w:eastAsia="Arial Unicode MS"/>
        </w:rPr>
        <w:t xml:space="preserve"> composantes</w:t>
      </w:r>
      <w:r>
        <w:rPr>
          <w:rFonts w:eastAsia="Arial Unicode MS"/>
        </w:rPr>
        <w:t xml:space="preserve"> </w:t>
      </w:r>
      <w:r>
        <w:t xml:space="preserve">3</w:t>
      </w:r>
      <w:r>
        <w:t xml:space="preserve"> </w:t>
      </w:r>
      <w:r>
        <w:t xml:space="preserve">unités de formation et recherche : Lettres, Langues, Sciences Humaines (LLSH</w:t>
      </w:r>
      <w:r>
        <w:t xml:space="preserve"> </w:t>
      </w:r>
      <w:hyperlink r:id="rId16" w:tooltip="http://www.llsh.univ-savoie.fr/" w:history="1">
        <w:r>
          <w:rPr>
            <w:rStyle w:val="812"/>
          </w:rPr>
          <w:t xml:space="preserve">↗</w:t>
        </w:r>
      </w:hyperlink>
      <w:r>
        <w:t xml:space="preserve">) ; Faculté de Droit et d'Economie (FDE</w:t>
      </w:r>
      <w:hyperlink r:id="rId17" w:tooltip="https://www.fac-droit.univ-smb.fr/fr/accueil/" w:history="1">
        <w:r>
          <w:rPr>
            <w:rStyle w:val="812"/>
          </w:rPr>
          <w:t xml:space="preserve">↗</w:t>
        </w:r>
      </w:hyperlink>
      <w:r>
        <w:t xml:space="preserve">)</w:t>
      </w:r>
      <w:r>
        <w:t xml:space="preserve">; </w:t>
      </w:r>
      <w:r>
        <w:t xml:space="preserve">Sciences et Montagne</w:t>
      </w:r>
      <w:r>
        <w:t xml:space="preserve"> (</w:t>
      </w:r>
      <w:r>
        <w:t xml:space="preserve">SceM</w:t>
      </w:r>
      <w:hyperlink r:id="rId18" w:tooltip="http://www.cism.univ-savoie.fr/" w:history="1">
        <w:r>
          <w:rPr>
            <w:rStyle w:val="812"/>
          </w:rPr>
          <w:t xml:space="preserve">↗</w:t>
        </w:r>
      </w:hyperlink>
      <w:r>
        <w:t xml:space="preserve">)</w:t>
      </w:r>
      <w:r>
        <w:t xml:space="preserve"> </w:t>
      </w:r>
      <w:r>
        <w:t xml:space="preserve">.</w:t>
      </w:r>
      <w:r/>
    </w:p>
    <w:p>
      <w:pPr>
        <w:pStyle w:val="865"/>
      </w:pPr>
      <w:r>
        <w:t xml:space="preserve">2 Instituts Universitaires de Technologie : IUT d’Annecy ; IUT de Chambéry</w:t>
      </w:r>
      <w:r/>
    </w:p>
    <w:p>
      <w:pPr>
        <w:pStyle w:val="865"/>
      </w:pPr>
      <w:r>
        <w:t xml:space="preserve">1 Ecole d’ingénieurs : </w:t>
      </w:r>
      <w:r>
        <w:rPr>
          <w:rStyle w:val="817"/>
        </w:rPr>
        <w:t xml:space="preserve">Polytech Annecy Chambéry</w:t>
      </w:r>
      <w:r/>
    </w:p>
    <w:p>
      <w:pPr>
        <w:pStyle w:val="865"/>
      </w:pPr>
      <w:r>
        <w:t xml:space="preserve">1 Institut d’administration des entreprises : IAE Savoie Mont Blanc</w:t>
      </w:r>
      <w:r/>
    </w:p>
    <w:p>
      <w:r>
        <w:t xml:space="preserve">Ses 600 enseignants-chercheurs travaillent au sein de </w:t>
      </w:r>
      <w:r>
        <w:t xml:space="preserve">18</w:t>
      </w:r>
      <w:r>
        <w:t xml:space="preserve"> </w:t>
      </w:r>
      <w:r>
        <w:t xml:space="preserve">laboratoires de recherche</w:t>
      </w:r>
      <w:hyperlink r:id="rId19" w:tooltip="http://www.univ-savoie.fr/index.php?id=143" w:history="1">
        <w:r>
          <w:rPr>
            <w:rStyle w:val="812"/>
            <w:rFonts w:ascii="Cambria Math" w:hAnsi="Cambria Math" w:cs="Cambria Math"/>
          </w:rPr>
          <w:t xml:space="preserve">↗</w:t>
        </w:r>
      </w:hyperlink>
      <w:r>
        <w:t xml:space="preserve">, dont 12 associés aux grands organismes, qui couvrent  q</w:t>
      </w:r>
      <w:r>
        <w:t xml:space="preserve">uatre domaines de compétence :</w:t>
      </w:r>
      <w:r/>
    </w:p>
    <w:p>
      <w:pPr>
        <w:pStyle w:val="865"/>
      </w:pPr>
      <w:r>
        <w:t xml:space="preserve">Mathématiques et Physique</w:t>
      </w:r>
      <w:r/>
    </w:p>
    <w:p>
      <w:pPr>
        <w:pStyle w:val="865"/>
      </w:pPr>
      <w:r>
        <w:t xml:space="preserve">Sciences et génie de l’environnement</w:t>
      </w:r>
      <w:r/>
    </w:p>
    <w:p>
      <w:pPr>
        <w:pStyle w:val="865"/>
      </w:pPr>
      <w:r>
        <w:t xml:space="preserve">Systèmes intelligents et technologies avancées</w:t>
      </w:r>
      <w:r/>
    </w:p>
    <w:p>
      <w:pPr>
        <w:pStyle w:val="865"/>
      </w:pPr>
      <w:r>
        <w:t xml:space="preserve">Organisations et territoires, représentations et cognition</w:t>
      </w:r>
      <w:r/>
    </w:p>
    <w:p>
      <w:pPr>
        <w:rPr>
          <w:rFonts w:eastAsia="Arial Unicode MS"/>
        </w:rPr>
      </w:pPr>
      <w:r>
        <w:rPr>
          <w:rFonts w:eastAsia="Arial Unicode MS"/>
        </w:rPr>
        <w:t xml:space="preserve">La </w:t>
      </w:r>
      <w:r>
        <w:rPr>
          <w:rFonts w:eastAsia="Arial Unicode MS"/>
        </w:rPr>
        <w:t xml:space="preserve">présidence et les services</w:t>
      </w:r>
      <w:r>
        <w:rPr>
          <w:rFonts w:eastAsia="Arial Unicode MS"/>
        </w:rPr>
        <w:t xml:space="preserve"> centraux se trouvent au 27 rue Marcoz à Chambéry</w:t>
      </w:r>
      <w:r>
        <w:rPr>
          <w:rFonts w:eastAsia="Arial Unicode MS"/>
        </w:rPr>
        <w:t xml:space="preserve">.</w:t>
      </w:r>
      <w:r/>
    </w:p>
    <w:p>
      <w:r>
        <w:t xml:space="preserve">La locali</w:t>
      </w:r>
      <w:r>
        <w:t xml:space="preserve">sation alpine de l'Université</w:t>
      </w:r>
      <w:r>
        <w:t xml:space="preserve"> Savoie</w:t>
      </w:r>
      <w:r>
        <w:t xml:space="preserve"> Mont Blanc</w:t>
      </w:r>
      <w:r>
        <w:t xml:space="preserve"> et la proximité des lacs ou stations de ski en font une université très prisée à l'occasion des échanges internationaux ERASMUS (classement dans les 10 premières universités). En effet, les effectifs de l'Université compte</w:t>
      </w:r>
      <w:r>
        <w:t xml:space="preserve">nt</w:t>
      </w:r>
      <w:r>
        <w:t xml:space="preserve"> environ un dixième d'étudiants étrangers de près de 100 nationalités différentes. </w:t>
      </w:r>
      <w:r/>
    </w:p>
    <w:p>
      <w:pPr>
        <w:pStyle w:val="790"/>
      </w:pPr>
      <w:r/>
      <w:bookmarkStart w:id="6" w:name="_Toc367812136"/>
      <w:r/>
      <w:bookmarkStart w:id="7" w:name="_Toc92377706"/>
      <w:r>
        <w:t xml:space="preserve">Polytech Annecy-Chambéry</w:t>
      </w:r>
      <w:bookmarkEnd w:id="6"/>
      <w:r/>
      <w:bookmarkEnd w:id="7"/>
      <w:r/>
      <w:r/>
    </w:p>
    <w:p>
      <w:r>
        <w:t xml:space="preserve">Polytech Annecy</w:t>
      </w:r>
      <w:r>
        <w:t xml:space="preserve">-</w:t>
      </w:r>
      <w:r>
        <w:t xml:space="preserve">Chambéry est née en juillet 2006 de la fusion des deux écoles d’ingénieurs de l’Université de Savoie (ESIA et ESI</w:t>
      </w:r>
      <w:r>
        <w:t xml:space="preserve">GEC) et est présente sur les sites d’Annecy et du Bourget du Lac. Elle délivre quatre diplômes d’ingénieurs qui se répartissent en neuf options différentes. Elle abrite également la formation de plusieurs spécialités du Master Sciences et Technologie de l’</w:t>
      </w:r>
      <w:r>
        <w:t xml:space="preserve">Université Savoie Mont Blanc</w:t>
      </w:r>
      <w:r>
        <w:t xml:space="preserve">.</w:t>
      </w:r>
      <w:r/>
    </w:p>
    <w:p>
      <w:r>
        <w:t xml:space="preserve">Au sein de cette école, la recherche s’articule autour de trois laboratoires :</w:t>
      </w:r>
      <w:r/>
    </w:p>
    <w:p>
      <w:pPr>
        <w:pStyle w:val="865"/>
      </w:pPr>
      <w:r>
        <w:t xml:space="preserve">LISTIC : Laboratoire d’Informatique, Systèmes, Traitement de l’Information et de la Connaissance</w:t>
      </w:r>
      <w:r/>
    </w:p>
    <w:p>
      <w:pPr>
        <w:pStyle w:val="865"/>
        <w:rPr>
          <w:color w:val="FF0000"/>
        </w:rPr>
      </w:pPr>
      <w:r>
        <w:rPr>
          <w:rStyle w:val="817"/>
        </w:rPr>
        <w:t xml:space="preserve">LOCIE</w:t>
      </w:r>
      <w:r>
        <w:t xml:space="preserve"> : </w:t>
      </w:r>
      <w:r>
        <w:rPr>
          <w:color w:val="FF0000"/>
        </w:rPr>
        <w:t xml:space="preserve">LabOratoire Conception des bâtIments et Energie durables</w:t>
      </w:r>
      <w:r>
        <w:rPr>
          <w:color w:val="FF0000"/>
        </w:rPr>
      </w:r>
      <w:r/>
    </w:p>
    <w:p>
      <w:pPr>
        <w:pStyle w:val="865"/>
      </w:pPr>
      <w:r>
        <w:t xml:space="preserve">SYMME : laboratoire Système</w:t>
      </w:r>
      <w:r>
        <w:t xml:space="preserve"> et Matériaux pour la Mécatronique</w:t>
      </w:r>
      <w:r/>
    </w:p>
    <w:p>
      <w:r>
        <w:t xml:space="preserve">Un organigramme général de l’école est disponible </w:t>
      </w:r>
      <w:r>
        <w:t xml:space="preserve">sur le site de l’école</w:t>
      </w:r>
      <w:r>
        <w:t xml:space="preserve"> </w:t>
      </w:r>
      <w:hyperlink r:id="rId20" w:tooltip="http://www.polytech.univ-savoie.fr/qualytech/organigramme_polytech_annecy-chambery/default.htm" w:history="1">
        <w:r>
          <w:rPr>
            <w:rStyle w:val="812"/>
            <w:rFonts w:ascii="Cambria Math" w:hAnsi="Cambria Math" w:cs="Cambria Math"/>
          </w:rPr>
          <w:t xml:space="preserve">↗</w:t>
        </w:r>
      </w:hyperlink>
      <w:r>
        <w:rPr>
          <w:rStyle w:val="812"/>
        </w:rPr>
        <w:t xml:space="preserve">.</w:t>
      </w:r>
      <w:r/>
    </w:p>
    <w:p>
      <w:pPr>
        <w:pStyle w:val="789"/>
      </w:pPr>
      <w:r/>
      <w:bookmarkStart w:id="8" w:name="_Toc367812137"/>
      <w:r/>
      <w:bookmarkStart w:id="9" w:name="_Toc92377707"/>
      <w:r>
        <w:t xml:space="preserve">La formation doctorale</w:t>
      </w:r>
      <w:bookmarkEnd w:id="8"/>
      <w:r/>
      <w:bookmarkEnd w:id="9"/>
      <w:r/>
      <w:r/>
    </w:p>
    <w:p>
      <w:pPr>
        <w:pStyle w:val="790"/>
      </w:pPr>
      <w:r/>
      <w:bookmarkStart w:id="10" w:name="_Toc367812139"/>
      <w:r/>
      <w:bookmarkStart w:id="11" w:name="_Toc92377708"/>
      <w:r>
        <w:t xml:space="preserve">CODUS</w:t>
      </w:r>
      <w:bookmarkEnd w:id="10"/>
      <w:r>
        <w:t xml:space="preserve">MB</w:t>
      </w:r>
      <w:bookmarkEnd w:id="11"/>
      <w:r/>
      <w:r/>
    </w:p>
    <w:p>
      <w:r>
        <w:t xml:space="preserve">Le Collège Doctoral de l'Université de Savoie CODUS</w:t>
      </w:r>
      <w:r>
        <w:t xml:space="preserve">MB</w:t>
      </w:r>
      <w:r>
        <w:t xml:space="preserve"> représente </w:t>
      </w:r>
      <w:r>
        <w:t xml:space="preserve">spécifiquement l'établissement auprès d</w:t>
      </w:r>
      <w:r>
        <w:t xml:space="preserve">es Ecoles Doctorales.</w:t>
      </w:r>
      <w:r/>
    </w:p>
    <w:p>
      <w:r>
        <w:t xml:space="preserve">Le Collège Doctoral CODUS</w:t>
      </w:r>
      <w:r>
        <w:t xml:space="preserve">MB</w:t>
      </w:r>
      <w:r>
        <w:t xml:space="preserve"> assure trois missions essentielles :</w:t>
      </w:r>
      <w:r/>
    </w:p>
    <w:p>
      <w:pPr>
        <w:pStyle w:val="865"/>
      </w:pPr>
      <w:r>
        <w:t xml:space="preserve">Une mission pédagogique, en assurant l'ensemble de</w:t>
      </w:r>
      <w:r>
        <w:t xml:space="preserve">s</w:t>
      </w:r>
      <w:r>
        <w:t xml:space="preserve"> formations transversales (culture scientifique ou générale, médiation scientifique, préparation à l'insertion professionnelle, etc.) </w:t>
      </w:r>
      <w:r/>
    </w:p>
    <w:p>
      <w:pPr>
        <w:pStyle w:val="865"/>
      </w:pPr>
      <w:r>
        <w:t xml:space="preserve">Une mission administrative, en harmonisant les procédures d'inscription des doctorants à l'université </w:t>
      </w:r>
      <w:r/>
    </w:p>
    <w:p>
      <w:pPr>
        <w:pStyle w:val="865"/>
      </w:pPr>
      <w:r>
        <w:t xml:space="preserve">Une mission de coordination et de communication, en assurant la présentation cohérente de la politique de l'établissement en matière de formation doctorale</w:t>
      </w:r>
      <w:r/>
    </w:p>
    <w:p>
      <w:pPr>
        <w:pStyle w:val="790"/>
      </w:pPr>
      <w:r/>
      <w:bookmarkStart w:id="12" w:name="_Toc367812140"/>
      <w:r/>
      <w:bookmarkStart w:id="13" w:name="_Toc92377709"/>
      <w:r>
        <w:t xml:space="preserve">L’école doctorale </w:t>
      </w:r>
      <w:bookmarkEnd w:id="12"/>
      <w:r>
        <w:t xml:space="preserve">SIE</w:t>
      </w:r>
      <w:bookmarkEnd w:id="13"/>
      <w:r/>
      <w:r/>
    </w:p>
    <w:p>
      <w:r>
        <w:rPr>
          <w:highlight w:val="yellow"/>
        </w:rPr>
        <w:t xml:space="preserve">L’</w:t>
      </w:r>
      <w:r>
        <w:rPr>
          <w:rStyle w:val="817"/>
          <w:highlight w:val="yellow"/>
        </w:rPr>
        <w:t xml:space="preserve">E</w:t>
      </w:r>
      <w:r>
        <w:rPr>
          <w:highlight w:val="yellow"/>
        </w:rPr>
        <w:t xml:space="preserve">cole</w:t>
      </w:r>
      <w:r>
        <w:rPr>
          <w:rStyle w:val="817"/>
          <w:highlight w:val="yellow"/>
        </w:rPr>
        <w:t xml:space="preserve"> D</w:t>
      </w:r>
      <w:r>
        <w:rPr>
          <w:highlight w:val="yellow"/>
        </w:rPr>
        <w:t xml:space="preserve">octorale </w:t>
      </w:r>
      <w:r>
        <w:rPr>
          <w:rStyle w:val="817"/>
          <w:highlight w:val="yellow"/>
        </w:rPr>
        <w:t xml:space="preserve">S</w:t>
      </w:r>
      <w:r>
        <w:rPr>
          <w:highlight w:val="yellow"/>
        </w:rPr>
        <w:t xml:space="preserve">ciences,</w:t>
      </w:r>
      <w:r>
        <w:rPr>
          <w:rStyle w:val="817"/>
          <w:highlight w:val="yellow"/>
        </w:rPr>
        <w:t xml:space="preserve"> I</w:t>
      </w:r>
      <w:r>
        <w:rPr>
          <w:highlight w:val="yellow"/>
        </w:rPr>
        <w:t xml:space="preserve">ngénierie, </w:t>
      </w:r>
      <w:r>
        <w:rPr>
          <w:rStyle w:val="817"/>
          <w:highlight w:val="yellow"/>
        </w:rPr>
        <w:t xml:space="preserve">E</w:t>
      </w:r>
      <w:r>
        <w:rPr>
          <w:highlight w:val="yellow"/>
        </w:rPr>
        <w:t xml:space="preserve">nvironnement est </w:t>
      </w:r>
      <w:r>
        <w:rPr>
          <w:highlight w:val="yellow"/>
        </w:rPr>
        <w:t xml:space="preserve">une</w:t>
      </w:r>
      <w:r>
        <w:rPr>
          <w:highlight w:val="yellow"/>
        </w:rPr>
        <w:t xml:space="preserve"> école doctorale propre à l’</w:t>
      </w:r>
      <w:r>
        <w:rPr>
          <w:highlight w:val="yellow"/>
        </w:rPr>
        <w:t xml:space="preserve">Université Savoie Mont Blanc</w:t>
      </w:r>
      <w:r>
        <w:rPr>
          <w:rStyle w:val="817"/>
          <w:highlight w:val="yellow"/>
        </w:rPr>
        <w:t xml:space="preserve">. </w:t>
      </w:r>
      <w:r>
        <w:rPr>
          <w:highlight w:val="yellow"/>
        </w:rPr>
        <w:t xml:space="preserve">Elle</w:t>
      </w:r>
      <w:r>
        <w:rPr>
          <w:rStyle w:val="817"/>
          <w:highlight w:val="yellow"/>
        </w:rPr>
        <w:t xml:space="preserve"> </w:t>
      </w:r>
      <w:r>
        <w:rPr>
          <w:highlight w:val="yellow"/>
        </w:rPr>
        <w:t xml:space="preserve">regroupe </w:t>
      </w:r>
      <w:r>
        <w:t xml:space="preserve">six </w:t>
      </w:r>
      <w:r>
        <w:t xml:space="preserve">laboratoires de l’</w:t>
      </w:r>
      <w:r>
        <w:t xml:space="preserve">Université Savoie Mont Blanc</w:t>
      </w:r>
      <w:r>
        <w:t xml:space="preserve"> issus de disciplines diverses :</w:t>
      </w:r>
      <w:r/>
    </w:p>
    <w:p>
      <w:pPr>
        <w:pStyle w:val="865"/>
      </w:pPr>
      <w:r>
        <w:t xml:space="preserve">CARRTEL : Centre Alpin de Recherche sur les Réseaux Trophiques des Écosystèmes Limniques</w:t>
      </w:r>
      <w:r/>
    </w:p>
    <w:p>
      <w:pPr>
        <w:pStyle w:val="865"/>
      </w:pPr>
      <w:r>
        <w:t xml:space="preserve">EDYTEM : Laboratoire Environnements, Dynamiques et Territoires de la Montagne</w:t>
      </w:r>
      <w:r/>
    </w:p>
    <w:p>
      <w:pPr>
        <w:pStyle w:val="865"/>
      </w:pPr>
      <w:r>
        <w:t xml:space="preserve">LISTIC : Laboratoire d'Informatique, Systèmes, Traitement de l'Information et de la Connaissance</w:t>
      </w:r>
      <w:r/>
    </w:p>
    <w:p>
      <w:pPr>
        <w:pStyle w:val="865"/>
      </w:pPr>
      <w:r>
        <w:rPr>
          <w:rStyle w:val="817"/>
        </w:rPr>
        <w:t xml:space="preserve">LOCIE</w:t>
      </w:r>
      <w:r>
        <w:t xml:space="preserve"> : </w:t>
      </w:r>
      <w:r>
        <w:rPr>
          <w:color w:val="FF0000"/>
        </w:rPr>
        <w:t xml:space="preserve">LabOratoire Conception des bâtIments et Energie durables</w:t>
      </w:r>
      <w:r/>
    </w:p>
    <w:p>
      <w:pPr>
        <w:pStyle w:val="865"/>
      </w:pPr>
      <w:r>
        <w:rPr>
          <w:bCs/>
        </w:rPr>
        <w:t xml:space="preserve">LIBM</w:t>
      </w:r>
      <w:r>
        <w:rPr>
          <w:b/>
          <w:bCs/>
        </w:rPr>
        <w:t xml:space="preserve"> </w:t>
      </w:r>
      <w:r>
        <w:t xml:space="preserve">:</w:t>
      </w:r>
      <w:r>
        <w:t xml:space="preserve"> Laboratoire Interuniversitaire de Biologie de la Motricité</w:t>
      </w:r>
      <w:r/>
    </w:p>
    <w:p>
      <w:pPr>
        <w:pStyle w:val="865"/>
      </w:pPr>
      <w:r>
        <w:t xml:space="preserve">SYMME : S</w:t>
      </w:r>
      <w:r>
        <w:t xml:space="preserve">y</w:t>
      </w:r>
      <w:r>
        <w:t xml:space="preserve">stèmes et Matériaux pour la </w:t>
      </w:r>
      <w:r>
        <w:t xml:space="preserve">M</w:t>
      </w:r>
      <w:r>
        <w:t xml:space="preserve">é</w:t>
      </w:r>
      <w:r>
        <w:t xml:space="preserve">catronique</w:t>
      </w:r>
      <w:r/>
    </w:p>
    <w:p>
      <w:r>
        <w:t xml:space="preserve">L’école doctorale assure la formation complémentaire des doctorants au cours de la préparation de la thèse afin d’ouvrir leurs champs de connaissance et de compétence.</w:t>
      </w:r>
      <w:r/>
    </w:p>
    <w:p>
      <w:r>
        <w:t xml:space="preserve">Sa politique scientifique et </w:t>
      </w:r>
      <w:r>
        <w:t xml:space="preserve">pédagogique a pour objectif de :</w:t>
      </w:r>
      <w:r/>
    </w:p>
    <w:p>
      <w:pPr>
        <w:pStyle w:val="865"/>
      </w:pPr>
      <w:r>
        <w:t xml:space="preserve">P</w:t>
      </w:r>
      <w:r>
        <w:t xml:space="preserve">roposer une offre de formation à spectre large, autorisant des parcours différenciés, cohérents et de qualité </w:t>
      </w:r>
      <w:r/>
    </w:p>
    <w:p>
      <w:pPr>
        <w:pStyle w:val="865"/>
      </w:pPr>
      <w:r>
        <w:t xml:space="preserve">P</w:t>
      </w:r>
      <w:r>
        <w:t xml:space="preserve">réparer l'insertion professionnelle des futurs docteurs </w:t>
      </w:r>
      <w:r/>
    </w:p>
    <w:p>
      <w:pPr>
        <w:pStyle w:val="865"/>
      </w:pPr>
      <w:r>
        <w:t xml:space="preserve">R</w:t>
      </w:r>
      <w:r>
        <w:t xml:space="preserve">enforcer l'ouverture internationale, en encourageant la préparation de thèses en cotutelles et la mobilité de ses doctorants ainsi que l'accueil de doctorants étrangers et les séjours de post doctorants </w:t>
      </w:r>
      <w:r/>
    </w:p>
    <w:p>
      <w:pPr>
        <w:pStyle w:val="865"/>
      </w:pPr>
      <w:r>
        <w:t xml:space="preserve">F</w:t>
      </w:r>
      <w:r>
        <w:t xml:space="preserve">avoriser les actions transversales entre secteurs disciplinaires et les coopérations avec les partenaires régionaux dans le cadre des réseaux thématiques </w:t>
      </w:r>
      <w:r/>
    </w:p>
    <w:p>
      <w:pPr>
        <w:pStyle w:val="865"/>
      </w:pPr>
      <w:r>
        <w:t xml:space="preserve">D</w:t>
      </w:r>
      <w:r>
        <w:t xml:space="preserve">évelopper les actions</w:t>
      </w:r>
      <w:r>
        <w:t xml:space="preserve"> de communication et de diffusion de la culture scientifique</w:t>
      </w:r>
      <w:r/>
    </w:p>
    <w:p>
      <w:r>
        <w:t xml:space="preserve">Cette formation des étudiants</w:t>
      </w:r>
      <w:r>
        <w:t xml:space="preserve"> </w:t>
      </w:r>
      <w:r>
        <w:t xml:space="preserve">chercheurs repose sur une offre par modules étalée sur trois ans après le master recherche.</w:t>
      </w:r>
      <w:r/>
    </w:p>
    <w:p>
      <w:r>
        <w:t xml:space="preserve">Cette formule modulaire présente l'avantage d'aider à la mise en réseau thématique des écoles doctorales de plusieurs établissements. Dans ce cadre, les étudiants - chercheurs de l’ED SI</w:t>
      </w:r>
      <w:r>
        <w:t xml:space="preserve">E</w:t>
      </w:r>
      <w:r>
        <w:t xml:space="preserve"> </w:t>
      </w:r>
      <w:r>
        <w:t xml:space="preserve">peuvent être conduits à valider un ou plusieurs modules de spécialité au sein du réseau, de même que les modules offerts </w:t>
      </w:r>
      <w:r>
        <w:t xml:space="preserve">par l’ED </w:t>
      </w:r>
      <w:r>
        <w:t xml:space="preserve">SI</w:t>
      </w:r>
      <w:r>
        <w:t xml:space="preserve">E</w:t>
      </w:r>
      <w:r>
        <w:t xml:space="preserve"> </w:t>
      </w:r>
      <w:r>
        <w:t xml:space="preserve">peuvent être validés par des doctorants d'autres écoles doctorales.</w:t>
      </w:r>
      <w:r/>
    </w:p>
    <w:p>
      <w:r>
        <w:t xml:space="preserve">Au cours de la préparation de sa thèse, chaque doctorant doit valider </w:t>
      </w:r>
      <w:r>
        <w:t xml:space="preserve">120 </w:t>
      </w:r>
      <w:r>
        <w:t xml:space="preserve">h</w:t>
      </w:r>
      <w:r>
        <w:t xml:space="preserve">eures de formation qu’il peut choisir parmi les modules proposés par l’ED SI</w:t>
      </w:r>
      <w:r>
        <w:t xml:space="preserve">E</w:t>
      </w:r>
      <w:r>
        <w:t xml:space="preserve">, le CODUS</w:t>
      </w:r>
      <w:r>
        <w:t xml:space="preserve">MB</w:t>
      </w:r>
      <w:r>
        <w:t xml:space="preserve"> ou une autre école doctorale.</w:t>
      </w:r>
      <w:r/>
    </w:p>
    <w:p>
      <w:pPr>
        <w:pStyle w:val="790"/>
      </w:pPr>
      <w:r/>
      <w:bookmarkStart w:id="14" w:name="_Toc367812141"/>
      <w:r/>
      <w:bookmarkStart w:id="15" w:name="_Toc92377710"/>
      <w:r>
        <w:t xml:space="preserve">Le DF</w:t>
      </w:r>
      <w:r>
        <w:t xml:space="preserve">T</w:t>
      </w:r>
      <w:r>
        <w:t xml:space="preserve">I</w:t>
      </w:r>
      <w:bookmarkEnd w:id="14"/>
      <w:r>
        <w:t xml:space="preserve">P</w:t>
      </w:r>
      <w:r>
        <w:t xml:space="preserve"> *</w:t>
      </w:r>
      <w:bookmarkEnd w:id="15"/>
      <w:r/>
      <w:r/>
    </w:p>
    <w:p>
      <w:r>
        <w:t xml:space="preserve">Le </w:t>
      </w:r>
      <w:r>
        <w:t xml:space="preserve">Département Formations transversales et insertion professionnelle (DFTIP)</w:t>
      </w:r>
      <w:r>
        <w:t xml:space="preserve"> de l'Université de Grenoble</w:t>
      </w:r>
      <w:r>
        <w:t xml:space="preserve"> propose</w:t>
      </w:r>
      <w:r>
        <w:t xml:space="preserve"> aux doctorants</w:t>
      </w:r>
      <w:r>
        <w:t xml:space="preserve"> des formations complémentaire</w:t>
      </w:r>
      <w:r>
        <w:t xml:space="preserve">s</w:t>
      </w:r>
      <w:r>
        <w:t xml:space="preserve"> réparties autour de </w:t>
      </w:r>
      <w:r>
        <w:t xml:space="preserve">4</w:t>
      </w:r>
      <w:r>
        <w:t xml:space="preserve"> labels</w:t>
      </w:r>
      <w:r>
        <w:t xml:space="preserve"> *</w:t>
      </w:r>
      <w:r>
        <w:t xml:space="preserve"> :</w:t>
      </w:r>
      <w:r/>
    </w:p>
    <w:p>
      <w:pPr>
        <w:pStyle w:val="865"/>
      </w:pPr>
      <w:r>
        <w:t xml:space="preserve">Recherche et </w:t>
      </w:r>
      <w:r>
        <w:t xml:space="preserve">e</w:t>
      </w:r>
      <w:r>
        <w:t xml:space="preserve">nseignement </w:t>
      </w:r>
      <w:r>
        <w:t xml:space="preserve">s</w:t>
      </w:r>
      <w:r>
        <w:t xml:space="preserve">upérieur - RES</w:t>
      </w:r>
      <w:r/>
    </w:p>
    <w:p>
      <w:pPr>
        <w:pStyle w:val="865"/>
      </w:pPr>
      <w:r>
        <w:t xml:space="preserve">Collectivités publiques et organisations internationales - CPOI</w:t>
      </w:r>
      <w:r/>
    </w:p>
    <w:p>
      <w:pPr>
        <w:pStyle w:val="865"/>
      </w:pPr>
      <w:r>
        <w:t xml:space="preserve">Recherche, entreprise et innovation - REI</w:t>
      </w:r>
      <w:r/>
    </w:p>
    <w:p>
      <w:pPr>
        <w:pStyle w:val="865"/>
      </w:pPr>
      <w:r>
        <w:t xml:space="preserve">Innovation, création d’activité ou d’entreprise - ICAE</w:t>
      </w:r>
      <w:r/>
    </w:p>
    <w:p>
      <w:pPr>
        <w:rPr>
          <w:rFonts w:eastAsia="Times New Roman"/>
        </w:rPr>
      </w:pPr>
      <w:r>
        <w:rPr>
          <w:rFonts w:eastAsia="Times New Roman"/>
        </w:rPr>
        <w:t xml:space="preserve">Durant la 1</w:t>
      </w:r>
      <w:r>
        <w:rPr>
          <w:rFonts w:eastAsia="Times New Roman"/>
          <w:vertAlign w:val="superscript"/>
        </w:rPr>
        <w:t xml:space="preserve">ère</w:t>
      </w:r>
      <w:r>
        <w:rPr>
          <w:rFonts w:eastAsia="Times New Roman"/>
        </w:rPr>
        <w:t xml:space="preserve"> année de thèse, les doctorants intéressés </w:t>
      </w:r>
      <w:r>
        <w:rPr>
          <w:rFonts w:eastAsia="Times New Roman"/>
        </w:rPr>
        <w:t xml:space="preserve">sont invités à assister à une journée d’informations sur les labels. Les dates de ces formations sont publiées sur le </w:t>
      </w:r>
      <w:hyperlink r:id="rId21" w:tooltip="https://doctorat.univ-grenoble-alpes.fr/fr/pendant-la-these/la-formation-durant-la-these/parcours-labels/" w:history="1">
        <w:r>
          <w:rPr>
            <w:rStyle w:val="812"/>
            <w:rFonts w:eastAsia="Times New Roman"/>
          </w:rPr>
          <w:t xml:space="preserve">site de </w:t>
        </w:r>
        <w:r>
          <w:rPr>
            <w:rStyle w:val="812"/>
            <w:rFonts w:eastAsia="Times New Roman"/>
          </w:rPr>
          <w:t xml:space="preserve">l’ADUM</w:t>
        </w:r>
      </w:hyperlink>
      <w:r>
        <w:rPr>
          <w:rFonts w:eastAsia="Times New Roman"/>
        </w:rPr>
        <w:t xml:space="preserve">. Il est par ailleurs possible de suivre une formation « Penser et construire sa carrière » pour réfléchir à son projet professionnel à moyen terme.</w:t>
      </w:r>
      <w:r/>
    </w:p>
    <w:p>
      <w:pPr>
        <w:rPr>
          <w:rFonts w:eastAsia="Times New Roman"/>
        </w:rPr>
      </w:pPr>
      <w:r>
        <w:rPr>
          <w:rFonts w:eastAsia="Times New Roman"/>
        </w:rPr>
        <w:t xml:space="preserve">En fin de première année </w:t>
      </w:r>
      <w:r>
        <w:t xml:space="preserve">de</w:t>
      </w:r>
      <w:r>
        <w:rPr>
          <w:rFonts w:eastAsia="Times New Roman"/>
        </w:rPr>
        <w:t xml:space="preserve"> thèse, </w:t>
      </w:r>
      <w:r>
        <w:rPr>
          <w:rFonts w:eastAsia="Times New Roman"/>
        </w:rPr>
        <w:t xml:space="preserve">les doctorants désireux de suivre un</w:t>
      </w:r>
      <w:r>
        <w:rPr>
          <w:rFonts w:eastAsia="Times New Roman"/>
        </w:rPr>
        <w:t xml:space="preserve"> label déposent un dossier qui est examiné par une commission. Les doctorants acceptés dans un label suivent pendant un ou deux ans (selon le label) des formations spécifiques. Le plan de formation et les expérimentations sont différents pour chaque label.</w:t>
      </w:r>
      <w:r/>
    </w:p>
    <w:p>
      <w:pPr>
        <w:spacing w:lineRule="auto" w:line="240" w:after="0"/>
        <w:rPr>
          <w:rFonts w:eastAsia="Times New Roman"/>
        </w:rPr>
      </w:pPr>
      <w:r>
        <w:rPr>
          <w:rFonts w:eastAsia="Times New Roman"/>
        </w:rPr>
        <w:t xml:space="preserve">Cette procédure de recrutement est commune à tous les labels.</w:t>
      </w:r>
      <w:r/>
    </w:p>
    <w:p>
      <w:pPr>
        <w:spacing w:lineRule="auto" w:line="240" w:after="120"/>
        <w:rPr>
          <w:rFonts w:eastAsia="Times New Roman"/>
        </w:rPr>
      </w:pPr>
      <w:r>
        <w:rPr>
          <w:rFonts w:eastAsia="Times New Roman"/>
        </w:rPr>
        <w:t xml:space="preserve">Les doctorants peuvent candidater au label de leur choix. S'ils sont admis à suivre un label, ils s'engagent à suivre le plan de formation prévu, à rechercher et effectuer des missions complémentaires.</w:t>
      </w:r>
      <w:r/>
    </w:p>
    <w:p>
      <w:pPr>
        <w:spacing w:lineRule="auto" w:line="240" w:after="0"/>
        <w:rPr>
          <w:rFonts w:eastAsia="Times New Roman"/>
        </w:rPr>
      </w:pPr>
      <w:r>
        <w:rPr>
          <w:rFonts w:eastAsia="Times New Roman"/>
        </w:rPr>
        <w:t xml:space="preserve">Les candidatures aux labels se font à partir de l'</w:t>
      </w:r>
      <w:hyperlink r:id="rId22" w:tooltip="https://doctorat.univ-grenoble-alpes.fr/fr/acces-rapides/espace-personnel/" w:history="1">
        <w:r>
          <w:rPr>
            <w:rFonts w:eastAsia="Times New Roman"/>
          </w:rPr>
          <w:t xml:space="preserve">espace personnel</w:t>
        </w:r>
      </w:hyperlink>
      <w:r>
        <w:rPr>
          <w:rFonts w:eastAsia="Times New Roman"/>
        </w:rPr>
        <w:t xml:space="preserve"> des doctorants (</w:t>
      </w:r>
      <w:r>
        <w:rPr>
          <w:rFonts w:eastAsia="Times New Roman"/>
        </w:rPr>
        <w:t xml:space="preserve">ADUM </w:t>
      </w:r>
      <w:r>
        <w:rPr>
          <w:rFonts w:eastAsia="Times New Roman"/>
        </w:rPr>
        <w:t xml:space="preserve">rubrique Procédures). Un CV (comportant les résultats académiques) et une lettre de motivation sont à joindre au dossier. Certains labels peuvent être suivis successivement pendant la thèse (ex. : CPOI suivi de RES ou RES suivi d'ICAE...).</w:t>
      </w:r>
      <w:r/>
    </w:p>
    <w:p>
      <w:pPr>
        <w:spacing w:lineRule="auto" w:line="240" w:after="0"/>
        <w:rPr>
          <w:rFonts w:eastAsia="Times New Roman"/>
        </w:rPr>
      </w:pPr>
      <w:r>
        <w:rPr>
          <w:rFonts w:eastAsia="Times New Roman"/>
        </w:rPr>
      </w:r>
      <w:r/>
    </w:p>
    <w:p>
      <w:r>
        <w:t xml:space="preserve">Ces labels</w:t>
      </w:r>
      <w:r>
        <w:t xml:space="preserve"> entrent dans les formations reconnues par l</w:t>
      </w:r>
      <w:r>
        <w:t xml:space="preserve">’</w:t>
      </w:r>
      <w:r>
        <w:t xml:space="preserve">école doctorale et valident </w:t>
      </w:r>
      <w:r>
        <w:t xml:space="preserve">un </w:t>
      </w:r>
      <w:r>
        <w:t xml:space="preserve">nombre d’heures de formation</w:t>
      </w:r>
      <w:r>
        <w:t xml:space="preserve"> parmi les 120h obligatoires pour l’obtention du grade de docteur.</w:t>
      </w:r>
      <w:r/>
    </w:p>
    <w:p>
      <w:r/>
      <w:r/>
    </w:p>
    <w:p>
      <w:r>
        <w:t xml:space="preserve">*  Modification de cours au sein de l’USMB </w:t>
      </w:r>
      <w:r/>
    </w:p>
    <w:p>
      <w:pPr>
        <w:pStyle w:val="789"/>
      </w:pPr>
      <w:r/>
      <w:bookmarkStart w:id="16" w:name="_Toc367812142"/>
      <w:r/>
      <w:bookmarkStart w:id="17" w:name="_Toc92377711"/>
      <w:r>
        <w:t xml:space="preserve">Le LOCIE</w:t>
      </w:r>
      <w:bookmarkEnd w:id="16"/>
      <w:r/>
      <w:bookmarkEnd w:id="17"/>
      <w:r/>
      <w:r/>
    </w:p>
    <w:p>
      <w:pPr>
        <w:pStyle w:val="790"/>
      </w:pPr>
      <w:r/>
      <w:bookmarkStart w:id="18" w:name="_Toc367812143"/>
      <w:r/>
      <w:bookmarkStart w:id="19" w:name="_Toc92377712"/>
      <w:r>
        <w:t xml:space="preserve">Historique</w:t>
      </w:r>
      <w:bookmarkEnd w:id="18"/>
      <w:r/>
      <w:bookmarkEnd w:id="19"/>
      <w:r/>
      <w:r/>
    </w:p>
    <w:p>
      <w:r>
        <w:t xml:space="preserve">Créé en </w:t>
      </w:r>
      <w:r>
        <w:t xml:space="preserve">200</w:t>
      </w:r>
      <w:r>
        <w:t xml:space="preserve">2</w:t>
      </w:r>
      <w:r>
        <w:t xml:space="preserve"> </w:t>
      </w:r>
      <w:r>
        <w:t xml:space="preserve">par la fusion de quatre laboratoires de l’Université de Savoie, le </w:t>
      </w:r>
      <w:r>
        <w:rPr>
          <w:rStyle w:val="817"/>
        </w:rPr>
        <w:t xml:space="preserve">LabOratoire Conception des bâtIments et Energie durables</w:t>
      </w:r>
      <w:r>
        <w:t xml:space="preserve"> (</w:t>
      </w:r>
      <w:r>
        <w:rPr>
          <w:rStyle w:val="817"/>
        </w:rPr>
        <w:t xml:space="preserve">LOCIE</w:t>
      </w:r>
      <w:r>
        <w:t xml:space="preserve">), est implanté sur le campus du Bourget du Lac. Il a pour vocation </w:t>
      </w:r>
      <w:r>
        <w:t xml:space="preserve">de faire de la recherche amont sur les domaines de l’énergie et du bâtiment durable. Ses personnels sont fortement impliqués dans la formation d’</w:t>
      </w:r>
      <w:r>
        <w:t xml:space="preserve">élèves ingénieurs (Polytech Annecy</w:t>
      </w:r>
      <w:r>
        <w:t xml:space="preserve">-</w:t>
      </w:r>
      <w:r>
        <w:t xml:space="preserve">Chambéry)</w:t>
      </w:r>
      <w:r>
        <w:t xml:space="preserve">,</w:t>
      </w:r>
      <w:r>
        <w:t xml:space="preserve"> </w:t>
      </w:r>
      <w:r>
        <w:t xml:space="preserve">d</w:t>
      </w:r>
      <w:r>
        <w:t xml:space="preserve">’</w:t>
      </w:r>
      <w:r>
        <w:t xml:space="preserve">étudiants en Mas</w:t>
      </w:r>
      <w:r>
        <w:t xml:space="preserve">ter</w:t>
      </w:r>
      <w:r>
        <w:t xml:space="preserve"> (Solar Academy Graduate School) et en BUT (IUT Chambéry)</w:t>
      </w:r>
      <w:r>
        <w:t xml:space="preserve">.</w:t>
      </w:r>
      <w:r>
        <w:t xml:space="preserve"> Le</w:t>
      </w:r>
      <w:r>
        <w:t xml:space="preserve"> LOCIE</w:t>
      </w:r>
      <w:r>
        <w:t xml:space="preserve"> a été reconnu Fédération de Recherche en Evolution FRE </w:t>
      </w:r>
      <w:r>
        <w:t xml:space="preserve">3220 au 1</w:t>
      </w:r>
      <w:r>
        <w:rPr>
          <w:vertAlign w:val="superscript"/>
        </w:rPr>
        <w:t xml:space="preserve">ier</w:t>
      </w:r>
      <w:r>
        <w:t xml:space="preserve"> janvier 2009, puis UMR 5271 au 1</w:t>
      </w:r>
      <w:r>
        <w:rPr>
          <w:vertAlign w:val="superscript"/>
        </w:rPr>
        <w:t xml:space="preserve">ier</w:t>
      </w:r>
      <w:r>
        <w:t xml:space="preserve"> janvier 2011.</w:t>
      </w:r>
      <w:r/>
    </w:p>
    <w:p>
      <w:pPr>
        <w:pStyle w:val="790"/>
      </w:pPr>
      <w:r/>
      <w:bookmarkStart w:id="20" w:name="_Toc367812144"/>
      <w:r/>
      <w:bookmarkStart w:id="21" w:name="_Toc92377713"/>
      <w:r>
        <w:t xml:space="preserve">Les tutelles</w:t>
      </w:r>
      <w:bookmarkEnd w:id="20"/>
      <w:r/>
      <w:bookmarkEnd w:id="21"/>
      <w:r/>
      <w:r/>
    </w:p>
    <w:p>
      <w:r>
        <w:t xml:space="preserve">Le LOCIE est une unité mixte (UMR 527</w:t>
      </w:r>
      <w:r>
        <w:t xml:space="preserve">1</w:t>
      </w:r>
      <w:r>
        <w:t xml:space="preserve">) qui dépend de deux tutelles : L’</w:t>
      </w:r>
      <w:r>
        <w:t xml:space="preserve">Université Savoie Mont Blanc</w:t>
      </w:r>
      <w:r>
        <w:t xml:space="preserve"> et le CNRS. Au niveau de l’</w:t>
      </w:r>
      <w:r>
        <w:t xml:space="preserve">Université Savoie Mont Blanc</w:t>
      </w:r>
      <w:r>
        <w:t xml:space="preserve">, le LOCIE </w:t>
      </w:r>
      <w:r>
        <w:t xml:space="preserve">est rattaché à </w:t>
      </w:r>
      <w:r>
        <w:t xml:space="preserve">la composante Polytech, l’école d’ingénieur de l’</w:t>
      </w:r>
      <w:r>
        <w:t xml:space="preserve">Université Savoie Mont Blanc</w:t>
      </w:r>
      <w:r>
        <w:t xml:space="preserve">. Au niveau du CNRS, le LOCIE est rattaché à l’I</w:t>
      </w:r>
      <w:r>
        <w:t xml:space="preserve">n</w:t>
      </w:r>
      <w:r>
        <w:t xml:space="preserve">stitut des Sciences de l’Ingénierie et des Systèmes </w:t>
      </w:r>
      <w:r>
        <w:t xml:space="preserve">(</w:t>
      </w:r>
      <w:r>
        <w:t xml:space="preserve">INSIS</w:t>
      </w:r>
      <w:r>
        <w:t xml:space="preserve">)</w:t>
      </w:r>
      <w:r>
        <w:t xml:space="preserve">.</w:t>
      </w:r>
      <w:r/>
    </w:p>
    <w:p>
      <w:r>
        <w:t xml:space="preserve">Le LOCIE est également un laboratoire de l’</w:t>
      </w:r>
      <w:r>
        <w:t xml:space="preserve">Institut National de l’Energie Solaire (</w:t>
      </w:r>
      <w:r>
        <w:t xml:space="preserve">INES</w:t>
      </w:r>
      <w:r>
        <w:t xml:space="preserve">)</w:t>
      </w:r>
      <w:r>
        <w:t xml:space="preserve">. L’Institut National de l’Energie Solaire</w:t>
      </w:r>
      <w:r>
        <w:t xml:space="preserve"> </w:t>
      </w:r>
      <w:r>
        <w:t xml:space="preserve">localisé sur le</w:t>
      </w:r>
      <w:r>
        <w:t xml:space="preserve"> campus de Savoie Technolac est né en 2006 des </w:t>
      </w:r>
      <w:r>
        <w:rPr>
          <w:bCs/>
        </w:rPr>
        <w:t xml:space="preserve">volontés politiques conjointes du </w:t>
      </w:r>
      <w:r>
        <w:rPr>
          <w:bCs/>
        </w:rPr>
        <w:t xml:space="preserve">C</w:t>
      </w:r>
      <w:r>
        <w:rPr>
          <w:bCs/>
        </w:rPr>
        <w:t xml:space="preserve">onseil </w:t>
      </w:r>
      <w:r>
        <w:rPr>
          <w:bCs/>
        </w:rPr>
        <w:t xml:space="preserve">G</w:t>
      </w:r>
      <w:r>
        <w:rPr>
          <w:bCs/>
        </w:rPr>
        <w:t xml:space="preserve">énéral et de la </w:t>
      </w:r>
      <w:r>
        <w:rPr>
          <w:bCs/>
        </w:rPr>
        <w:t xml:space="preserve">R</w:t>
      </w:r>
      <w:r>
        <w:rPr>
          <w:bCs/>
        </w:rPr>
        <w:t xml:space="preserve">égion Rh</w:t>
      </w:r>
      <w:r>
        <w:rPr>
          <w:bCs/>
        </w:rPr>
        <w:t xml:space="preserve">ône-Alpes. </w:t>
      </w:r>
      <w:r>
        <w:t xml:space="preserve">L’INES est devenu en quelques année</w:t>
      </w:r>
      <w:r>
        <w:t xml:space="preserve">s</w:t>
      </w:r>
      <w:r>
        <w:t xml:space="preserve"> un centre de référence dans le domaine de l’énergie solaire et du bâtiment durable. L’INES fédère des équipes du CEA, du CNRS, de l’</w:t>
      </w:r>
      <w:r>
        <w:t xml:space="preserve">Université Savoie Mont Blanc</w:t>
      </w:r>
      <w:r>
        <w:t xml:space="preserve"> et du CSTB autour de ces thématiques.</w:t>
      </w:r>
      <w:r>
        <w:t xml:space="preserve"> </w:t>
      </w:r>
      <w:r>
        <w:t xml:space="preserve">Il réunit aujourd’hui 450 chercheurs et techniciens venus d’horizons divers L’INES est aujourd’hui constitué de deux plateformes : </w:t>
      </w:r>
      <w:r>
        <w:t xml:space="preserve">La plateforme "Recherche &amp; Innovation" </w:t>
      </w:r>
      <w:r>
        <w:t xml:space="preserve">a pour</w:t>
      </w:r>
      <w:r>
        <w:t xml:space="preserve"> objectif la recherche et le développement dans le solaire photovoltaïque, le solaire thermique et leurs intégrations dans le bâtiment. La plateforme « évaluation &amp; formation » est quant à elle dédiée à la for</w:t>
      </w:r>
      <w:r>
        <w:t xml:space="preserve">mation, à l’expertise et au retour d’expérience. Le LOCIE est le laboratoire de recherche amont de l’INES sur le bâtiment durable et les systèmes énergétiques associés. Les recherches à caractère appliqué sont essentiellement du ressort du CEA et du CSTB. </w:t>
      </w:r>
      <w:r/>
    </w:p>
    <w:p>
      <w:pPr>
        <w:pStyle w:val="790"/>
      </w:pPr>
      <w:r/>
      <w:bookmarkStart w:id="22" w:name="_Toc367812145"/>
      <w:r/>
      <w:bookmarkStart w:id="23" w:name="_Toc92377714"/>
      <w:r>
        <w:t xml:space="preserve">Axes de recherche</w:t>
      </w:r>
      <w:bookmarkEnd w:id="22"/>
      <w:r/>
      <w:bookmarkEnd w:id="23"/>
      <w:r/>
      <w:r/>
    </w:p>
    <w:p>
      <w:r>
        <w:t xml:space="preserve">Le LOCIE développe des recherches fondamentales et finalisées qui sont à la confluence de l’énergétique, du génie des procédés et </w:t>
      </w:r>
      <w:r>
        <w:t xml:space="preserve">du bâtiment</w:t>
      </w:r>
      <w:r>
        <w:t xml:space="preserve">. Les activités de recherche du LOCIE portent sur l’énergie et le bâtiment durables. </w:t>
      </w:r>
      <w:r>
        <w:t xml:space="preserve">L’organigramme scientifique du laboratoire a été bâti de sorte à favoriser la communication au sein de l’Unité, renforcer sa visibilité externe, et favoriser son intégration à l’INES. </w:t>
      </w:r>
      <w:r>
        <w:t xml:space="preserve">L</w:t>
      </w:r>
      <w:r>
        <w:t xml:space="preserve">e laboratoire a choisi de se positionner sur </w:t>
      </w:r>
      <w:r>
        <w:t xml:space="preserve">3 </w:t>
      </w:r>
      <w:r>
        <w:t xml:space="preserve">thèmes </w:t>
      </w:r>
      <w:r>
        <w:t xml:space="preserve">(</w:t>
      </w:r>
      <w:r>
        <w:fldChar w:fldCharType="begin"/>
      </w:r>
      <w:r>
        <w:instrText xml:space="preserve"> REF _Ref369682535 \h </w:instrText>
      </w:r>
      <w:r>
        <w:fldChar w:fldCharType="separate"/>
      </w:r>
      <w:r>
        <w:t xml:space="preserve">Figure </w:t>
      </w:r>
      <w:r>
        <w:t xml:space="preserve">2</w:t>
      </w:r>
      <w:r>
        <w:fldChar w:fldCharType="end"/>
      </w:r>
      <w:r>
        <w:t xml:space="preserve">)</w:t>
      </w:r>
      <w:r>
        <w:t xml:space="preserve">: </w:t>
      </w:r>
      <w:r/>
    </w:p>
    <w:p>
      <w:pPr>
        <w:pStyle w:val="859"/>
        <w:numPr>
          <w:ilvl w:val="0"/>
          <w:numId w:val="31"/>
        </w:numPr>
      </w:pPr>
      <w:r>
        <w:t xml:space="preserve">BASE : Bâtiment durable</w:t>
      </w:r>
      <w:r>
        <w:t xml:space="preserve"> : Structure et Enveloppe</w:t>
      </w:r>
      <w:r/>
    </w:p>
    <w:p>
      <w:pPr>
        <w:pStyle w:val="859"/>
        <w:numPr>
          <w:ilvl w:val="0"/>
          <w:numId w:val="31"/>
        </w:numPr>
      </w:pPr>
      <w:r>
        <w:t xml:space="preserve">STEP : SysTèmes Energétiques et Procédés</w:t>
      </w:r>
      <w:r/>
    </w:p>
    <w:p>
      <w:pPr>
        <w:pStyle w:val="859"/>
        <w:numPr>
          <w:ilvl w:val="0"/>
          <w:numId w:val="31"/>
        </w:numPr>
      </w:pPr>
      <w:r>
        <w:t xml:space="preserve">SITE : Systèmes et bâtiments Intégrés à la ville et aux TErritoire</w:t>
      </w:r>
      <w:r/>
    </w:p>
    <w:p>
      <w:pPr>
        <w:pStyle w:val="859"/>
        <w:numPr>
          <w:ilvl w:val="0"/>
          <w:numId w:val="0"/>
        </w:numPr>
        <w:ind w:left="720" w:hanging="360"/>
      </w:pPr>
      <w:r>
        <mc:AlternateContent>
          <mc:Choice Requires="wpg">
            <w:drawing>
              <wp:inline xmlns:wp="http://schemas.openxmlformats.org/drawingml/2006/wordprocessingDrawing" distT="0" distB="0" distL="0" distR="0">
                <wp:extent cx="5850255" cy="4113530"/>
                <wp:effectExtent l="0" t="0" r="4445" b="1270"/>
                <wp:docPr id="7" name="Image 4"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6" name="Image 4" hidden="0"/>
                        <pic:cNvPicPr>
                          <a:picLocks noChangeAspect="1"/>
                        </pic:cNvPicPr>
                        <pic:nvPr isPhoto="0" userDrawn="0"/>
                      </pic:nvPicPr>
                      <pic:blipFill>
                        <a:blip r:embed="rId23"/>
                        <a:stretch/>
                      </pic:blipFill>
                      <pic:spPr bwMode="auto">
                        <a:xfrm>
                          <a:off x="0" y="0"/>
                          <a:ext cx="5850255" cy="411353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mso-wrap-distance-left:0.0pt;mso-wrap-distance-top:0.0pt;mso-wrap-distance-right:0.0pt;mso-wrap-distance-bottom:0.0pt;width:460.6pt;height:323.9pt;" stroked="false">
                <v:path textboxrect="0,0,0,0"/>
                <v:imagedata r:id="rId23" o:title=""/>
              </v:shape>
            </w:pict>
          </mc:Fallback>
        </mc:AlternateContent>
      </w:r>
      <w:r/>
    </w:p>
    <w:p>
      <w:pPr>
        <w:pStyle w:val="843"/>
      </w:pPr>
      <w:r/>
      <w:bookmarkStart w:id="24" w:name="_Ref369682535"/>
      <w:r>
        <w:t xml:space="preserve">Figure </w:t>
      </w:r>
      <w:r>
        <w:fldChar w:fldCharType="begin"/>
      </w:r>
      <w:r>
        <w:instrText xml:space="preserve"> S</w:instrText>
      </w:r>
      <w:r>
        <w:instrText xml:space="preserve">EQ Figure \* ARABIC </w:instrText>
      </w:r>
      <w:r>
        <w:fldChar w:fldCharType="separate"/>
      </w:r>
      <w:r>
        <w:t xml:space="preserve">2</w:t>
      </w:r>
      <w:r>
        <w:fldChar w:fldCharType="end"/>
      </w:r>
      <w:bookmarkEnd w:id="24"/>
      <w:r>
        <w:t xml:space="preserve">: </w:t>
      </w:r>
      <w:r>
        <w:t xml:space="preserve">THEMES</w:t>
      </w:r>
      <w:r>
        <w:t xml:space="preserve"> </w:t>
      </w:r>
      <w:r>
        <w:t xml:space="preserve">scientifiques</w:t>
      </w:r>
      <w:r>
        <w:t xml:space="preserve"> </w:t>
      </w:r>
      <w:r>
        <w:t xml:space="preserve">ET DOMAINES D’INTERETS</w:t>
      </w:r>
      <w:r/>
    </w:p>
    <w:p>
      <w:r>
        <w:t xml:space="preserve">Si une partie des recherches du LOCIE est menée en collaboration avec </w:t>
      </w:r>
      <w:r>
        <w:t xml:space="preserve">le tissu socio-économique</w:t>
      </w:r>
      <w:r>
        <w:t xml:space="preserve"> et </w:t>
      </w:r>
      <w:r>
        <w:t xml:space="preserve">à retombées applicatives</w:t>
      </w:r>
      <w:r>
        <w:t xml:space="preserve">, une autre partie a un caractère plus fondamental et a pour but d</w:t>
      </w:r>
      <w:r>
        <w:t xml:space="preserve">’apporter de nouvelles </w:t>
      </w:r>
      <w:r>
        <w:t xml:space="preserve">connaissances </w:t>
      </w:r>
      <w:r>
        <w:t xml:space="preserve">sur les domaines </w:t>
      </w:r>
      <w:r>
        <w:t xml:space="preserve">de compétence du laboratoire. Ces deux approches ne doivent pas être vues comme antagonistes mais bien complémentaires car les résul</w:t>
      </w:r>
      <w:r>
        <w:t xml:space="preserve">tats de l’approche appliquée nourrissent l’acquisition de nouvelles connaissances. A noter que l’ensemble de ces travaux s’appuie sur une expérimentation forte avec des pilotes de taille suffisamment conséquente pour développer une modélisation pertinente.</w:t>
      </w:r>
      <w:r/>
    </w:p>
    <w:p>
      <w:r/>
      <w:r/>
    </w:p>
    <w:p>
      <w:pPr>
        <w:jc w:val="left"/>
        <w:rPr>
          <w:caps/>
          <w:color w:val="632423"/>
          <w:spacing w:val="15"/>
          <w:sz w:val="24"/>
          <w:szCs w:val="24"/>
        </w:rPr>
      </w:pPr>
      <w:r/>
      <w:bookmarkStart w:id="25" w:name="_Toc146426229"/>
      <w:r/>
      <w:bookmarkStart w:id="26" w:name="_Toc367812146"/>
      <w:r>
        <w:br w:type="page"/>
      </w:r>
      <w:r/>
    </w:p>
    <w:p>
      <w:pPr>
        <w:pStyle w:val="790"/>
      </w:pPr>
      <w:r/>
      <w:bookmarkStart w:id="27" w:name="_Toc92377715"/>
      <w:r>
        <w:t xml:space="preserve">Les différents lieux d’activité</w:t>
      </w:r>
      <w:bookmarkEnd w:id="25"/>
      <w:r/>
      <w:bookmarkEnd w:id="26"/>
      <w:r/>
      <w:bookmarkEnd w:id="27"/>
      <w:r/>
      <w:r/>
    </w:p>
    <w:p>
      <w:r>
        <w:t xml:space="preserve">Les activités de recherche du laboratoire se répartissent sur différents lieux de l'</w:t>
      </w:r>
      <w:r>
        <w:t xml:space="preserve">Université Savoie Mont Blanc</w:t>
      </w:r>
      <w:r>
        <w:t xml:space="preserve"> :</w:t>
      </w:r>
      <w:r/>
    </w:p>
    <w:p>
      <w:pPr>
        <w:pStyle w:val="865"/>
      </w:pPr>
      <w:r>
        <w:t xml:space="preserve">Le bâtiment </w:t>
      </w:r>
      <w:r>
        <w:rPr>
          <w:rStyle w:val="817"/>
        </w:rPr>
        <w:t xml:space="preserve">Helios</w:t>
      </w:r>
      <w:r>
        <w:t xml:space="preserve"> (premier</w:t>
      </w:r>
      <w:r>
        <w:t xml:space="preserve"> étage) où se trouvent les bureaux des chercheurs du LOCIE, la direction du Laboratoire, le pôle administratif et les techniciens ;</w:t>
      </w:r>
      <w:r/>
    </w:p>
    <w:p>
      <w:pPr>
        <w:pStyle w:val="865"/>
      </w:pPr>
      <w:r>
        <w:t xml:space="preserve">Le</w:t>
      </w:r>
      <w:r>
        <w:t xml:space="preserve">s</w:t>
      </w:r>
      <w:r>
        <w:t xml:space="preserve"> bâtiment</w:t>
      </w:r>
      <w:r>
        <w:t xml:space="preserve">s</w:t>
      </w:r>
      <w:r>
        <w:t xml:space="preserve"> </w:t>
      </w:r>
      <w:r>
        <w:rPr>
          <w:rStyle w:val="817"/>
        </w:rPr>
        <w:t xml:space="preserve">Lynx 3</w:t>
      </w:r>
      <w:r>
        <w:t xml:space="preserve"> </w:t>
      </w:r>
      <w:r>
        <w:t xml:space="preserve">de l’</w:t>
      </w:r>
      <w:r>
        <w:rPr>
          <w:rStyle w:val="817"/>
        </w:rPr>
        <w:t xml:space="preserve">I</w:t>
      </w:r>
      <w:r>
        <w:t xml:space="preserve">nstitut </w:t>
      </w:r>
      <w:r>
        <w:rPr>
          <w:rStyle w:val="817"/>
        </w:rPr>
        <w:t xml:space="preserve">N</w:t>
      </w:r>
      <w:r>
        <w:t xml:space="preserve">ational de l’</w:t>
      </w:r>
      <w:r>
        <w:rPr>
          <w:rStyle w:val="817"/>
        </w:rPr>
        <w:t xml:space="preserve">E</w:t>
      </w:r>
      <w:r>
        <w:t xml:space="preserve">nergie </w:t>
      </w:r>
      <w:r>
        <w:rPr>
          <w:rStyle w:val="817"/>
        </w:rPr>
        <w:t xml:space="preserve">S</w:t>
      </w:r>
      <w:r>
        <w:t xml:space="preserve">olaire (INES) où se trouvent quelques bureaux de doctorants et post-doctorants du LOCIE ;</w:t>
      </w:r>
      <w:r/>
    </w:p>
    <w:p>
      <w:pPr>
        <w:pStyle w:val="865"/>
      </w:pPr>
      <w:r>
        <w:t xml:space="preserve">Le </w:t>
      </w:r>
      <w:r>
        <w:rPr>
          <w:rStyle w:val="817"/>
        </w:rPr>
        <w:t xml:space="preserve">hall technique</w:t>
      </w:r>
      <w:r>
        <w:rPr>
          <w:rStyle w:val="817"/>
        </w:rPr>
        <w:t xml:space="preserve"> de Polytech</w:t>
      </w:r>
      <w:r>
        <w:t xml:space="preserve"> où ont lieu un certain nombre d’expérimentations </w:t>
      </w:r>
      <w:r>
        <w:t xml:space="preserve">(géothermie, …)</w:t>
      </w:r>
      <w:r/>
    </w:p>
    <w:p>
      <w:pPr>
        <w:pStyle w:val="865"/>
      </w:pPr>
      <w:r>
        <w:t xml:space="preserve">Le </w:t>
      </w:r>
      <w:r>
        <w:rPr>
          <w:rStyle w:val="817"/>
        </w:rPr>
        <w:t xml:space="preserve">hall Margeriaz</w:t>
      </w:r>
      <w:r>
        <w:t xml:space="preserve"> o</w:t>
      </w:r>
      <w:r>
        <w:t xml:space="preserve">ù</w:t>
      </w:r>
      <w:r>
        <w:t xml:space="preserve"> sont effectuées les expérimentations sur la structure du bâti ;</w:t>
      </w:r>
      <w:r/>
    </w:p>
    <w:p>
      <w:pPr>
        <w:pStyle w:val="865"/>
      </w:pPr>
      <w:r>
        <w:t xml:space="preserve">La </w:t>
      </w:r>
      <w:r>
        <w:rPr>
          <w:rStyle w:val="817"/>
        </w:rPr>
        <w:t xml:space="preserve">plateforme </w:t>
      </w:r>
      <w:r>
        <w:rPr>
          <w:rStyle w:val="817"/>
        </w:rPr>
        <w:t xml:space="preserve">expérimentale</w:t>
      </w:r>
      <w:r>
        <w:rPr>
          <w:rStyle w:val="817"/>
        </w:rPr>
        <w:t xml:space="preserve"> de l’INES</w:t>
      </w:r>
      <w:r>
        <w:t xml:space="preserve"> où sont regroupés des moyens propres du LOCIE (2 plateformes BIPV) ou des plateformes mutualisées avec le CEA INES (Maisons INCA, cellules PASS</w:t>
      </w:r>
      <w:r>
        <w:t xml:space="preserve">Y</w:t>
      </w:r>
      <w:r>
        <w:t xml:space="preserve">S).</w:t>
      </w:r>
      <w:r/>
    </w:p>
    <w:p>
      <w:pPr>
        <w:pStyle w:val="790"/>
      </w:pPr>
      <w:r/>
      <w:bookmarkStart w:id="28" w:name="_Toc367812147"/>
      <w:r/>
      <w:bookmarkStart w:id="29" w:name="_Toc92377716"/>
      <w:r>
        <w:t xml:space="preserve">Le personnel</w:t>
      </w:r>
      <w:r>
        <w:t xml:space="preserve"> </w:t>
      </w:r>
      <w:bookmarkEnd w:id="28"/>
      <w:r>
        <w:t xml:space="preserve">PERMANEnT (</w:t>
      </w:r>
      <w:r>
        <w:rPr>
          <w:rFonts w:cs="Times New Roman (Titres CS)"/>
          <w:caps w:val="false"/>
        </w:rPr>
        <w:t xml:space="preserve">voir : </w:t>
      </w:r>
      <w:r>
        <w:rPr>
          <w:rFonts w:cs="Times New Roman (Titres CS)"/>
          <w:caps w:val="false"/>
        </w:rPr>
        <w:t xml:space="preserve">www.</w:t>
      </w:r>
      <w:r>
        <w:rPr>
          <w:rFonts w:cs="Times New Roman (Titres CS)"/>
          <w:caps w:val="false"/>
        </w:rPr>
        <w:t xml:space="preserve">univ-smb.fr/</w:t>
      </w:r>
      <w:r>
        <w:rPr>
          <w:rFonts w:cs="Times New Roman (Titres CS)"/>
          <w:caps w:val="false"/>
        </w:rPr>
        <w:t xml:space="preserve">locie)</w:t>
      </w:r>
      <w:bookmarkEnd w:id="29"/>
      <w:r/>
      <w:r/>
    </w:p>
    <w:p>
      <w:pPr>
        <w:pStyle w:val="791"/>
      </w:pPr>
      <w:r/>
      <w:bookmarkStart w:id="30" w:name="_Ref367291165"/>
      <w:r/>
      <w:bookmarkStart w:id="31" w:name="_Toc367812148"/>
      <w:r/>
      <w:bookmarkStart w:id="32" w:name="_Toc92377717"/>
      <w:r>
        <w:t xml:space="preserve">Les </w:t>
      </w:r>
      <w:r>
        <w:t xml:space="preserve">Enseignants - Chercheurs</w:t>
      </w:r>
      <w:bookmarkEnd w:id="30"/>
      <w:r/>
      <w:bookmarkEnd w:id="31"/>
      <w:r>
        <w:t xml:space="preserve"> / Chercheurs</w:t>
      </w:r>
      <w:bookmarkEnd w:id="32"/>
      <w:r/>
      <w:r/>
    </w:p>
    <w:p>
      <w:r>
        <w:t xml:space="preserve">Actuel</w:t>
      </w:r>
      <w:r>
        <w:t xml:space="preserve">lement le LOCIE est composé de </w:t>
      </w:r>
      <w:r>
        <w:t xml:space="preserve">9 </w:t>
      </w:r>
      <w:r>
        <w:t xml:space="preserve">professeurs, 1</w:t>
      </w:r>
      <w:r>
        <w:t xml:space="preserve">7</w:t>
      </w:r>
      <w:r>
        <w:t xml:space="preserve"> maîtres de conférences</w:t>
      </w:r>
      <w:r>
        <w:t xml:space="preserve">, 1 chargé de recherches CNRS</w:t>
      </w:r>
      <w:r>
        <w:t xml:space="preserve">.</w:t>
      </w:r>
      <w:r/>
    </w:p>
    <w:p>
      <w:pPr>
        <w:pStyle w:val="790"/>
      </w:pPr>
      <w:r/>
      <w:bookmarkStart w:id="33" w:name="_Toc92377718"/>
      <w:r>
        <w:t xml:space="preserve">Les chercheurs associés</w:t>
      </w:r>
      <w:bookmarkEnd w:id="33"/>
      <w:r/>
      <w:r/>
    </w:p>
    <w:p>
      <w:r>
        <w:t xml:space="preserve">Actuellement 1 chercheur du CEA et 7 chercheurs CEREMA sont associés au LOCIE. Le </w:t>
      </w:r>
      <w:r>
        <w:t xml:space="preserve">laboratoire accueille aussi un professeur a</w:t>
      </w:r>
      <w:r>
        <w:t xml:space="preserve">ssocié venant de l’industrie.</w:t>
      </w:r>
      <w:r/>
    </w:p>
    <w:p>
      <w:pPr>
        <w:pStyle w:val="791"/>
      </w:pPr>
      <w:r/>
      <w:bookmarkStart w:id="34" w:name="_Toc367812149"/>
      <w:r/>
      <w:bookmarkStart w:id="35" w:name="_Toc92377719"/>
      <w:r>
        <w:t xml:space="preserve">Les membres </w:t>
      </w:r>
      <w:r>
        <w:t xml:space="preserve">T</w:t>
      </w:r>
      <w:r>
        <w:t xml:space="preserve">echni</w:t>
      </w:r>
      <w:r>
        <w:t xml:space="preserve">que</w:t>
      </w:r>
      <w:r>
        <w:t xml:space="preserve">s</w:t>
      </w:r>
      <w:r>
        <w:t xml:space="preserve"> et Administratif</w:t>
      </w:r>
      <w:r>
        <w:t xml:space="preserve">s</w:t>
      </w:r>
      <w:bookmarkEnd w:id="34"/>
      <w:r/>
      <w:bookmarkEnd w:id="35"/>
      <w:r/>
      <w:r/>
    </w:p>
    <w:p>
      <w:r>
        <w:t xml:space="preserve">Les chercheurs sont assistés</w:t>
      </w:r>
      <w:r>
        <w:t xml:space="preserve"> dans</w:t>
      </w:r>
      <w:r>
        <w:t xml:space="preserve"> leurs tâches par </w:t>
      </w:r>
      <w:r>
        <w:t xml:space="preserve">un service support administratif et technique constitué de 4 personnes en moyenne</w:t>
      </w:r>
      <w:r>
        <w:t xml:space="preserve">.</w:t>
      </w:r>
      <w:r/>
    </w:p>
    <w:p>
      <w:pPr>
        <w:pStyle w:val="791"/>
      </w:pPr>
      <w:r/>
      <w:bookmarkStart w:id="36" w:name="_Toc92377720"/>
      <w:r>
        <w:t xml:space="preserve">Les DOCTORANTS et POSt- DOCTORANTS</w:t>
      </w:r>
      <w:bookmarkEnd w:id="36"/>
      <w:r/>
      <w:r/>
    </w:p>
    <w:p>
      <w:r>
        <w:t xml:space="preserve">Les LOCIE accueille en moyenne une trentaine de doctorants en permanence et une dizain</w:t>
      </w:r>
      <w:r>
        <w:t xml:space="preserve">e de post-doctorants</w:t>
      </w:r>
      <w:r>
        <w:t xml:space="preserve">.</w:t>
      </w:r>
      <w:r/>
    </w:p>
    <w:p>
      <w:pPr>
        <w:pStyle w:val="790"/>
      </w:pPr>
      <w:r/>
      <w:bookmarkStart w:id="37" w:name="_Ref367294641"/>
      <w:r/>
      <w:bookmarkStart w:id="38" w:name="_Toc367812150"/>
      <w:r/>
      <w:bookmarkStart w:id="39" w:name="_Toc92377721"/>
      <w:r>
        <w:t xml:space="preserve">Organigramme du LOCIE</w:t>
      </w:r>
      <w:bookmarkEnd w:id="37"/>
      <w:r/>
      <w:bookmarkEnd w:id="38"/>
      <w:r/>
      <w:bookmarkEnd w:id="39"/>
      <w:r/>
      <w:r/>
    </w:p>
    <w:p>
      <w:r>
        <w:t xml:space="preserve">La direction du Laboratoire </w:t>
      </w:r>
      <w:r>
        <w:t xml:space="preserve">est</w:t>
      </w:r>
      <w:r>
        <w:t xml:space="preserve"> constituée de </w:t>
      </w:r>
      <w:r>
        <w:t xml:space="preserve">3 </w:t>
      </w:r>
      <w:r>
        <w:t xml:space="preserve">personnes</w:t>
      </w:r>
      <w:r>
        <w:t xml:space="preserve"> :</w:t>
      </w:r>
      <w:r>
        <w:t xml:space="preserve"> l</w:t>
      </w:r>
      <w:r>
        <w:t xml:space="preserve">e</w:t>
      </w:r>
      <w:r>
        <w:t xml:space="preserve"> </w:t>
      </w:r>
      <w:r>
        <w:t xml:space="preserve">direct</w:t>
      </w:r>
      <w:r>
        <w:t xml:space="preserve">eur</w:t>
      </w:r>
      <w:r>
        <w:t xml:space="preserve"> </w:t>
      </w:r>
      <w:r>
        <w:t xml:space="preserve">(</w:t>
      </w:r>
      <w:r>
        <w:t xml:space="preserve">Christophe Ménézo</w:t>
      </w:r>
      <w:r>
        <w:t xml:space="preserve">), </w:t>
      </w:r>
      <w:r>
        <w:t xml:space="preserve">la directrice adjointe</w:t>
      </w:r>
      <w:r>
        <w:t xml:space="preserve"> à l’animation scientifique </w:t>
      </w:r>
      <w:r>
        <w:t xml:space="preserve">(Nolwenn Le Pierrès), la directrice adjointe à l’optimisation financière (Evelyne Gonze). Le comité directeur inclut en plus de la direction, les binômes responsables des thèmes </w:t>
      </w:r>
      <w:r>
        <w:t xml:space="preserve">scientifiques</w:t>
      </w:r>
      <w:r>
        <w:t xml:space="preserve"> (</w:t>
      </w:r>
      <w:r>
        <w:t xml:space="preserve">M</w:t>
      </w:r>
      <w:r>
        <w:t xml:space="preserve">. </w:t>
      </w:r>
      <w:r>
        <w:t xml:space="preserve">Woloszyn et</w:t>
      </w:r>
      <w:r>
        <w:t xml:space="preserve"> </w:t>
      </w:r>
      <w:r>
        <w:t xml:space="preserve">O</w:t>
      </w:r>
      <w:r>
        <w:t xml:space="preserve">. </w:t>
      </w:r>
      <w:r>
        <w:t xml:space="preserve">Plé pou</w:t>
      </w:r>
      <w:r>
        <w:t xml:space="preserve">r</w:t>
      </w:r>
      <w:r>
        <w:t xml:space="preserve"> BASE</w:t>
      </w:r>
      <w:r>
        <w:t xml:space="preserve">, </w:t>
      </w:r>
      <w:r>
        <w:t xml:space="preserve">M. Ondarts et Anne-Laure Perrier pour STEP, J. Ramousse et S. Rouchier </w:t>
      </w:r>
      <w:r>
        <w:t xml:space="preserve">pour SITE) </w:t>
      </w:r>
      <w:r>
        <w:t xml:space="preserve">La direction </w:t>
      </w:r>
      <w:r>
        <w:t xml:space="preserve">délègue également certaines tâches à des </w:t>
      </w:r>
      <w:r>
        <w:t xml:space="preserve">chargés de mission</w:t>
      </w:r>
      <w:r>
        <w:t xml:space="preserve"> </w:t>
      </w:r>
      <w:r>
        <w:t xml:space="preserve">ou </w:t>
      </w:r>
      <w:r>
        <w:t xml:space="preserve">à </w:t>
      </w:r>
      <w:r>
        <w:t xml:space="preserve">des </w:t>
      </w:r>
      <w:r>
        <w:t xml:space="preserve">groupes</w:t>
      </w:r>
      <w:r>
        <w:t xml:space="preserve"> de travail. </w:t>
      </w:r>
      <w:r/>
    </w:p>
    <w:p>
      <w:r>
        <mc:AlternateContent>
          <mc:Choice Requires="wpg">
            <w:drawing>
              <wp:inline xmlns:wp="http://schemas.openxmlformats.org/drawingml/2006/wordprocessingDrawing" distT="0" distB="0" distL="0" distR="0">
                <wp:extent cx="5850255" cy="3270250"/>
                <wp:effectExtent l="0" t="0" r="4445" b="6350"/>
                <wp:docPr id="8" name="Image 5"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7" name="Image 5" hidden="0"/>
                        <pic:cNvPicPr>
                          <a:picLocks noChangeAspect="1"/>
                        </pic:cNvPicPr>
                        <pic:nvPr isPhoto="0" userDrawn="0"/>
                      </pic:nvPicPr>
                      <pic:blipFill>
                        <a:blip r:embed="rId24"/>
                        <a:stretch/>
                      </pic:blipFill>
                      <pic:spPr bwMode="auto">
                        <a:xfrm>
                          <a:off x="0" y="0"/>
                          <a:ext cx="5850255" cy="327025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mso-wrap-distance-left:0.0pt;mso-wrap-distance-top:0.0pt;mso-wrap-distance-right:0.0pt;mso-wrap-distance-bottom:0.0pt;width:460.6pt;height:257.5pt;" stroked="false">
                <v:path textboxrect="0,0,0,0"/>
                <v:imagedata r:id="rId24" o:title=""/>
              </v:shape>
            </w:pict>
          </mc:Fallback>
        </mc:AlternateContent>
      </w:r>
      <w:r/>
    </w:p>
    <w:p>
      <w:pPr>
        <w:pStyle w:val="843"/>
      </w:pPr>
      <w:r>
        <w:t xml:space="preserve"> </w:t>
      </w:r>
      <w:r>
        <w:t xml:space="preserve"> </w:t>
      </w:r>
      <w:r>
        <w:t xml:space="preserve">Figure </w:t>
      </w:r>
      <w:r>
        <w:t xml:space="preserve">3</w:t>
      </w:r>
      <w:r>
        <w:t xml:space="preserve"> </w:t>
      </w:r>
      <w:r>
        <w:t xml:space="preserve">: </w:t>
      </w:r>
      <w:r>
        <w:t xml:space="preserve">Organigramme fonctionnel du </w:t>
      </w:r>
      <w:r>
        <w:t xml:space="preserve">laboratoire</w:t>
      </w:r>
      <w:r/>
    </w:p>
    <w:p>
      <w:pPr>
        <w:pStyle w:val="791"/>
      </w:pPr>
      <w:r/>
      <w:bookmarkStart w:id="40" w:name="_Toc92377722"/>
      <w:r>
        <w:t xml:space="preserve">L’assemblée générale</w:t>
      </w:r>
      <w:bookmarkEnd w:id="40"/>
      <w:r/>
      <w:r/>
    </w:p>
    <w:p>
      <w:r>
        <w:t xml:space="preserve">Elle se réunit au moins une fois par </w:t>
      </w:r>
      <w:r>
        <w:t xml:space="preserve">an à l’occasion du séminaire annuel. L’ordre du jour est fixé par l’équipe de direction. L’assemblée a pour mission de valider l’orientation de la politique du laboratoire. Les changements de statut de l’Unité doivent être validés par l’assemblée générale.</w:t>
      </w:r>
      <w:r/>
    </w:p>
    <w:p>
      <w:pPr>
        <w:pStyle w:val="791"/>
      </w:pPr>
      <w:r/>
      <w:bookmarkStart w:id="41" w:name="_Toc92377723"/>
      <w:r>
        <w:t xml:space="preserve">Conseil d</w:t>
      </w:r>
      <w:r>
        <w:t xml:space="preserve">u</w:t>
      </w:r>
      <w:r>
        <w:t xml:space="preserve"> laboratoire</w:t>
      </w:r>
      <w:bookmarkEnd w:id="41"/>
      <w:r/>
      <w:r/>
    </w:p>
    <w:p>
      <w:r>
        <w:t xml:space="preserve">Le conseil du laboratoire est composé </w:t>
      </w:r>
      <w:r>
        <w:t xml:space="preserve">de 1</w:t>
      </w:r>
      <w:r>
        <w:t xml:space="preserve">3</w:t>
      </w:r>
      <w:r>
        <w:t xml:space="preserve"> membres</w:t>
      </w:r>
      <w:r>
        <w:t xml:space="preserve"> </w:t>
      </w:r>
      <w:r>
        <w:t xml:space="preserve">élus subdivisés en trois collèges :</w:t>
      </w:r>
      <w:r/>
    </w:p>
    <w:p>
      <w:pPr>
        <w:ind w:left="708"/>
        <w:spacing w:after="0"/>
        <w:rPr>
          <w:rFonts w:ascii="Cambria" w:hAnsi="Cambria" w:cs="Cambria" w:eastAsia="Cambria"/>
        </w:rPr>
      </w:pPr>
      <w:r>
        <w:rPr>
          <w:rFonts w:ascii="Cambria" w:hAnsi="Cambria" w:cs="Cambria" w:eastAsia="Cambria"/>
        </w:rPr>
        <w:t xml:space="preserve">-</w:t>
      </w:r>
      <w:r>
        <w:rPr>
          <w:rFonts w:ascii="Cambria" w:hAnsi="Cambria" w:cs="Cambria" w:eastAsia="Cambria"/>
        </w:rPr>
        <w:t xml:space="preserve"> 1 </w:t>
      </w:r>
      <w:r>
        <w:rPr>
          <w:rFonts w:ascii="Cambria" w:hAnsi="Cambria" w:cs="Cambria" w:eastAsia="Cambria"/>
        </w:rPr>
        <w:t xml:space="preserve">membre</w:t>
      </w:r>
      <w:r>
        <w:rPr>
          <w:rFonts w:ascii="Cambria" w:hAnsi="Cambria" w:cs="Cambria" w:eastAsia="Cambria"/>
        </w:rPr>
        <w:t xml:space="preserve"> de droit : le </w:t>
      </w:r>
      <w:r>
        <w:rPr>
          <w:rFonts w:ascii="Cambria" w:hAnsi="Cambria" w:cs="Cambria" w:eastAsia="Cambria"/>
        </w:rPr>
        <w:t xml:space="preserve">Directeur</w:t>
      </w:r>
      <w:r>
        <w:rPr>
          <w:rFonts w:ascii="Cambria" w:hAnsi="Cambria" w:cs="Cambria" w:eastAsia="Cambria"/>
        </w:rPr>
        <w:t xml:space="preserve"> du LOCIE</w:t>
      </w:r>
      <w:r>
        <w:rPr>
          <w:rFonts w:ascii="Cambria" w:hAnsi="Cambria" w:cs="Cambria" w:eastAsia="Cambria"/>
        </w:rPr>
      </w:r>
      <w:r/>
    </w:p>
    <w:p>
      <w:pPr>
        <w:ind w:left="708"/>
        <w:spacing w:after="0"/>
        <w:rPr>
          <w:rFonts w:ascii="Cambria" w:hAnsi="Cambria" w:cs="Cambria" w:eastAsia="Cambria"/>
        </w:rPr>
      </w:pPr>
      <w:r>
        <w:rPr>
          <w:rFonts w:ascii="Cambria" w:hAnsi="Cambria" w:cs="Cambria" w:eastAsia="Cambria"/>
          <w:color w:val="000000"/>
        </w:rPr>
        <w:t xml:space="preserve">- </w:t>
      </w:r>
      <w:r>
        <w:rPr>
          <w:rFonts w:ascii="Cambria" w:hAnsi="Cambria" w:cs="Cambria" w:eastAsia="Cambria"/>
          <w:color w:val="000000"/>
        </w:rPr>
        <w:t xml:space="preserve">3</w:t>
      </w:r>
      <w:r>
        <w:rPr>
          <w:rFonts w:ascii="Cambria" w:hAnsi="Cambria" w:cs="Cambria" w:eastAsia="Cambria"/>
          <w:color w:val="000000"/>
        </w:rPr>
        <w:t xml:space="preserve"> membres nommés </w:t>
      </w:r>
      <w:r>
        <w:rPr>
          <w:rFonts w:ascii="Cambria" w:hAnsi="Cambria" w:cs="Cambria" w:eastAsia="Cambria"/>
          <w:color w:val="000000"/>
        </w:rPr>
        <w:t xml:space="preserve">(par le directeur du laboratoire)</w:t>
      </w:r>
      <w:r>
        <w:rPr>
          <w:rFonts w:ascii="Cambria" w:hAnsi="Cambria" w:cs="Cambria" w:eastAsia="Cambria"/>
        </w:rPr>
      </w:r>
      <w:r/>
    </w:p>
    <w:p>
      <w:pPr>
        <w:ind w:left="708"/>
        <w:rPr>
          <w:rFonts w:ascii="Cambria" w:hAnsi="Cambria" w:cs="Cambria" w:eastAsia="Cambria"/>
          <w:color w:val="000000"/>
        </w:rPr>
      </w:pPr>
      <w:r>
        <w:rPr>
          <w:rFonts w:ascii="Cambria" w:hAnsi="Cambria" w:cs="Cambria" w:eastAsia="Cambria"/>
        </w:rPr>
        <w:t xml:space="preserve">- </w:t>
      </w:r>
      <w:r>
        <w:rPr>
          <w:rFonts w:ascii="Cambria" w:hAnsi="Cambria" w:cs="Cambria" w:eastAsia="Cambria"/>
        </w:rPr>
        <w:t xml:space="preserve">9</w:t>
      </w:r>
      <w:r>
        <w:rPr>
          <w:rFonts w:ascii="Cambria" w:hAnsi="Cambria" w:cs="Cambria" w:eastAsia="Cambria"/>
          <w:color w:val="000000"/>
        </w:rPr>
        <w:t xml:space="preserve"> membres élus subdivisés en trois collèges : </w:t>
      </w:r>
      <w:r>
        <w:rPr>
          <w:rFonts w:ascii="Cambria" w:hAnsi="Cambria" w:cs="Cambria" w:eastAsia="Cambria"/>
        </w:rPr>
      </w:r>
      <w:r/>
    </w:p>
    <w:p>
      <w:pPr>
        <w:numPr>
          <w:ilvl w:val="0"/>
          <w:numId w:val="30"/>
        </w:numPr>
        <w:spacing w:lineRule="auto" w:line="240" w:after="0"/>
        <w:tabs>
          <w:tab w:val="num" w:pos="1701" w:leader="none"/>
          <w:tab w:val="clear" w:pos="2121" w:leader="none"/>
        </w:tabs>
        <w:rPr>
          <w:rFonts w:ascii="Cambria" w:hAnsi="Cambria" w:cs="Cambria" w:eastAsia="Cambria"/>
          <w:color w:val="000000"/>
        </w:rPr>
      </w:pPr>
      <w:r>
        <w:rPr>
          <w:rFonts w:ascii="Cambria" w:hAnsi="Cambria" w:cs="Cambria" w:eastAsia="Cambria"/>
          <w:color w:val="000000"/>
        </w:rPr>
        <w:t xml:space="preserve">6 </w:t>
      </w:r>
      <w:r>
        <w:rPr>
          <w:rFonts w:ascii="Cambria" w:hAnsi="Cambria" w:cs="Cambria" w:eastAsia="Cambria"/>
          <w:color w:val="000000"/>
        </w:rPr>
        <w:t xml:space="preserve">représentants des membres permanents, parmi les enseignants-chercheurs  et </w:t>
      </w:r>
      <w:r/>
    </w:p>
    <w:p>
      <w:pPr>
        <w:ind w:left="0" w:firstLine="0"/>
        <w:spacing w:lineRule="auto" w:line="240" w:after="0"/>
        <w:tabs>
          <w:tab w:val="num" w:pos="1701" w:leader="none"/>
          <w:tab w:val="clear" w:pos="2121" w:leader="none"/>
        </w:tabs>
        <w:rPr>
          <w:rFonts w:ascii="Cambria" w:hAnsi="Cambria" w:cs="Cambria" w:eastAsia="Cambria"/>
          <w:color w:val="000000"/>
        </w:rPr>
      </w:pPr>
      <w:r>
        <w:rPr>
          <w:rFonts w:ascii="Cambria" w:hAnsi="Cambria" w:cs="Cambria" w:eastAsia="Cambria"/>
          <w:color w:val="000000"/>
        </w:rPr>
        <w:tab/>
        <w:tab/>
        <w:t xml:space="preserve">                               chercheurs titulaires,</w:t>
      </w:r>
      <w:r>
        <w:rPr>
          <w:rFonts w:ascii="Cambria" w:hAnsi="Cambria" w:cs="Cambria" w:eastAsia="Cambria"/>
        </w:rPr>
      </w:r>
      <w:r/>
    </w:p>
    <w:p>
      <w:pPr>
        <w:numPr>
          <w:ilvl w:val="0"/>
          <w:numId w:val="30"/>
        </w:numPr>
        <w:spacing w:lineRule="auto" w:line="240" w:after="0"/>
        <w:tabs>
          <w:tab w:val="num" w:pos="1701" w:leader="none"/>
          <w:tab w:val="clear" w:pos="2121" w:leader="none"/>
        </w:tabs>
        <w:rPr>
          <w:rFonts w:ascii="Cambria" w:hAnsi="Cambria" w:cs="Cambria" w:eastAsia="Cambria"/>
          <w:color w:val="000000"/>
        </w:rPr>
      </w:pPr>
      <w:r>
        <w:rPr>
          <w:rFonts w:ascii="Cambria" w:hAnsi="Cambria" w:cs="Cambria" w:eastAsia="Cambria"/>
          <w:color w:val="000000"/>
        </w:rPr>
        <w:t xml:space="preserve">2 représentants des membres non permanents, </w:t>
      </w:r>
      <w:r>
        <w:rPr>
          <w:rFonts w:ascii="Cambria" w:hAnsi="Cambria" w:cs="Cambria" w:eastAsia="Cambria"/>
        </w:rPr>
      </w:r>
      <w:r/>
    </w:p>
    <w:p>
      <w:pPr>
        <w:numPr>
          <w:ilvl w:val="0"/>
          <w:numId w:val="30"/>
        </w:numPr>
        <w:spacing w:lineRule="auto" w:line="240" w:after="0"/>
        <w:tabs>
          <w:tab w:val="num" w:pos="1701" w:leader="none"/>
          <w:tab w:val="clear" w:pos="2121" w:leader="none"/>
        </w:tabs>
        <w:rPr>
          <w:rFonts w:ascii="Cambria" w:hAnsi="Cambria" w:cs="Cambria" w:eastAsia="Cambria"/>
          <w:color w:val="000000"/>
        </w:rPr>
      </w:pPr>
      <w:r>
        <w:rPr>
          <w:rFonts w:ascii="Cambria" w:hAnsi="Cambria" w:cs="Cambria" w:eastAsia="Cambria"/>
          <w:color w:val="000000"/>
        </w:rPr>
        <w:t xml:space="preserve">1 représentant des membres permanents parmi les personnels BIATSS</w:t>
      </w:r>
      <w:r>
        <w:rPr>
          <w:rFonts w:ascii="Cambria" w:hAnsi="Cambria" w:cs="Cambria" w:eastAsia="Cambria"/>
        </w:rPr>
      </w:r>
      <w:r/>
    </w:p>
    <w:p>
      <w:r/>
      <w:r/>
    </w:p>
    <w:p>
      <w:pPr>
        <w:rPr>
          <w:highlight w:val="none"/>
        </w:rPr>
      </w:pPr>
      <w:r>
        <w:t xml:space="preserve">La durée du mandat des élus membres permanents est de quatre ans, et celle des</w:t>
      </w:r>
      <w:r>
        <w:t xml:space="preserve"> </w:t>
      </w:r>
      <w:r>
        <w:t xml:space="preserve">membres non permanents est de 1 an.</w:t>
      </w:r>
      <w:r>
        <w:t xml:space="preserve"> </w:t>
      </w:r>
      <w:r>
        <w:t xml:space="preserve">Le rôle du conseil est d’assister la direction dans la définition de la politique </w:t>
      </w:r>
      <w:r>
        <w:t xml:space="preserve">scientifique</w:t>
      </w:r>
      <w:r>
        <w:t xml:space="preserve"> </w:t>
      </w:r>
      <w:r>
        <w:t xml:space="preserve">générale</w:t>
      </w:r>
      <w:r>
        <w:t xml:space="preserve">,</w:t>
      </w:r>
      <w:r>
        <w:t xml:space="preserve"> et notamment les grandes orientations de la recherche, les échanges nationaux et</w:t>
      </w:r>
      <w:r>
        <w:t xml:space="preserve"> </w:t>
      </w:r>
      <w:r>
        <w:t xml:space="preserve">internationaux, les contrats de recherche et les recrutements. Le conseil valide aussi les projets</w:t>
      </w:r>
      <w:r>
        <w:t xml:space="preserve"> </w:t>
      </w:r>
      <w:r>
        <w:t xml:space="preserve">et actions thématiques de recherche. Le conseil supervise la vie du laboratoire et valide les orientations budgétaires</w:t>
      </w:r>
      <w:r>
        <w:t xml:space="preserve"> </w:t>
      </w:r>
      <w:r>
        <w:t xml:space="preserve">proposées par la direction.</w:t>
      </w:r>
      <w:r>
        <w:t xml:space="preserve"> </w:t>
      </w:r>
      <w:r>
        <w:t xml:space="preserve">Les réunions du conseil de laboratoire sont mensuelles avec un compte-rendu communiqué</w:t>
      </w:r>
      <w:r>
        <w:t xml:space="preserve"> à</w:t>
      </w:r>
      <w:r>
        <w:t xml:space="preserve"> tous</w:t>
      </w:r>
      <w:r>
        <w:t xml:space="preserve"> les</w:t>
      </w:r>
      <w:r>
        <w:t xml:space="preserve"> membres du laboratoire et accessible dans l’intranet du LOCIE.</w:t>
      </w:r>
      <w:r>
        <w:t xml:space="preserve"> </w:t>
      </w:r>
      <w:r/>
    </w:p>
    <w:p>
      <w:r>
        <w:rPr>
          <w:highlight w:val="none"/>
        </w:rPr>
      </w:r>
      <w:r>
        <w:rPr>
          <w:highlight w:val="none"/>
        </w:rPr>
      </w:r>
      <w:r/>
    </w:p>
    <w:p>
      <w:pPr>
        <w:pStyle w:val="791"/>
      </w:pPr>
      <w:r/>
      <w:bookmarkStart w:id="42" w:name="_Toc92377724"/>
      <w:r>
        <w:t xml:space="preserve">Conseil scientifique</w:t>
      </w:r>
      <w:bookmarkEnd w:id="42"/>
      <w:r/>
      <w:r/>
    </w:p>
    <w:p>
      <w:pPr>
        <w:pStyle w:val="865"/>
        <w:numPr>
          <w:ilvl w:val="0"/>
          <w:numId w:val="0"/>
        </w:numPr>
        <w:rPr>
          <w:highlight w:val="none"/>
        </w:rPr>
      </w:pPr>
      <w:r/>
      <w:bookmarkStart w:id="43" w:name="_Toc367812152"/>
      <w:r>
        <w:t xml:space="preserve">Composé de</w:t>
      </w:r>
      <w:r>
        <w:t xml:space="preserve">s</w:t>
      </w:r>
      <w:r>
        <w:t xml:space="preserve"> membres extérieurs nommés par le directeur de l’unité sur proposition de l’a</w:t>
      </w:r>
      <w:r>
        <w:t xml:space="preserve">ssemblée générale pour la durée du contrat pluriannuel. Il se réunit à la demande du directeur de l’Unité pour donner son avis sur les grandes orientations du laboratoire. Ses membres sont également invités tous les ans au séminaire annuel du laboratoire. </w:t>
      </w:r>
      <w:r/>
    </w:p>
    <w:p>
      <w:pPr>
        <w:pStyle w:val="865"/>
        <w:numPr>
          <w:ilvl w:val="0"/>
          <w:numId w:val="0"/>
        </w:numPr>
      </w:pPr>
      <w:r>
        <w:rPr>
          <w:highlight w:val="none"/>
        </w:rPr>
      </w:r>
      <w:r>
        <w:rPr>
          <w:highlight w:val="none"/>
        </w:rPr>
      </w:r>
      <w:r/>
    </w:p>
    <w:p>
      <w:pPr>
        <w:pStyle w:val="791"/>
      </w:pPr>
      <w:r/>
      <w:bookmarkStart w:id="44" w:name="_Toc92377725"/>
      <w:r>
        <w:t xml:space="preserve">Commission scientifique</w:t>
      </w:r>
      <w:bookmarkEnd w:id="43"/>
      <w:r/>
      <w:bookmarkEnd w:id="44"/>
      <w:r/>
      <w:r/>
    </w:p>
    <w:p>
      <w:pPr>
        <w:rPr>
          <w:highlight w:val="none"/>
        </w:rPr>
      </w:pPr>
      <w:r>
        <w:t xml:space="preserve">Afin de garantir une diffusion large des activités du laboratoire, un</w:t>
      </w:r>
      <w:r>
        <w:t xml:space="preserve">e commission scientifique a été mise en place. Ouverte à tous, elle précède tous les premiers jeudis du mois le conseil du laboratoire. L’ensemble des nouveaux projets de recherche y sont présentés et amendés avant d’être classés et validés (ou non) par le</w:t>
      </w:r>
      <w:r>
        <w:t xml:space="preserve"> conseil du laboratoire. C’est au sein également de cette commission scientifique que sont présentés les profils de poste, les sujets de thèse, les demandes de moyens. Son ordre du jour suit un calendrier annuel calé sur le calendrier des appels à projet. </w:t>
      </w:r>
      <w:r/>
    </w:p>
    <w:p>
      <w:r>
        <w:rPr>
          <w:highlight w:val="none"/>
        </w:rPr>
      </w:r>
      <w:r>
        <w:rPr>
          <w:highlight w:val="none"/>
        </w:rPr>
      </w:r>
      <w:r/>
    </w:p>
    <w:p>
      <w:pPr>
        <w:pStyle w:val="791"/>
      </w:pPr>
      <w:r/>
      <w:bookmarkStart w:id="45" w:name="_Ref367790867"/>
      <w:r/>
      <w:bookmarkStart w:id="46" w:name="_Toc367812153"/>
      <w:r/>
      <w:bookmarkStart w:id="47" w:name="_Toc92377726"/>
      <w:r>
        <w:t xml:space="preserve">Chargés de mission</w:t>
      </w:r>
      <w:bookmarkEnd w:id="45"/>
      <w:r/>
      <w:bookmarkEnd w:id="46"/>
      <w:r/>
      <w:bookmarkEnd w:id="47"/>
      <w:r/>
      <w:r/>
    </w:p>
    <w:p>
      <w:r>
        <w:t xml:space="preserve">La direction du LOCIE délègue un certain nombre de responsabilités à des chargés de mission : moyens de communication, suivi des doctorants et relations avec l’école doctorale, ressources d</w:t>
      </w:r>
      <w:r>
        <w:t xml:space="preserve">ocumentaires, gestion de l’équipe technique, gestion des moyens informatiques, gestion des moyens expérimentaux, formation des personnels, organisation des séminaires, hygiène et sécurité, gestion et aménagement des locaux. Des lettres de missions ont été </w:t>
      </w:r>
      <w:r>
        <w:t xml:space="preserve">établies avec chaque responsable clarifiant les objectifs et les moyens mis à disposition. Un budget est attribué chaque année aux chargés de mission après discussion avec la direction. Des points sur l’avancement des projets sont faits avec la direction. </w:t>
      </w:r>
      <w:r/>
    </w:p>
    <w:p>
      <w:pPr>
        <w:pStyle w:val="789"/>
      </w:pPr>
      <w:r/>
      <w:bookmarkStart w:id="48" w:name="_Toc367812166"/>
      <w:r/>
      <w:bookmarkStart w:id="49" w:name="_Toc92377727"/>
      <w:r/>
      <w:bookmarkStart w:id="50" w:name="_Toc367812154"/>
      <w:r>
        <w:t xml:space="preserve">Droits, devoirs, procédures au sein du laboratoire</w:t>
      </w:r>
      <w:bookmarkEnd w:id="48"/>
      <w:r/>
      <w:bookmarkEnd w:id="49"/>
      <w:r/>
      <w:r/>
    </w:p>
    <w:p>
      <w:pPr>
        <w:pStyle w:val="790"/>
      </w:pPr>
      <w:r/>
      <w:bookmarkStart w:id="51" w:name="_Toc367812168"/>
      <w:r/>
      <w:bookmarkStart w:id="52" w:name="_Toc92377728"/>
      <w:r>
        <w:t xml:space="preserve">Reglement interieur</w:t>
      </w:r>
      <w:bookmarkEnd w:id="51"/>
      <w:r/>
      <w:bookmarkEnd w:id="52"/>
      <w:r/>
      <w:r/>
    </w:p>
    <w:p>
      <w:r>
        <w:t xml:space="preserve">Dès votre installation au sein du LOCIE, vous devez </w:t>
      </w:r>
      <w:r>
        <w:rPr>
          <w:rStyle w:val="817"/>
        </w:rPr>
        <w:t xml:space="preserve">prendre connaissance et signer le règlement intérieur </w:t>
      </w:r>
      <w:r>
        <w:t xml:space="preserve">en vigueur au sein d</w:t>
      </w:r>
      <w:r>
        <w:t xml:space="preserve">u</w:t>
      </w:r>
      <w:r>
        <w:t xml:space="preserve"> laboratoire. Ce document est à retirer au secrétar</w:t>
      </w:r>
      <w:r>
        <w:t xml:space="preserve">iat du LOCIE</w:t>
      </w:r>
      <w:r>
        <w:t xml:space="preserve">.</w:t>
      </w:r>
      <w:r/>
    </w:p>
    <w:p>
      <w:pPr>
        <w:pStyle w:val="790"/>
      </w:pPr>
      <w:r/>
      <w:bookmarkStart w:id="53" w:name="_Toc367812169"/>
      <w:r/>
      <w:bookmarkStart w:id="54" w:name="_Toc92377729"/>
      <w:r>
        <w:t xml:space="preserve">Consignes de securite</w:t>
      </w:r>
      <w:bookmarkEnd w:id="53"/>
      <w:r/>
      <w:bookmarkEnd w:id="54"/>
      <w:r/>
      <w:r/>
    </w:p>
    <w:p>
      <w:r>
        <w:t xml:space="preserve">Dès votre installation au sein du LOCIE, vous devez </w:t>
      </w:r>
      <w:r>
        <w:rPr>
          <w:rStyle w:val="817"/>
        </w:rPr>
        <w:t xml:space="preserve">prendre connaissance </w:t>
      </w:r>
      <w:r>
        <w:rPr>
          <w:rStyle w:val="817"/>
        </w:rPr>
        <w:t xml:space="preserve">des </w:t>
      </w:r>
      <w:r>
        <w:rPr>
          <w:rStyle w:val="817"/>
        </w:rPr>
        <w:t xml:space="preserve">différentes règles de sécurité</w:t>
      </w:r>
      <w:r>
        <w:t xml:space="preserve"> en vigueur au sein du laboratoire, règles consignées dans un registre consultable après du secrétar</w:t>
      </w:r>
      <w:r>
        <w:t xml:space="preserve">iat du LOCIE</w:t>
      </w:r>
      <w:r>
        <w:t xml:space="preserve"> ; une attestation est à signer après lecture (Annexe 1). </w:t>
      </w:r>
      <w:r>
        <w:t xml:space="preserve">Une formation vous sera également dispensée par un des</w:t>
      </w:r>
      <w:r>
        <w:t xml:space="preserve"> assistants de prévention</w:t>
      </w:r>
      <w:r>
        <w:t xml:space="preserve"> </w:t>
      </w:r>
      <w:r>
        <w:t xml:space="preserve">du laboratoire au cours du 1</w:t>
      </w:r>
      <w:r>
        <w:rPr>
          <w:vertAlign w:val="superscript"/>
        </w:rPr>
        <w:t xml:space="preserve">ier</w:t>
      </w:r>
      <w:r>
        <w:t xml:space="preserve"> mois de votre arrivée. Vous signerez alors un document certifiant que vous avez été formé aux consignes de sécurité.</w:t>
      </w:r>
      <w:r/>
    </w:p>
    <w:p>
      <w:r>
        <w:t xml:space="preserve">En cas d’accident sur le lieu de travail, sur le trajet ou en mission :</w:t>
      </w:r>
      <w:r/>
    </w:p>
    <w:p>
      <w:pPr>
        <w:pStyle w:val="865"/>
      </w:pPr>
      <w:r>
        <w:t xml:space="preserve">Vous devez </w:t>
      </w:r>
      <w:r>
        <w:rPr>
          <w:rStyle w:val="817"/>
        </w:rPr>
        <w:t xml:space="preserve">contacter, ou faire informer, au plus vite </w:t>
      </w:r>
      <w:r>
        <w:rPr>
          <w:rStyle w:val="817"/>
        </w:rPr>
        <w:t xml:space="preserve">la direction du laboratoire </w:t>
      </w:r>
      <w:r>
        <w:rPr>
          <w:rStyle w:val="817"/>
        </w:rPr>
        <w:t xml:space="preserve">et </w:t>
      </w:r>
      <w:r>
        <w:rPr>
          <w:rStyle w:val="817"/>
        </w:rPr>
        <w:t xml:space="preserve">la composante Polytech</w:t>
      </w:r>
      <w:r>
        <w:rPr>
          <w:rStyle w:val="817"/>
        </w:rPr>
        <w:t xml:space="preserve"> </w:t>
      </w:r>
      <w:r>
        <w:t xml:space="preserve">pour signaler votre </w:t>
      </w:r>
      <w:r>
        <w:t xml:space="preserve">accident</w:t>
      </w:r>
      <w:r>
        <w:t xml:space="preserve">. En cas d’absence de </w:t>
      </w:r>
      <w:r>
        <w:t xml:space="preserve">ces</w:t>
      </w:r>
      <w:r>
        <w:t xml:space="preserve"> responsable</w:t>
      </w:r>
      <w:r>
        <w:t xml:space="preserve">s</w:t>
      </w:r>
      <w:r>
        <w:t xml:space="preserve"> vous pouvez aussi vous adresser aux infirmières de l’Etablissement, au Service </w:t>
      </w:r>
      <w:r>
        <w:t xml:space="preserve">Prévention</w:t>
      </w:r>
      <w:r>
        <w:t xml:space="preserve">, aux Bureaux Logistiques de Site, au Bureau Environnement social au Travail ou au Service du Personnel.</w:t>
      </w:r>
      <w:r>
        <w:t xml:space="preserve"> Les </w:t>
      </w:r>
      <w:r>
        <w:t xml:space="preserve">assistants de prévention</w:t>
      </w:r>
      <w:r>
        <w:t xml:space="preserve"> du laboratoire </w:t>
      </w:r>
      <w:r>
        <w:t xml:space="preserve">établir</w:t>
      </w:r>
      <w:r>
        <w:t xml:space="preserve">ont</w:t>
      </w:r>
      <w:r>
        <w:t xml:space="preserve"> avec vous une déclaration d’accident et vous remettr</w:t>
      </w:r>
      <w:r>
        <w:t xml:space="preserve">ont</w:t>
      </w:r>
      <w:r>
        <w:t xml:space="preserve"> un</w:t>
      </w:r>
      <w:r>
        <w:t xml:space="preserve"> document en fonction de votre statut.</w:t>
      </w:r>
      <w:r/>
    </w:p>
    <w:p>
      <w:pPr>
        <w:pStyle w:val="865"/>
      </w:pPr>
      <w:r>
        <w:t xml:space="preserve">Vous devez obligatoirement </w:t>
      </w:r>
      <w:r>
        <w:rPr>
          <w:rStyle w:val="817"/>
        </w:rPr>
        <w:t xml:space="preserve">consulter un médecin dans les 48</w:t>
      </w:r>
      <w:r>
        <w:rPr>
          <w:rStyle w:val="817"/>
        </w:rPr>
        <w:t xml:space="preserve">h</w:t>
      </w:r>
      <w:r>
        <w:t xml:space="preserve"> en précisant qu’il s’agit </w:t>
      </w:r>
      <w:r>
        <w:t xml:space="preserve">d’un accident du travail. Celui-ci </w:t>
      </w:r>
      <w:r>
        <w:t xml:space="preserve">attester</w:t>
      </w:r>
      <w:r>
        <w:t xml:space="preserve">a</w:t>
      </w:r>
      <w:r>
        <w:t xml:space="preserve"> de votre</w:t>
      </w:r>
      <w:r>
        <w:t xml:space="preserve"> état de santé</w:t>
      </w:r>
      <w:r>
        <w:t xml:space="preserve">. A défaut, l’imputabilité de votre accident comme accident du travail ou de trajet pourrait être remise en cause.</w:t>
      </w:r>
      <w:r/>
    </w:p>
    <w:p>
      <w:r>
        <w:rPr>
          <w:rStyle w:val="817"/>
        </w:rPr>
        <w:t xml:space="preserve">Attention</w:t>
      </w:r>
      <w:r>
        <w:t xml:space="preserve">, certains accidents semblent sans gravité et ne vous empêcheront pas de travailler, cependant sur le moment il n’est pas évident de se douter des conséquences. C’est pourquoi il est important de contacter </w:t>
      </w:r>
      <w:r>
        <w:t xml:space="preserve">l’assistant de prévention</w:t>
      </w:r>
      <w:r>
        <w:t xml:space="preserve">. Il pourra ainsi consigner l’incident dans un cahier afin d’attester de l’heure et de sa nature (et mettre en place des mesures de prévention). Si complication il y a, les démarches seront facilitées puisque vous l’aurez signalé.</w:t>
      </w:r>
      <w:r/>
    </w:p>
    <w:p>
      <w:pPr>
        <w:pStyle w:val="790"/>
      </w:pPr>
      <w:r/>
      <w:bookmarkStart w:id="55" w:name="_Toc92377730"/>
      <w:r>
        <w:t xml:space="preserve">Supports Informatique</w:t>
      </w:r>
      <w:bookmarkEnd w:id="55"/>
      <w:r/>
      <w:r/>
    </w:p>
    <w:p>
      <w:r>
        <w:t xml:space="preserve">Le laboratoire dispose </w:t>
      </w:r>
      <w:r>
        <w:t xml:space="preserve">d’</w:t>
      </w:r>
      <w:r>
        <w:t xml:space="preserve">o</w:t>
      </w:r>
      <w:r>
        <w:t xml:space="preserve">rdinateurs portables </w:t>
      </w:r>
      <w:r>
        <w:t xml:space="preserve">destinés aux déplacements ou en cas de problème. Ils sont disponibles </w:t>
      </w:r>
      <w:r>
        <w:t xml:space="preserve">auprès de Simon Rouchier </w:t>
      </w:r>
      <w:r>
        <w:t xml:space="preserve">sur simple </w:t>
      </w:r>
      <w:r>
        <w:t xml:space="preserve">réservation</w:t>
      </w:r>
      <w:r>
        <w:t xml:space="preserve">. </w:t>
      </w:r>
      <w:r/>
    </w:p>
    <w:p>
      <w:pPr>
        <w:pStyle w:val="791"/>
      </w:pPr>
      <w:r/>
      <w:bookmarkStart w:id="56" w:name="_Toc367812170"/>
      <w:r/>
      <w:bookmarkStart w:id="57" w:name="_Toc92377731"/>
      <w:r>
        <w:t xml:space="preserve">Compte informatique</w:t>
      </w:r>
      <w:bookmarkEnd w:id="56"/>
      <w:r/>
      <w:bookmarkEnd w:id="57"/>
      <w:r/>
      <w:r/>
    </w:p>
    <w:p>
      <w:r>
        <w:t xml:space="preserve">Pour bénéficier d’un compte informatique, il faut en faire une demande auprès de la D</w:t>
      </w:r>
      <w:r>
        <w:t xml:space="preserve">N (Direction du Numérique)</w:t>
      </w:r>
      <w:r>
        <w:t xml:space="preserve">, via le gestionnaire du laboratoire</w:t>
      </w:r>
      <w:r>
        <w:t xml:space="preserve">. Vous devrez vous engager à respecter la charte informatique en vigueur dans l’établissement.</w:t>
      </w:r>
      <w:r/>
    </w:p>
    <w:p>
      <w:r>
        <w:t xml:space="preserve">Le mot de passe qui vous sera fourni est personnel. En aucun cas l’université ne vous le demandera.</w:t>
      </w:r>
      <w:r/>
    </w:p>
    <w:p>
      <w:pPr>
        <w:pStyle w:val="791"/>
      </w:pPr>
      <w:r/>
      <w:bookmarkStart w:id="58" w:name="_Toc92377732"/>
      <w:r>
        <w:t xml:space="preserve">Les Logiciels</w:t>
      </w:r>
      <w:bookmarkEnd w:id="58"/>
      <w:r/>
      <w:r/>
    </w:p>
    <w:p>
      <w:r>
        <w:t xml:space="preserve">I</w:t>
      </w:r>
      <w:r>
        <w:t xml:space="preserve">l est défendu d’installer des logiciels non libres sans disposer d’une licence valide. En plus des raisons évidentes de droits, l’utilisation de crack ouvre la porte à l’installation de logiciel</w:t>
      </w:r>
      <w:r>
        <w:t xml:space="preserve">s</w:t>
      </w:r>
      <w:r>
        <w:t xml:space="preserve"> pirate</w:t>
      </w:r>
      <w:r>
        <w:t xml:space="preserve">s</w:t>
      </w:r>
      <w:r>
        <w:t xml:space="preserve"> qui peuvent avoir plusieurs destinations : espionnage de vos travaux ou du réseau, utilisation de votre machine à d’autres fin (</w:t>
      </w:r>
      <w:r>
        <w:t xml:space="preserve">phishing</w:t>
      </w:r>
      <w:r>
        <w:t xml:space="preserve">, attaques ddos, …</w:t>
      </w:r>
      <w:r>
        <w:t xml:space="preserve">). D’autre part les licences courantes sont généralement déjà acquises en grand nombre et donc disponibles. En cas de besoin particulier l’achat d’une licence pourra être réalisé après discussion selon le coût et de l’utilisation qui pourra en être faite. </w:t>
      </w:r>
      <w:r/>
    </w:p>
    <w:p>
      <w:r>
        <w:t xml:space="preserve">Logiciels disponibles au laboratoire :</w:t>
      </w:r>
      <w:r/>
    </w:p>
    <w:tbl>
      <w:tblPr>
        <w:tblStyle w:val="861"/>
        <w:tblW w:w="0" w:type="auto"/>
        <w:tblLook w:val="04A0" w:firstRow="1" w:lastRow="0" w:firstColumn="1" w:lastColumn="0" w:noHBand="0" w:noVBand="1"/>
      </w:tblPr>
      <w:tblGrid>
        <w:gridCol w:w="1508"/>
        <w:gridCol w:w="1896"/>
        <w:gridCol w:w="1687"/>
        <w:gridCol w:w="2070"/>
        <w:gridCol w:w="2042"/>
      </w:tblGrid>
      <w:tr>
        <w:trPr/>
        <w:tc>
          <w:tcPr>
            <w:tcW w:w="1567" w:type="dxa"/>
            <w:textDirection w:val="lrTb"/>
            <w:noWrap w:val="false"/>
          </w:tcPr>
          <w:p>
            <w:r>
              <w:t xml:space="preserve">Nom</w:t>
            </w:r>
            <w:r/>
          </w:p>
        </w:tc>
        <w:tc>
          <w:tcPr>
            <w:tcW w:w="1983" w:type="dxa"/>
            <w:textDirection w:val="lrTb"/>
            <w:noWrap w:val="false"/>
          </w:tcPr>
          <w:p>
            <w:r>
              <w:t xml:space="preserve">Licence</w:t>
            </w:r>
            <w:r/>
          </w:p>
        </w:tc>
        <w:tc>
          <w:tcPr>
            <w:tcW w:w="1687" w:type="dxa"/>
            <w:textDirection w:val="lrTb"/>
            <w:noWrap w:val="false"/>
          </w:tcPr>
          <w:p>
            <w:r>
              <w:t xml:space="preserve">Responsable</w:t>
            </w:r>
            <w:r/>
          </w:p>
        </w:tc>
        <w:tc>
          <w:tcPr>
            <w:tcW w:w="2091" w:type="dxa"/>
            <w:textDirection w:val="lrTb"/>
            <w:noWrap w:val="false"/>
          </w:tcPr>
          <w:p>
            <w:r>
              <w:t xml:space="preserve">Description</w:t>
            </w:r>
            <w:r/>
          </w:p>
        </w:tc>
        <w:tc>
          <w:tcPr>
            <w:tcW w:w="2101" w:type="dxa"/>
            <w:textDirection w:val="lrTb"/>
            <w:noWrap w:val="false"/>
          </w:tcPr>
          <w:p>
            <w:r>
              <w:t xml:space="preserve">Alternative</w:t>
            </w:r>
            <w:r/>
          </w:p>
        </w:tc>
      </w:tr>
      <w:tr>
        <w:trPr/>
        <w:tc>
          <w:tcPr>
            <w:tcW w:w="1567" w:type="dxa"/>
            <w:textDirection w:val="lrTb"/>
            <w:noWrap w:val="false"/>
          </w:tcPr>
          <w:p>
            <w:r>
              <w:t xml:space="preserve">MatLab</w:t>
            </w:r>
            <w:r/>
          </w:p>
        </w:tc>
        <w:tc>
          <w:tcPr>
            <w:tcW w:w="1983" w:type="dxa"/>
            <w:textDirection w:val="lrTb"/>
            <w:noWrap w:val="false"/>
          </w:tcPr>
          <w:p>
            <w:r>
              <w:t xml:space="preserve">Serveur </w:t>
            </w:r>
            <w:r/>
          </w:p>
        </w:tc>
        <w:tc>
          <w:tcPr>
            <w:tcW w:w="1687" w:type="dxa"/>
            <w:textDirection w:val="lrTb"/>
            <w:noWrap w:val="false"/>
          </w:tcPr>
          <w:p>
            <w:r>
              <w:t xml:space="preserve">Cellule Numérique</w:t>
            </w:r>
            <w:r/>
          </w:p>
        </w:tc>
        <w:tc>
          <w:tcPr>
            <w:tcW w:w="2091" w:type="dxa"/>
            <w:textDirection w:val="lrTb"/>
            <w:noWrap w:val="false"/>
          </w:tcPr>
          <w:p>
            <w:r>
              <w:t xml:space="preserve">Calcul matriciel</w:t>
            </w:r>
            <w:r/>
          </w:p>
          <w:p>
            <w:r>
              <w:t xml:space="preserve">Traitement de donnée</w:t>
            </w:r>
            <w:r/>
          </w:p>
        </w:tc>
        <w:tc>
          <w:tcPr>
            <w:tcW w:w="2101" w:type="dxa"/>
            <w:textDirection w:val="lrTb"/>
            <w:noWrap w:val="false"/>
          </w:tcPr>
          <w:p>
            <w:r>
              <w:t xml:space="preserve">Scilab</w:t>
            </w:r>
            <w:r/>
          </w:p>
          <w:p>
            <w:r>
              <w:t xml:space="preserve">Octave</w:t>
            </w:r>
            <w:r/>
          </w:p>
          <w:p>
            <w:r>
              <w:t xml:space="preserve">Python</w:t>
            </w:r>
            <w:r/>
          </w:p>
        </w:tc>
      </w:tr>
      <w:tr>
        <w:trPr/>
        <w:tc>
          <w:tcPr>
            <w:tcW w:w="1567" w:type="dxa"/>
            <w:textDirection w:val="lrTb"/>
            <w:noWrap w:val="false"/>
          </w:tcPr>
          <w:p>
            <w:r>
              <w:t xml:space="preserve">OneNote</w:t>
            </w:r>
            <w:r/>
          </w:p>
        </w:tc>
        <w:tc>
          <w:tcPr>
            <w:tcW w:w="1983" w:type="dxa"/>
            <w:textDirection w:val="lrTb"/>
            <w:noWrap w:val="false"/>
          </w:tcPr>
          <w:p>
            <w:r>
              <w:t xml:space="preserve">Individuelle</w:t>
            </w:r>
            <w:r/>
          </w:p>
        </w:tc>
        <w:tc>
          <w:tcPr>
            <w:tcW w:w="1687" w:type="dxa"/>
            <w:textDirection w:val="lrTb"/>
            <w:noWrap w:val="false"/>
          </w:tcPr>
          <w:p>
            <w:r>
              <w:t xml:space="preserve">Cellule Numérique</w:t>
            </w:r>
            <w:r/>
          </w:p>
        </w:tc>
        <w:tc>
          <w:tcPr>
            <w:tcW w:w="2091" w:type="dxa"/>
            <w:textDirection w:val="lrTb"/>
            <w:noWrap w:val="false"/>
          </w:tcPr>
          <w:p>
            <w:r>
              <w:t xml:space="preserve">Gestion biliographique</w:t>
            </w:r>
            <w:r/>
          </w:p>
        </w:tc>
        <w:tc>
          <w:tcPr>
            <w:tcW w:w="2101" w:type="dxa"/>
            <w:textDirection w:val="lrTb"/>
            <w:noWrap w:val="false"/>
          </w:tcPr>
          <w:p>
            <w:r>
              <w:t xml:space="preserve">Mendeley</w:t>
            </w:r>
            <w:r/>
          </w:p>
          <w:p>
            <w:r>
              <w:t xml:space="preserve">Zotero</w:t>
            </w:r>
            <w:r/>
          </w:p>
        </w:tc>
      </w:tr>
      <w:tr>
        <w:trPr/>
        <w:tc>
          <w:tcPr>
            <w:tcW w:w="1567" w:type="dxa"/>
            <w:textDirection w:val="lrTb"/>
            <w:noWrap w:val="false"/>
          </w:tcPr>
          <w:p>
            <w:r>
              <w:t xml:space="preserve">Office</w:t>
            </w:r>
            <w:r/>
          </w:p>
        </w:tc>
        <w:tc>
          <w:tcPr>
            <w:tcW w:w="1983" w:type="dxa"/>
            <w:textDirection w:val="lrTb"/>
            <w:noWrap w:val="false"/>
          </w:tcPr>
          <w:p>
            <w:r>
              <w:t xml:space="preserve">Multiposte</w:t>
            </w:r>
            <w:r/>
          </w:p>
        </w:tc>
        <w:tc>
          <w:tcPr>
            <w:tcW w:w="1687" w:type="dxa"/>
            <w:textDirection w:val="lrTb"/>
            <w:noWrap w:val="false"/>
          </w:tcPr>
          <w:p>
            <w:r>
              <w:t xml:space="preserve">Responsable Informatique</w:t>
            </w:r>
            <w:r/>
          </w:p>
        </w:tc>
        <w:tc>
          <w:tcPr>
            <w:tcW w:w="2091" w:type="dxa"/>
            <w:textDirection w:val="lrTb"/>
            <w:noWrap w:val="false"/>
          </w:tcPr>
          <w:p>
            <w:r>
              <w:t xml:space="preserve">Suite bureautique</w:t>
            </w:r>
            <w:r/>
          </w:p>
        </w:tc>
        <w:tc>
          <w:tcPr>
            <w:tcW w:w="2101" w:type="dxa"/>
            <w:textDirection w:val="lrTb"/>
            <w:noWrap w:val="false"/>
          </w:tcPr>
          <w:p>
            <w:r>
              <w:t xml:space="preserve">LibreOffice</w:t>
            </w:r>
            <w:r/>
          </w:p>
          <w:p>
            <w:r>
              <w:t xml:space="preserve">(LaTeX)</w:t>
            </w:r>
            <w:r/>
          </w:p>
        </w:tc>
      </w:tr>
      <w:tr>
        <w:trPr/>
        <w:tc>
          <w:tcPr>
            <w:tcW w:w="1567" w:type="dxa"/>
            <w:textDirection w:val="lrTb"/>
            <w:noWrap w:val="false"/>
          </w:tcPr>
          <w:p>
            <w:r>
              <w:t xml:space="preserve">Symantec</w:t>
            </w:r>
            <w:r/>
          </w:p>
        </w:tc>
        <w:tc>
          <w:tcPr>
            <w:tcW w:w="1983" w:type="dxa"/>
            <w:textDirection w:val="lrTb"/>
            <w:noWrap w:val="false"/>
          </w:tcPr>
          <w:p>
            <w:r>
              <w:t xml:space="preserve">Préinstallée</w:t>
            </w:r>
            <w:r/>
          </w:p>
        </w:tc>
        <w:tc>
          <w:tcPr>
            <w:tcW w:w="1687" w:type="dxa"/>
            <w:textDirection w:val="lrTb"/>
            <w:noWrap w:val="false"/>
          </w:tcPr>
          <w:p>
            <w:r>
              <w:t xml:space="preserve">Cellule Numérique</w:t>
            </w:r>
            <w:r/>
          </w:p>
        </w:tc>
        <w:tc>
          <w:tcPr>
            <w:tcW w:w="2091" w:type="dxa"/>
            <w:textDirection w:val="lrTb"/>
            <w:noWrap w:val="false"/>
          </w:tcPr>
          <w:p>
            <w:r>
              <w:t xml:space="preserve">Antivirus</w:t>
            </w:r>
            <w:r/>
          </w:p>
        </w:tc>
        <w:tc>
          <w:tcPr>
            <w:tcW w:w="2101" w:type="dxa"/>
            <w:textDirection w:val="lrTb"/>
            <w:noWrap w:val="false"/>
          </w:tcPr>
          <w:p>
            <w:r>
              <w:t xml:space="preserve">Aucune : Gestion DSI</w:t>
            </w:r>
            <w:r/>
          </w:p>
        </w:tc>
      </w:tr>
      <w:tr>
        <w:trPr/>
        <w:tc>
          <w:tcPr>
            <w:tcW w:w="1567" w:type="dxa"/>
            <w:textDirection w:val="lrTb"/>
            <w:noWrap w:val="false"/>
          </w:tcPr>
          <w:p>
            <w:r>
              <w:t xml:space="preserve">Dymola</w:t>
            </w:r>
            <w:r/>
          </w:p>
        </w:tc>
        <w:tc>
          <w:tcPr>
            <w:tcW w:w="1983" w:type="dxa"/>
            <w:textDirection w:val="lrTb"/>
            <w:noWrap w:val="false"/>
          </w:tcPr>
          <w:p>
            <w:r>
              <w:t xml:space="preserve">Serveur (2 jetons) + Individuelle</w:t>
            </w:r>
            <w:r/>
          </w:p>
        </w:tc>
        <w:tc>
          <w:tcPr>
            <w:tcW w:w="1687" w:type="dxa"/>
            <w:textDirection w:val="lrTb"/>
            <w:noWrap w:val="false"/>
          </w:tcPr>
          <w:p>
            <w:r>
              <w:t xml:space="preserve">Cellule Numérique</w:t>
            </w:r>
            <w:r/>
          </w:p>
        </w:tc>
        <w:tc>
          <w:tcPr>
            <w:tcW w:w="2091" w:type="dxa"/>
            <w:textDirection w:val="lrTb"/>
            <w:noWrap w:val="false"/>
          </w:tcPr>
          <w:p>
            <w:r>
              <w:t xml:space="preserve">Modélisation de systèmes complexes</w:t>
            </w:r>
            <w:r/>
          </w:p>
        </w:tc>
        <w:tc>
          <w:tcPr>
            <w:tcW w:w="2101" w:type="dxa"/>
            <w:textDirection w:val="lrTb"/>
            <w:noWrap w:val="false"/>
          </w:tcPr>
          <w:p>
            <w:r>
              <w:t xml:space="preserve">OpenModelica, Modelicac</w:t>
            </w:r>
            <w:r/>
          </w:p>
        </w:tc>
      </w:tr>
      <w:tr>
        <w:trPr/>
        <w:tc>
          <w:tcPr>
            <w:tcW w:w="1567" w:type="dxa"/>
            <w:textDirection w:val="lrTb"/>
            <w:noWrap w:val="false"/>
          </w:tcPr>
          <w:p>
            <w:r>
              <w:t xml:space="preserve">Ansys V13 Fluent + CFX</w:t>
            </w:r>
            <w:r/>
          </w:p>
        </w:tc>
        <w:tc>
          <w:tcPr>
            <w:tcW w:w="1983" w:type="dxa"/>
            <w:textDirection w:val="lrTb"/>
            <w:noWrap w:val="false"/>
          </w:tcPr>
          <w:p>
            <w:r>
              <w:t xml:space="preserve">Individuelle</w:t>
            </w:r>
            <w:r/>
          </w:p>
        </w:tc>
        <w:tc>
          <w:tcPr>
            <w:tcW w:w="1687" w:type="dxa"/>
            <w:textDirection w:val="lrTb"/>
            <w:noWrap w:val="false"/>
          </w:tcPr>
          <w:p>
            <w:r>
              <w:t xml:space="preserve">Responsable Informatique</w:t>
            </w:r>
            <w:r/>
          </w:p>
        </w:tc>
        <w:tc>
          <w:tcPr>
            <w:tcW w:w="2091" w:type="dxa"/>
            <w:textDirection w:val="lrTb"/>
            <w:noWrap w:val="false"/>
          </w:tcPr>
          <w:p>
            <w:r>
              <w:t xml:space="preserve">CFD éléments finis (Fluent) et volumes finis (CFX)</w:t>
            </w:r>
            <w:r/>
          </w:p>
        </w:tc>
        <w:tc>
          <w:tcPr>
            <w:tcW w:w="2101" w:type="dxa"/>
            <w:textDirection w:val="lrTb"/>
            <w:noWrap w:val="false"/>
          </w:tcPr>
          <w:p>
            <w:r>
              <w:t xml:space="preserve">OpenFOAM, Gerris, Code Saturne, FEniCS</w:t>
            </w:r>
            <w:r/>
          </w:p>
        </w:tc>
      </w:tr>
      <w:tr>
        <w:trPr/>
        <w:tc>
          <w:tcPr>
            <w:tcW w:w="1567" w:type="dxa"/>
            <w:textDirection w:val="lrTb"/>
            <w:noWrap w:val="false"/>
          </w:tcPr>
          <w:p>
            <w:r>
              <w:t xml:space="preserve">Trnsys</w:t>
            </w:r>
            <w:r/>
          </w:p>
        </w:tc>
        <w:tc>
          <w:tcPr>
            <w:tcW w:w="1983" w:type="dxa"/>
            <w:textDirection w:val="lrTb"/>
            <w:noWrap w:val="false"/>
          </w:tcPr>
          <w:p>
            <w:r>
              <w:t xml:space="preserve">Individuelle</w:t>
            </w:r>
            <w:r/>
          </w:p>
        </w:tc>
        <w:tc>
          <w:tcPr>
            <w:tcW w:w="1687" w:type="dxa"/>
            <w:textDirection w:val="lrTb"/>
            <w:noWrap w:val="false"/>
          </w:tcPr>
          <w:p>
            <w:r>
              <w:t xml:space="preserve">G. Fraisse</w:t>
            </w:r>
            <w:r/>
          </w:p>
        </w:tc>
        <w:tc>
          <w:tcPr>
            <w:tcW w:w="2091" w:type="dxa"/>
            <w:textDirection w:val="lrTb"/>
            <w:noWrap w:val="false"/>
          </w:tcPr>
          <w:p>
            <w:r>
              <w:t xml:space="preserve">Modélisation de systèmes instationnaires</w:t>
            </w:r>
            <w:r/>
          </w:p>
        </w:tc>
        <w:tc>
          <w:tcPr>
            <w:tcW w:w="2101" w:type="dxa"/>
            <w:textDirection w:val="lrTb"/>
            <w:noWrap w:val="false"/>
          </w:tcPr>
          <w:p>
            <w:r/>
            <w:r/>
          </w:p>
        </w:tc>
      </w:tr>
      <w:tr>
        <w:trPr/>
        <w:tc>
          <w:tcPr>
            <w:tcW w:w="1567" w:type="dxa"/>
            <w:textDirection w:val="lrTb"/>
            <w:noWrap w:val="false"/>
          </w:tcPr>
          <w:p>
            <w:r>
              <w:t xml:space="preserve">Ees</w:t>
            </w:r>
            <w:r/>
          </w:p>
        </w:tc>
        <w:tc>
          <w:tcPr>
            <w:tcW w:w="1983" w:type="dxa"/>
            <w:textDirection w:val="lrTb"/>
            <w:noWrap w:val="false"/>
          </w:tcPr>
          <w:p>
            <w:r>
              <w:t xml:space="preserve">Individuelle</w:t>
            </w:r>
            <w:r/>
          </w:p>
        </w:tc>
        <w:tc>
          <w:tcPr>
            <w:tcW w:w="1687" w:type="dxa"/>
            <w:textDirection w:val="lrTb"/>
            <w:noWrap w:val="false"/>
          </w:tcPr>
          <w:p>
            <w:r>
              <w:t xml:space="preserve">G. Fraisse</w:t>
            </w:r>
            <w:r/>
          </w:p>
        </w:tc>
        <w:tc>
          <w:tcPr>
            <w:tcW w:w="2091" w:type="dxa"/>
            <w:textDirection w:val="lrTb"/>
            <w:noWrap w:val="false"/>
          </w:tcPr>
          <w:p>
            <w:r>
              <w:t xml:space="preserve">Solveur d’équation généraliste</w:t>
            </w:r>
            <w:r/>
          </w:p>
        </w:tc>
        <w:tc>
          <w:tcPr>
            <w:tcW w:w="2101" w:type="dxa"/>
            <w:textDirection w:val="lrTb"/>
            <w:noWrap w:val="false"/>
          </w:tcPr>
          <w:p>
            <w:r/>
            <w:r/>
          </w:p>
        </w:tc>
      </w:tr>
      <w:tr>
        <w:trPr/>
        <w:tc>
          <w:tcPr>
            <w:tcW w:w="1567" w:type="dxa"/>
            <w:textDirection w:val="lrTb"/>
            <w:noWrap w:val="false"/>
          </w:tcPr>
          <w:p>
            <w:r>
              <w:t xml:space="preserve">Comsol</w:t>
            </w:r>
            <w:r/>
          </w:p>
        </w:tc>
        <w:tc>
          <w:tcPr>
            <w:tcW w:w="1983" w:type="dxa"/>
            <w:textDirection w:val="lrTb"/>
            <w:noWrap w:val="false"/>
          </w:tcPr>
          <w:p>
            <w:r>
              <w:t xml:space="preserve">Multiposte</w:t>
            </w:r>
            <w:r/>
          </w:p>
          <w:p>
            <w:r>
              <w:t xml:space="preserve">(2 postes)</w:t>
            </w:r>
            <w:r/>
          </w:p>
        </w:tc>
        <w:tc>
          <w:tcPr>
            <w:tcW w:w="1687" w:type="dxa"/>
            <w:textDirection w:val="lrTb"/>
            <w:noWrap w:val="false"/>
          </w:tcPr>
          <w:p>
            <w:r>
              <w:t xml:space="preserve">Cellule Numérique</w:t>
            </w:r>
            <w:r/>
          </w:p>
        </w:tc>
        <w:tc>
          <w:tcPr>
            <w:tcW w:w="2091" w:type="dxa"/>
            <w:textDirection w:val="lrTb"/>
            <w:noWrap w:val="false"/>
          </w:tcPr>
          <w:p>
            <w:r>
              <w:t xml:space="preserve">Modélisation multiphysique (éléments finis)</w:t>
            </w:r>
            <w:r/>
          </w:p>
        </w:tc>
        <w:tc>
          <w:tcPr>
            <w:tcW w:w="2101" w:type="dxa"/>
            <w:textDirection w:val="lrTb"/>
            <w:noWrap w:val="false"/>
          </w:tcPr>
          <w:p>
            <w:r>
              <w:t xml:space="preserve">OpenFOAM, Gerris, Code Saturne, FEniCS</w:t>
            </w:r>
            <w:r/>
          </w:p>
        </w:tc>
      </w:tr>
      <w:tr>
        <w:trPr/>
        <w:tc>
          <w:tcPr>
            <w:tcW w:w="1567" w:type="dxa"/>
            <w:textDirection w:val="lrTb"/>
            <w:noWrap w:val="false"/>
          </w:tcPr>
          <w:p>
            <w:r>
              <w:t xml:space="preserve">Pleiades</w:t>
            </w:r>
            <w:r/>
          </w:p>
        </w:tc>
        <w:tc>
          <w:tcPr>
            <w:tcW w:w="1983" w:type="dxa"/>
            <w:textDirection w:val="lrTb"/>
            <w:noWrap w:val="false"/>
          </w:tcPr>
          <w:p>
            <w:r>
              <w:t xml:space="preserve">Individuelle</w:t>
            </w:r>
            <w:r/>
          </w:p>
        </w:tc>
        <w:tc>
          <w:tcPr>
            <w:tcW w:w="1687" w:type="dxa"/>
            <w:textDirection w:val="lrTb"/>
            <w:noWrap w:val="false"/>
          </w:tcPr>
          <w:p>
            <w:r>
              <w:t xml:space="preserve">B. Souyri</w:t>
            </w:r>
            <w:r/>
          </w:p>
        </w:tc>
        <w:tc>
          <w:tcPr>
            <w:tcW w:w="2091" w:type="dxa"/>
            <w:textDirection w:val="lrTb"/>
            <w:noWrap w:val="false"/>
          </w:tcPr>
          <w:p>
            <w:r>
              <w:t xml:space="preserve">Simulation de thermique dynamique</w:t>
            </w:r>
            <w:r/>
          </w:p>
        </w:tc>
        <w:tc>
          <w:tcPr>
            <w:tcW w:w="2101" w:type="dxa"/>
            <w:textDirection w:val="lrTb"/>
            <w:noWrap w:val="false"/>
          </w:tcPr>
          <w:p>
            <w:r>
              <w:t xml:space="preserve">EnergyPlus</w:t>
            </w:r>
            <w:r/>
          </w:p>
        </w:tc>
      </w:tr>
      <w:tr>
        <w:trPr/>
        <w:tc>
          <w:tcPr>
            <w:tcW w:w="1567" w:type="dxa"/>
            <w:textDirection w:val="lrTb"/>
            <w:noWrap w:val="false"/>
          </w:tcPr>
          <w:p>
            <w:r>
              <w:t xml:space="preserve">Code Aster</w:t>
            </w:r>
            <w:r/>
          </w:p>
        </w:tc>
        <w:tc>
          <w:tcPr>
            <w:tcW w:w="1983" w:type="dxa"/>
            <w:textDirection w:val="lrTb"/>
            <w:noWrap w:val="false"/>
          </w:tcPr>
          <w:p>
            <w:r>
              <w:t xml:space="preserve">GNU</w:t>
            </w:r>
            <w:r/>
          </w:p>
        </w:tc>
        <w:tc>
          <w:tcPr>
            <w:tcW w:w="1687" w:type="dxa"/>
            <w:textDirection w:val="lrTb"/>
            <w:noWrap w:val="false"/>
          </w:tcPr>
          <w:p>
            <w:r>
              <w:t xml:space="preserve">Cellule Numérique</w:t>
            </w:r>
            <w:r/>
          </w:p>
        </w:tc>
        <w:tc>
          <w:tcPr>
            <w:tcW w:w="2091" w:type="dxa"/>
            <w:textDirection w:val="lrTb"/>
            <w:noWrap w:val="false"/>
          </w:tcPr>
          <w:p>
            <w:r>
              <w:t xml:space="preserve">Modélisation numérique structure / thermomécanique (éléments finis)</w:t>
            </w:r>
            <w:r/>
          </w:p>
        </w:tc>
        <w:tc>
          <w:tcPr>
            <w:tcW w:w="2101" w:type="dxa"/>
            <w:textDirection w:val="lrTb"/>
            <w:noWrap w:val="false"/>
          </w:tcPr>
          <w:p>
            <w:r/>
            <w:r/>
          </w:p>
        </w:tc>
      </w:tr>
      <w:tr>
        <w:trPr/>
        <w:tc>
          <w:tcPr>
            <w:tcW w:w="1567" w:type="dxa"/>
            <w:textDirection w:val="lrTb"/>
            <w:noWrap w:val="false"/>
          </w:tcPr>
          <w:p>
            <w:r>
              <w:t xml:space="preserve">CAST3M</w:t>
            </w:r>
            <w:r/>
          </w:p>
        </w:tc>
        <w:tc>
          <w:tcPr>
            <w:tcW w:w="1983" w:type="dxa"/>
            <w:textDirection w:val="lrTb"/>
            <w:noWrap w:val="false"/>
          </w:tcPr>
          <w:p>
            <w:r>
              <w:t xml:space="preserve">Individuelle</w:t>
            </w:r>
            <w:r/>
          </w:p>
        </w:tc>
        <w:tc>
          <w:tcPr>
            <w:tcW w:w="1687" w:type="dxa"/>
            <w:textDirection w:val="lrTb"/>
            <w:noWrap w:val="false"/>
          </w:tcPr>
          <w:p>
            <w:r>
              <w:t xml:space="preserve">Cellule Numérique</w:t>
            </w:r>
            <w:r/>
          </w:p>
        </w:tc>
        <w:tc>
          <w:tcPr>
            <w:tcW w:w="2091" w:type="dxa"/>
            <w:textDirection w:val="lrTb"/>
            <w:noWrap w:val="false"/>
          </w:tcPr>
          <w:p>
            <w:r>
              <w:t xml:space="preserve">Modélisation numérique structure</w:t>
            </w:r>
            <w:r/>
          </w:p>
          <w:p>
            <w:r>
              <w:t xml:space="preserve">(éléments finis)</w:t>
            </w:r>
            <w:r/>
          </w:p>
        </w:tc>
        <w:tc>
          <w:tcPr>
            <w:tcW w:w="2101" w:type="dxa"/>
            <w:textDirection w:val="lrTb"/>
            <w:noWrap w:val="false"/>
          </w:tcPr>
          <w:p>
            <w:r>
              <w:t xml:space="preserve">OpenFOAM, Code Aster, FEniCS</w:t>
            </w:r>
            <w:r/>
          </w:p>
        </w:tc>
      </w:tr>
      <w:tr>
        <w:trPr/>
        <w:tc>
          <w:tcPr>
            <w:tcW w:w="1567" w:type="dxa"/>
            <w:textDirection w:val="lrTb"/>
            <w:noWrap w:val="false"/>
          </w:tcPr>
          <w:p>
            <w:r>
              <w:t xml:space="preserve">Salome</w:t>
            </w:r>
            <w:r/>
          </w:p>
        </w:tc>
        <w:tc>
          <w:tcPr>
            <w:tcW w:w="1983" w:type="dxa"/>
            <w:textDirection w:val="lrTb"/>
            <w:noWrap w:val="false"/>
          </w:tcPr>
          <w:p>
            <w:r>
              <w:t xml:space="preserve">GNU</w:t>
            </w:r>
            <w:r/>
          </w:p>
        </w:tc>
        <w:tc>
          <w:tcPr>
            <w:tcW w:w="1687" w:type="dxa"/>
            <w:textDirection w:val="lrTb"/>
            <w:noWrap w:val="false"/>
          </w:tcPr>
          <w:p>
            <w:r>
              <w:t xml:space="preserve">Cellule Numérique</w:t>
            </w:r>
            <w:r/>
          </w:p>
        </w:tc>
        <w:tc>
          <w:tcPr>
            <w:tcW w:w="2091" w:type="dxa"/>
            <w:textDirection w:val="lrTb"/>
            <w:noWrap w:val="false"/>
          </w:tcPr>
          <w:p>
            <w:r>
              <w:t xml:space="preserve">Maillage 2D/3D</w:t>
            </w:r>
            <w:r/>
          </w:p>
        </w:tc>
        <w:tc>
          <w:tcPr>
            <w:tcW w:w="2101" w:type="dxa"/>
            <w:textDirection w:val="lrTb"/>
            <w:noWrap w:val="false"/>
          </w:tcPr>
          <w:p>
            <w:r/>
            <w:r/>
          </w:p>
        </w:tc>
      </w:tr>
      <w:tr>
        <w:trPr/>
        <w:tc>
          <w:tcPr>
            <w:tcW w:w="1567" w:type="dxa"/>
            <w:textDirection w:val="lrTb"/>
            <w:noWrap w:val="false"/>
          </w:tcPr>
          <w:p>
            <w:r>
              <w:t xml:space="preserve">Matype</w:t>
            </w:r>
            <w:r/>
          </w:p>
        </w:tc>
        <w:tc>
          <w:tcPr>
            <w:tcW w:w="1983" w:type="dxa"/>
            <w:textDirection w:val="lrTb"/>
            <w:noWrap w:val="false"/>
          </w:tcPr>
          <w:p>
            <w:r>
              <w:t xml:space="preserve">Multiposte</w:t>
            </w:r>
            <w:r/>
          </w:p>
        </w:tc>
        <w:tc>
          <w:tcPr>
            <w:tcW w:w="1687" w:type="dxa"/>
            <w:textDirection w:val="lrTb"/>
            <w:noWrap w:val="false"/>
          </w:tcPr>
          <w:p>
            <w:r>
              <w:t xml:space="preserve">Cellule Numérique</w:t>
            </w:r>
            <w:r/>
          </w:p>
        </w:tc>
        <w:tc>
          <w:tcPr>
            <w:tcW w:w="2091" w:type="dxa"/>
            <w:textDirection w:val="lrTb"/>
            <w:noWrap w:val="false"/>
          </w:tcPr>
          <w:p>
            <w:r>
              <w:t xml:space="preserve">Insertion équations latex sous M. Office</w:t>
            </w:r>
            <w:r/>
          </w:p>
        </w:tc>
        <w:tc>
          <w:tcPr>
            <w:tcW w:w="2101" w:type="dxa"/>
            <w:textDirection w:val="lrTb"/>
            <w:noWrap w:val="false"/>
          </w:tcPr>
          <w:p>
            <w:r/>
            <w:r/>
          </w:p>
        </w:tc>
      </w:tr>
    </w:tbl>
    <w:p>
      <w:r/>
      <w:r/>
    </w:p>
    <w:p>
      <w:r>
        <w:t xml:space="preserve">Légende :</w:t>
      </w:r>
      <w:r/>
    </w:p>
    <w:p>
      <w:pPr>
        <w:pStyle w:val="838"/>
      </w:pPr>
      <w:r>
        <w:t xml:space="preserve">Individuelle : Licence délivrée pour 1 poste</w:t>
      </w:r>
      <w:r/>
    </w:p>
    <w:p>
      <w:pPr>
        <w:pStyle w:val="838"/>
      </w:pPr>
      <w:r>
        <w:t xml:space="preserve">Serveur (X jetons)</w:t>
      </w:r>
      <w:r>
        <w:t xml:space="preserve"> </w:t>
      </w:r>
      <w:r>
        <w:t xml:space="preserve">: Licence gérée par un serveur pour X utilisations simultanées</w:t>
      </w:r>
      <w:r/>
    </w:p>
    <w:p>
      <w:pPr>
        <w:pStyle w:val="838"/>
      </w:pPr>
      <w:r>
        <w:t xml:space="preserve">Multiposte : Licence achetée en gros (installation possible sans </w:t>
      </w:r>
      <w:r>
        <w:t xml:space="preserve">clef</w:t>
      </w:r>
      <w:r>
        <w:t xml:space="preserve">)</w:t>
      </w:r>
      <w:r/>
    </w:p>
    <w:p>
      <w:pPr>
        <w:pStyle w:val="838"/>
      </w:pPr>
      <w:r>
        <w:t xml:space="preserve">Globale : Licence délivrée pour tous les postes quel que soit leur nombre</w:t>
      </w:r>
      <w:r/>
    </w:p>
    <w:p>
      <w:pPr>
        <w:pStyle w:val="838"/>
      </w:pPr>
      <w:r>
        <w:t xml:space="preserve">GNU :</w:t>
      </w:r>
      <w:r>
        <w:t xml:space="preserve"> Licence publique générale</w:t>
      </w:r>
      <w:r/>
    </w:p>
    <w:p>
      <w:pPr>
        <w:pStyle w:val="838"/>
        <w:rPr>
          <w:sz w:val="16"/>
          <w:szCs w:val="16"/>
        </w:rPr>
      </w:pPr>
      <w:r>
        <w:rPr>
          <w:sz w:val="16"/>
          <w:szCs w:val="16"/>
        </w:rPr>
      </w:r>
      <w:r/>
    </w:p>
    <w:p>
      <w:r>
        <w:t xml:space="preserve">L’accès à certains de ces logiciels peut se faire à partir de l’intranet de l’USMB.</w:t>
      </w:r>
      <w:r/>
    </w:p>
    <w:p>
      <w:r>
        <w:t xml:space="preserve">Pour plus d’information vous devez vous adresser au responsable informatique (</w:t>
      </w:r>
      <w:r>
        <w:t xml:space="preserve">CF.</w:t>
      </w:r>
      <w:r>
        <w:t xml:space="preserve"> </w:t>
      </w:r>
      <w:r>
        <w:t xml:space="preserve">organigramme du LOCIE</w:t>
      </w:r>
      <w:r>
        <w:t xml:space="preserve">).</w:t>
      </w:r>
      <w:r/>
    </w:p>
    <w:p>
      <w:pPr>
        <w:pStyle w:val="791"/>
      </w:pPr>
      <w:r/>
      <w:bookmarkStart w:id="59" w:name="_Toc92377733"/>
      <w:r>
        <w:t xml:space="preserve">Les disques reseau</w:t>
      </w:r>
      <w:bookmarkEnd w:id="59"/>
      <w:r/>
      <w:r/>
    </w:p>
    <w:p>
      <w:r>
        <w:t xml:space="preserve">Le réseau internet dispose de plusieurs espaces de stockages.</w:t>
      </w:r>
      <w:r>
        <w:t xml:space="preserve"> Les adresses ci-dessous sont à copier dans l’explorateur de document et ne sont valable</w:t>
      </w:r>
      <w:r>
        <w:t xml:space="preserve">s</w:t>
      </w:r>
      <w:r>
        <w:t xml:space="preserve"> que si vous êtes connecté au réseau de l’université (sur le site ou en VPN)</w:t>
      </w:r>
      <w:r/>
    </w:p>
    <w:p>
      <w:r>
        <w:t xml:space="preserve">Vo</w:t>
      </w:r>
      <w:r>
        <w:t xml:space="preserve">s espaces de stockage personnel, disponible</w:t>
      </w:r>
      <w:r>
        <w:t xml:space="preserve">s</w:t>
      </w:r>
      <w:r>
        <w:t xml:space="preserve"> sur tous les pc de Polytech :</w:t>
      </w:r>
      <w:r/>
    </w:p>
    <w:p>
      <w:r>
        <w:t xml:space="preserve">Principal : </w:t>
      </w:r>
      <w:r>
        <w:rPr>
          <w:rStyle w:val="812"/>
        </w:rPr>
        <w:t xml:space="preserve">\\p</w:t>
      </w:r>
      <w:r>
        <w:rPr>
          <w:rStyle w:val="812"/>
        </w:rPr>
        <w:t xml:space="preserve">ers-</w:t>
      </w:r>
      <w:r>
        <w:rPr>
          <w:rStyle w:val="812"/>
        </w:rPr>
        <w:t xml:space="preserve">uds</w:t>
      </w:r>
      <w:r>
        <w:rPr>
          <w:rStyle w:val="812"/>
        </w:rPr>
        <w:t xml:space="preserve">.univ-smb.fr\[LOGIN]</w:t>
      </w:r>
      <w:r/>
    </w:p>
    <w:p>
      <w:pPr>
        <w:rPr>
          <w:lang w:val="en-US"/>
        </w:rPr>
      </w:pPr>
      <w:r>
        <w:rPr>
          <w:lang w:val="en-US"/>
        </w:rPr>
        <w:t xml:space="preserve">BACKUP :</w:t>
      </w:r>
      <w:r>
        <w:rPr>
          <w:lang w:val="en-US"/>
        </w:rPr>
        <w:t xml:space="preserve"> </w:t>
      </w:r>
      <w:r>
        <w:rPr>
          <w:rStyle w:val="812"/>
          <w:lang w:val="en-US"/>
        </w:rPr>
        <w:t xml:space="preserve">\\</w:t>
      </w:r>
      <w:r>
        <w:rPr>
          <w:rStyle w:val="812"/>
          <w:lang w:val="en-US"/>
        </w:rPr>
        <w:t xml:space="preserve">p</w:t>
      </w:r>
      <w:r>
        <w:rPr>
          <w:rStyle w:val="812"/>
          <w:lang w:val="en-US"/>
        </w:rPr>
        <w:t xml:space="preserve">ers-</w:t>
      </w:r>
      <w:r>
        <w:rPr>
          <w:rStyle w:val="812"/>
          <w:lang w:val="en-US"/>
        </w:rPr>
        <w:t xml:space="preserve">uds</w:t>
      </w:r>
      <w:r>
        <w:rPr>
          <w:rStyle w:val="812"/>
          <w:lang w:val="en-US"/>
        </w:rPr>
        <w:t xml:space="preserve">.univ-smb.fr\backup</w:t>
      </w:r>
      <w:r/>
    </w:p>
    <w:p>
      <w:r>
        <w:t xml:space="preserve">Espace commun du laboratoire :</w:t>
      </w:r>
      <w:r/>
    </w:p>
    <w:p>
      <w:pPr>
        <w:rPr>
          <w:color w:val="FF0000"/>
        </w:rPr>
      </w:pPr>
      <w:r>
        <w:rPr>
          <w:color w:val="FF0000"/>
        </w:rPr>
        <w:t xml:space="preserve">LOCIE : </w:t>
      </w:r>
      <w:r>
        <w:rPr>
          <w:rStyle w:val="812"/>
          <w:color w:val="FF0000"/>
        </w:rPr>
        <w:t xml:space="preserve">\\Pers-</w:t>
      </w:r>
      <w:r>
        <w:rPr>
          <w:rStyle w:val="812"/>
          <w:color w:val="FF0000"/>
        </w:rPr>
        <w:t xml:space="preserve">uds</w:t>
      </w:r>
      <w:r>
        <w:rPr>
          <w:rStyle w:val="812"/>
          <w:color w:val="FF0000"/>
        </w:rPr>
        <w:t xml:space="preserve">.univ-savoie.fr\locie</w:t>
      </w:r>
      <w:r>
        <w:rPr>
          <w:color w:val="FF0000"/>
        </w:rPr>
        <w:t xml:space="preserve"> (attention espace limité)</w:t>
      </w:r>
      <w:r>
        <w:rPr>
          <w:color w:val="FF0000"/>
        </w:rPr>
      </w:r>
      <w:r/>
    </w:p>
    <w:p>
      <w:r>
        <w:t xml:space="preserve">Pour transférer des fichiers (jusqu’à 1 Go) l’université dispose d’un service de dépôt de fichier : </w:t>
      </w:r>
      <w:r>
        <w:t xml:space="preserve">https://filesender.renater.fr/</w:t>
      </w:r>
      <w:r/>
    </w:p>
    <w:p>
      <w:pPr>
        <w:pStyle w:val="791"/>
      </w:pPr>
      <w:r/>
      <w:bookmarkStart w:id="60" w:name="_Toc92377734"/>
      <w:r>
        <w:t xml:space="preserve">Les sites de re</w:t>
      </w:r>
      <w:r>
        <w:t xml:space="preserve">S</w:t>
      </w:r>
      <w:r>
        <w:t xml:space="preserve">sources internes</w:t>
      </w:r>
      <w:bookmarkEnd w:id="60"/>
      <w:r/>
      <w:r/>
    </w:p>
    <w:p>
      <w:r>
        <w:t xml:space="preserve">En temps qu’étudiant de l’Université</w:t>
      </w:r>
      <w:r>
        <w:t xml:space="preserve"> et/ou Personnel de l’université</w:t>
      </w:r>
      <w:r>
        <w:t xml:space="preserve"> il est possible d’accéder à </w:t>
      </w:r>
      <w:r>
        <w:t xml:space="preserve">diverses</w:t>
      </w:r>
      <w:r>
        <w:t xml:space="preserve"> </w:t>
      </w:r>
      <w:r>
        <w:t xml:space="preserve">ressources </w:t>
      </w:r>
      <w:r>
        <w:t xml:space="preserve">internes :</w:t>
      </w:r>
      <w:r/>
    </w:p>
    <w:p>
      <w:pPr>
        <w:pStyle w:val="838"/>
      </w:pPr>
      <w:r>
        <w:t xml:space="preserve">Démarche qualité </w:t>
      </w:r>
      <w:r>
        <w:t xml:space="preserve">LOCIE </w:t>
      </w:r>
      <w:r>
        <w:t xml:space="preserve">:</w:t>
      </w:r>
      <w:r>
        <w:t xml:space="preserve"> </w:t>
      </w:r>
      <w:hyperlink r:id="rId25" w:tooltip="https://espaces-collaboratifs.grenet.fr/share/page/site/locie-qualit/dashboard" w:history="1">
        <w:r>
          <w:rPr>
            <w:rStyle w:val="812"/>
          </w:rPr>
          <w:t xml:space="preserve">https://espaces-collaboratifs.grenet.fr/share/page/site/locie-qualit/dashboard</w:t>
        </w:r>
      </w:hyperlink>
      <w:r/>
      <w:r/>
    </w:p>
    <w:p>
      <w:pPr>
        <w:pStyle w:val="838"/>
      </w:pPr>
      <w:r/>
      <w:r/>
    </w:p>
    <w:p>
      <w:pPr>
        <w:pStyle w:val="790"/>
      </w:pPr>
      <w:r/>
      <w:bookmarkStart w:id="61" w:name="_Toc92377735"/>
      <w:r>
        <w:t xml:space="preserve">Demande de CongEs</w:t>
      </w:r>
      <w:bookmarkEnd w:id="61"/>
      <w:r>
        <w:t xml:space="preserve">  DOCTORANTS</w:t>
      </w:r>
      <w:r/>
    </w:p>
    <w:p>
      <w:r>
        <w:t xml:space="preserve">Le nombre de jours de congés et les modalités pour les prendre dépendent de l’employeur</w:t>
      </w:r>
      <w:r>
        <w:t xml:space="preserve">  :</w:t>
      </w:r>
      <w:r/>
    </w:p>
    <w:p>
      <w:r>
        <w:t xml:space="preserve">Les doctorants sous contrat avec l’Université et le CNRS ont droit à 45 jours de congés annuels</w:t>
      </w:r>
      <w:r>
        <w:t xml:space="preserve">. </w:t>
      </w:r>
      <w:r>
        <w:t xml:space="preserve">Vous trouverez les détails dans le règlement intérieur du laboratoire</w:t>
      </w:r>
      <w:r>
        <w:t xml:space="preserve">. Les périodes de fermeture de l’Université (fermeture hivernale - fermeture estivale) correspondent à </w:t>
      </w:r>
      <w:r>
        <w:t xml:space="preserve">des périodes de congés imposés.</w:t>
      </w:r>
      <w:r/>
    </w:p>
    <w:p>
      <w:r>
        <w:t xml:space="preserve">Les doctorants sous contrat CIFRE doivent se renseigner auprès de l’entreprise.</w:t>
      </w:r>
      <w:r/>
    </w:p>
    <w:p>
      <w:r>
        <w:t xml:space="preserve">Toute prise de congé doit faire l’objet d’une demande qui doit être validée par le directeur de thèse et la direction du laboratoire</w:t>
      </w:r>
      <w:r>
        <w:t xml:space="preserve">, a</w:t>
      </w:r>
      <w:r>
        <w:t xml:space="preserve">u moins une semaine avant le départ en vacance</w:t>
      </w:r>
      <w:r>
        <w:t xml:space="preserve">s</w:t>
      </w:r>
      <w:r>
        <w:t xml:space="preserve">. </w:t>
      </w:r>
      <w:r>
        <w:t xml:space="preserve">Pour les doctorants sous contrat avec l’USMB ou le CNRS, la demande de congés se fait en ligne (Virtualia</w:t>
      </w:r>
      <w:r>
        <w:t xml:space="preserve">, depuis l’intranet de l’USMB suivre le lien Guichet RH via VPN</w:t>
      </w:r>
      <w:r>
        <w:t xml:space="preserve"> ; Agate, depuis l’intranet du CNRS</w:t>
      </w:r>
      <w:r>
        <w:t xml:space="preserve">). Pour les autres doctorants, un formulaire papier à compléter est disponible au secrétariat</w:t>
      </w:r>
      <w:r>
        <w:t xml:space="preserve">.</w:t>
      </w:r>
      <w:r/>
    </w:p>
    <w:p>
      <w:pPr>
        <w:pStyle w:val="790"/>
      </w:pPr>
      <w:r/>
      <w:bookmarkStart w:id="62" w:name="_Toc92377736"/>
      <w:r>
        <w:t xml:space="preserve">Demande de clé</w:t>
      </w:r>
      <w:r>
        <w:t xml:space="preserve">s, badges et cartes d'accès</w:t>
      </w:r>
      <w:bookmarkEnd w:id="62"/>
      <w:r/>
      <w:r/>
    </w:p>
    <w:p>
      <w:r>
        <w:t xml:space="preserve">Pensez à remplir au plus tôt le "formulaire </w:t>
      </w:r>
      <w:r>
        <w:t xml:space="preserve">Arrivée/Départ</w:t>
      </w:r>
      <w:r>
        <w:t xml:space="preserve">" de façon à obtenir au plus vite les clés des locaux et</w:t>
      </w:r>
      <w:r>
        <w:t xml:space="preserve"> éventuellement </w:t>
      </w:r>
      <w:r>
        <w:t xml:space="preserve">le badge d'accès aux différents bâtiments. Ce formulaire est à </w:t>
      </w:r>
      <w:r>
        <w:t xml:space="preserve">demander </w:t>
      </w:r>
      <w:r>
        <w:t xml:space="preserve">au </w:t>
      </w:r>
      <w:r>
        <w:t xml:space="preserve">secrétariat du LOCIE</w:t>
      </w:r>
      <w:r>
        <w:t xml:space="preserve">.  </w:t>
      </w:r>
      <w:r>
        <w:t xml:space="preserve">(Annexe 1)</w:t>
      </w:r>
      <w:r/>
    </w:p>
    <w:p>
      <w:pPr>
        <w:rPr>
          <w:highlight w:val="none"/>
        </w:rPr>
      </w:pPr>
      <w:r>
        <w:t xml:space="preserve">Les accès sur le site de l’INES sont gérés par le CEA. Pour accéder aux espaces ERR il vous sera demandé de justifier de votre activité et de remplir un formu</w:t>
      </w:r>
      <w:r>
        <w:t xml:space="preserve">laire particulier suivant votre contrat. L’accès ne vous sera accordé qu’après une enquête de sécurité (2 mois). Vous pourrez tout de même faire une demande de visite dans la limite de 5 jours non consécutifs par an (limite pour les doctorants/étudiants).</w:t>
      </w:r>
      <w:r/>
    </w:p>
    <w:p>
      <w:pPr>
        <w:rPr>
          <w:highlight w:val="none"/>
        </w:rPr>
      </w:pPr>
      <w:r>
        <w:rPr>
          <w:highlight w:val="none"/>
        </w:rPr>
      </w:r>
      <w:r>
        <w:rPr>
          <w:highlight w:val="none"/>
        </w:rPr>
      </w:r>
      <w:r/>
    </w:p>
    <w:p>
      <w:pPr>
        <w:pStyle w:val="790"/>
      </w:pPr>
      <w:r/>
      <w:bookmarkStart w:id="63" w:name="_Toc92377737"/>
      <w:r>
        <w:t xml:space="preserve">Contrôle d'accès aux bâtiments</w:t>
      </w:r>
      <w:bookmarkEnd w:id="63"/>
      <w:r/>
      <w:r/>
    </w:p>
    <w:p>
      <w:pPr>
        <w:spacing w:lineRule="auto" w:line="240" w:after="0"/>
        <w:rPr>
          <w:color w:val="000000"/>
        </w:rPr>
      </w:pPr>
      <w:r>
        <w:rPr>
          <w:color w:val="000000" w:themeColor="text1"/>
        </w:rPr>
        <w:t xml:space="preserve">Le bâtiment Helios est ouvert de 7h</w:t>
      </w:r>
      <w:r>
        <w:rPr>
          <w:color w:val="000000" w:themeColor="text1"/>
        </w:rPr>
        <w:t xml:space="preserve">0</w:t>
      </w:r>
      <w:r>
        <w:rPr>
          <w:color w:val="000000" w:themeColor="text1"/>
        </w:rPr>
        <w:t xml:space="preserve">0</w:t>
      </w:r>
      <w:r>
        <w:rPr>
          <w:color w:val="000000" w:themeColor="text1"/>
        </w:rPr>
        <w:t xml:space="preserve"> à </w:t>
      </w:r>
      <w:r>
        <w:rPr>
          <w:color w:val="000000" w:themeColor="text1"/>
        </w:rPr>
        <w:t xml:space="preserve">20h00</w:t>
      </w:r>
      <w:r>
        <w:rPr>
          <w:color w:val="000000" w:themeColor="text1"/>
        </w:rPr>
        <w:t xml:space="preserve">,</w:t>
      </w:r>
      <w:r>
        <w:rPr>
          <w:color w:val="000000" w:themeColor="text1"/>
        </w:rPr>
        <w:t xml:space="preserve"> </w:t>
      </w:r>
      <w:r>
        <w:rPr>
          <w:color w:val="000000" w:themeColor="text1"/>
        </w:rPr>
        <w:t xml:space="preserve">puis passe ensuite sous alarme.</w:t>
      </w:r>
      <w:r/>
    </w:p>
    <w:p>
      <w:pPr>
        <w:rPr>
          <w:color w:val="000000"/>
        </w:rPr>
      </w:pPr>
      <w:r>
        <w:rPr>
          <w:color w:val="000000"/>
        </w:rPr>
      </w:r>
      <w:r/>
    </w:p>
    <w:p>
      <w:pPr>
        <w:rPr>
          <w:color w:val="000000"/>
          <w:highlight w:val="none"/>
        </w:rPr>
      </w:pPr>
      <w:r>
        <w:rPr>
          <w:color w:val="000000" w:themeColor="text1"/>
        </w:rPr>
        <w:t xml:space="preserve">L’accès n’est pas possible pendant les week-ends ou en dehors des heures ouvrables</w:t>
      </w:r>
      <w:r>
        <w:rPr>
          <w:color w:val="000000" w:themeColor="text1"/>
        </w:rPr>
        <w:t xml:space="preserve">.</w:t>
      </w:r>
      <w:r/>
    </w:p>
    <w:p>
      <w:pPr>
        <w:rPr>
          <w:color w:val="000000"/>
        </w:rPr>
      </w:pPr>
      <w:r>
        <w:rPr>
          <w:color w:val="000000" w:themeColor="text1"/>
          <w:highlight w:val="none"/>
        </w:rPr>
      </w:r>
      <w:r>
        <w:rPr>
          <w:color w:val="000000" w:themeColor="text1"/>
          <w:highlight w:val="none"/>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rPr>
          <w:color w:val="000000"/>
        </w:rPr>
      </w:pPr>
      <w:r>
        <w:rPr>
          <w:color w:val="000000"/>
        </w:rPr>
      </w:r>
      <w:r>
        <w:rPr>
          <w:color w:val="000000"/>
        </w:rPr>
      </w:r>
      <w:r/>
    </w:p>
    <w:p>
      <w:pPr>
        <w:pStyle w:val="790"/>
      </w:pPr>
      <w:r/>
      <w:bookmarkStart w:id="64" w:name="_Toc367812178"/>
      <w:r/>
      <w:bookmarkStart w:id="65" w:name="_Toc92377738"/>
      <w:r>
        <w:t xml:space="preserve">Ordre de mission</w:t>
      </w:r>
      <w:bookmarkEnd w:id="64"/>
      <w:r/>
      <w:bookmarkEnd w:id="65"/>
      <w:r>
        <w:t xml:space="preserve"> *</w:t>
      </w:r>
      <w:r/>
    </w:p>
    <w:p>
      <w:r>
        <w:t xml:space="preserve">Lorsque vous partez e</w:t>
      </w:r>
      <w:r>
        <w:t xml:space="preserve">n mission, vous devez </w:t>
      </w:r>
      <w:r>
        <w:t xml:space="preserve">impérativement être muni d’un </w:t>
      </w:r>
      <w:r>
        <w:t xml:space="preserve">ordre de mission</w:t>
      </w:r>
      <w:r>
        <w:t xml:space="preserve">. Pour l’obtenir, il faut préalablement remplir un pré-ordre de mission</w:t>
      </w:r>
      <w:r>
        <w:t xml:space="preserve"> sur Kaméléon</w:t>
      </w:r>
      <w:r>
        <w:t xml:space="preserve">, vous indiquez toutes les informations importantes relatives à la mission (lieu, dates, motif, projet sur lequel sera imputé la mission…). Cette demande</w:t>
      </w:r>
      <w:r>
        <w:t xml:space="preserve"> sera ensuite</w:t>
      </w:r>
      <w:r>
        <w:t xml:space="preserve"> validée par la direction du laboratoire. L’ordre de mission est alors édité et transmis à la signature de la composante s’il s’agit d’une mission Université à l’étranger ou du directeur du laboratoire si c’est une mission CNRS.</w:t>
      </w:r>
      <w:r/>
    </w:p>
    <w:p>
      <w:r>
        <w:t xml:space="preserve">Le pré-ordre de mission</w:t>
      </w:r>
      <w:r>
        <w:t xml:space="preserve"> sur Kaméléon</w:t>
      </w:r>
      <w:r>
        <w:t xml:space="preserve"> doit être dûment rempli </w:t>
      </w:r>
      <w:r>
        <w:t xml:space="preserve">et transmis</w:t>
      </w:r>
      <w:r>
        <w:t xml:space="preserve"> 1 semaine minimum avant le départ en mission en France. </w:t>
      </w:r>
      <w:r/>
    </w:p>
    <w:p>
      <w:pPr>
        <w:rPr>
          <w:highlight w:val="none"/>
        </w:rPr>
      </w:pPr>
      <w:r>
        <w:t xml:space="preserve">Pour les missions à l’étranger, il faut compléter l’ordre de mission par une Demande </w:t>
      </w:r>
      <w:r>
        <w:t xml:space="preserve">d’Autorisation d’Absence à l’Etranger</w:t>
      </w:r>
      <w:r>
        <w:t xml:space="preserve"> (DAAE) et une inscription sur Ariane. Les documents administratifs doivent être transmis au secrétariat au moins </w:t>
      </w:r>
      <w:r>
        <w:t xml:space="preserve">3 semaines</w:t>
      </w:r>
      <w:r>
        <w:t xml:space="preserve"> avant le départ en mission.</w:t>
      </w:r>
      <w:r>
        <w:rPr>
          <w:highlight w:val="none"/>
        </w:rPr>
      </w:r>
      <w:r/>
    </w:p>
    <w:p>
      <w:pPr>
        <w:rPr>
          <w:highlight w:val="none"/>
        </w:rPr>
      </w:pPr>
      <w:r>
        <w:rPr>
          <w:highlight w:val="none"/>
        </w:rPr>
      </w:r>
      <w:r>
        <w:rPr>
          <w:highlight w:val="none"/>
        </w:rPr>
      </w:r>
      <w:r/>
    </w:p>
    <w:p>
      <w:pPr>
        <w:rPr>
          <w:highlight w:val="none"/>
        </w:rPr>
      </w:pPr>
      <w:r>
        <w:rPr>
          <w:highlight w:val="none"/>
        </w:rPr>
      </w:r>
      <w:r>
        <w:rPr>
          <w:highlight w:val="none"/>
        </w:rPr>
      </w:r>
      <w:r/>
    </w:p>
    <w:p>
      <w:pPr>
        <w:pStyle w:val="790"/>
      </w:pPr>
      <w:r>
        <w:t xml:space="preserve">RETOUR DE MISSION </w:t>
      </w:r>
      <w:r>
        <w:rPr>
          <w:highlight w:val="none"/>
        </w:rPr>
        <w:t xml:space="preserve">*</w:t>
      </w:r>
      <w:r/>
    </w:p>
    <w:p>
      <w:pPr>
        <w:numPr>
          <w:ilvl w:val="0"/>
          <w:numId w:val="36"/>
        </w:numPr>
        <w:spacing w:lineRule="atLeast" w:line="235" w:after="0" w:before="0"/>
        <w:rPr>
          <w:rFonts w:ascii="Cambria" w:hAnsi="Cambria" w:cs="Cambria" w:eastAsia="Cambria"/>
          <w:color w:val="000000"/>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Dès le retour, télécharger le pré-décompte de frais sur Kaméléon pour l’USMB au niveau de la création de la pré-mission, le renseigner, le signer et l’imprimer</w:t>
      </w:r>
      <w:r/>
    </w:p>
    <w:p>
      <w:pPr>
        <w:numPr>
          <w:ilvl w:val="0"/>
          <w:numId w:val="36"/>
        </w:numPr>
        <w:spacing w:lineRule="atLeast" w:line="235"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Le déposer au secrétariat (au gestionnaire pour CNRS)  avec l’ensemble des justificatifs originaux</w:t>
      </w:r>
      <w:r>
        <w:rPr>
          <w:rFonts w:ascii="Cambria" w:hAnsi="Cambria" w:cs="Cambria" w:eastAsia="Cambria"/>
        </w:rPr>
      </w:r>
      <w:r/>
    </w:p>
    <w:p>
      <w:pPr>
        <w:numPr>
          <w:ilvl w:val="0"/>
          <w:numId w:val="36"/>
        </w:numPr>
        <w:spacing w:lineRule="atLeast" w:line="235" w:after="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L’état de frais complet est vérifié par le secrétariat (gestionnaire pour CNRS), validé par la Direction du Laboratoire et transmis au CSP (ou à la Délégation CNRS)</w:t>
      </w:r>
      <w:r>
        <w:rPr>
          <w:rFonts w:ascii="Cambria" w:hAnsi="Cambria" w:cs="Cambria" w:eastAsia="Cambria"/>
        </w:rPr>
      </w:r>
      <w:r/>
    </w:p>
    <w:p>
      <w:pPr>
        <w:numPr>
          <w:ilvl w:val="0"/>
          <w:numId w:val="36"/>
        </w:numPr>
        <w:spacing w:lineRule="atLeast" w:line="235" w:after="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Le CSP saisit l’état de frais en vue du remboursement</w:t>
      </w:r>
      <w:r>
        <w:rPr>
          <w:rFonts w:ascii="Cambria" w:hAnsi="Cambria" w:cs="Cambria" w:eastAsia="Cambria"/>
        </w:rPr>
      </w:r>
      <w:r/>
    </w:p>
    <w:p>
      <w:pPr>
        <w:numPr>
          <w:ilvl w:val="0"/>
          <w:numId w:val="36"/>
        </w:numPr>
        <w:spacing w:lineRule="atLeast" w:line="235" w:after="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Le CSP envoie l’état liquidatif de frais (EL) au secrétariat pour information du montant et archive</w:t>
      </w:r>
      <w:r>
        <w:rPr>
          <w:rFonts w:ascii="Cambria" w:hAnsi="Cambria" w:cs="Cambria" w:eastAsia="Cambria"/>
        </w:rPr>
      </w:r>
      <w:r/>
    </w:p>
    <w:p>
      <w:pPr>
        <w:numPr>
          <w:ilvl w:val="0"/>
          <w:numId w:val="36"/>
        </w:numPr>
        <w:spacing w:lineRule="atLeast" w:line="235" w:after="16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Le paiement de la mission au missionnaire interviendra dans les quelques semaines suivantes.</w:t>
      </w:r>
      <w:r/>
    </w:p>
    <w:p>
      <w:pPr>
        <w:spacing w:lineRule="atLeast" w:line="235" w:after="16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highlight w:val="none"/>
        </w:rPr>
      </w:r>
      <w:r>
        <w:rPr>
          <w:rFonts w:ascii="Cambria" w:hAnsi="Cambria" w:cs="Cambria" w:eastAsia="Cambria"/>
          <w:color w:val="000000"/>
          <w:sz w:val="22"/>
          <w:highlight w:val="none"/>
        </w:rPr>
      </w:r>
      <w:r/>
    </w:p>
    <w:p>
      <w:pPr>
        <w:ind w:left="720" w:firstLine="0"/>
        <w:spacing w:lineRule="atLeast" w:line="235" w:after="16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highlight w:val="none"/>
        </w:rPr>
      </w:r>
      <w:r>
        <w:rPr>
          <w:rFonts w:ascii="Cambria" w:hAnsi="Cambria" w:cs="Cambria" w:eastAsia="Cambria"/>
          <w:color w:val="000000"/>
          <w:sz w:val="22"/>
          <w:highlight w:val="none"/>
        </w:rPr>
      </w:r>
      <w:r/>
    </w:p>
    <w:p>
      <w:pPr>
        <w:ind w:left="720" w:firstLine="0"/>
        <w:spacing w:lineRule="atLeast" w:line="235" w:after="16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sz w:val="22"/>
        </w:rPr>
      </w:r>
      <w:r>
        <w:rPr>
          <w:rFonts w:ascii="Cambria" w:hAnsi="Cambria" w:cs="Cambria" w:eastAsia="Cambria"/>
          <w:sz w:val="22"/>
        </w:rPr>
      </w:r>
      <w:r/>
    </w:p>
    <w:p>
      <w:pPr>
        <w:pStyle w:val="790"/>
      </w:pPr>
      <w:r/>
      <w:bookmarkStart w:id="66" w:name="_Toc92377739"/>
      <w:r>
        <w:t xml:space="preserve">Bons de commande</w:t>
      </w:r>
      <w:bookmarkEnd w:id="66"/>
      <w:r>
        <w:t xml:space="preserve"> *</w:t>
      </w:r>
      <w:r/>
    </w:p>
    <w:p>
      <w:r>
        <w:t xml:space="preserve">Les commandes de matériel par des organismes publics dont l’Université et le CNRS se font </w:t>
      </w:r>
      <w:r>
        <w:t xml:space="preserve">par l’intermédiaire de bons de commande transmis aux fournisseurs par le secrétariat</w:t>
      </w:r>
      <w:r>
        <w:t xml:space="preserve">.</w:t>
      </w:r>
      <w:r/>
    </w:p>
    <w:p>
      <w:pPr>
        <w:rPr>
          <w:highlight w:val="none"/>
        </w:rPr>
      </w:pPr>
      <w:r>
        <w:t xml:space="preserve">V</w:t>
      </w:r>
      <w:r>
        <w:t xml:space="preserve">ous devrez</w:t>
      </w:r>
      <w:r>
        <w:t xml:space="preserve"> </w:t>
      </w:r>
      <w:r>
        <w:t xml:space="preserve">au préalable remplir un pré-bon de commande sur Kaméléon</w:t>
      </w:r>
      <w:r>
        <w:t xml:space="preserve"> </w:t>
      </w:r>
      <w:r>
        <w:t xml:space="preserve">(pour l’USMB) dûment </w:t>
      </w:r>
      <w:r>
        <w:t xml:space="preserve">complét</w:t>
      </w:r>
      <w:r>
        <w:t xml:space="preserve">é</w:t>
      </w:r>
      <w:r>
        <w:t xml:space="preserve"> </w:t>
      </w:r>
      <w:r>
        <w:t xml:space="preserve">afin qu’il soit validé</w:t>
      </w:r>
      <w:r>
        <w:t xml:space="preserve"> par le responsable du projet et accompagné d</w:t>
      </w:r>
      <w:r>
        <w:t xml:space="preserve">u</w:t>
      </w:r>
      <w:r>
        <w:t xml:space="preserve"> devis correspondant.</w:t>
      </w:r>
      <w:r>
        <w:t xml:space="preserve"> </w:t>
      </w:r>
      <w:r>
        <w:t xml:space="preserve">(Cas particulier, exemple </w:t>
      </w:r>
      <w:r>
        <w:t xml:space="preserve">de financement : </w:t>
      </w:r>
      <w:r>
        <w:t xml:space="preserve">Interreg et CNRS</w:t>
      </w:r>
      <w:r>
        <w:t xml:space="preserve">,</w:t>
      </w:r>
      <w:r>
        <w:t xml:space="preserve"> se renseigner auprès du gestionnaire).</w:t>
      </w:r>
      <w:r/>
    </w:p>
    <w:p>
      <w:r>
        <w:rPr>
          <w:highlight w:val="none"/>
        </w:rPr>
      </w:r>
      <w:r>
        <w:rPr>
          <w:highlight w:val="none"/>
        </w:rPr>
      </w:r>
      <w:r/>
    </w:p>
    <w:p>
      <w:r/>
      <w:r/>
    </w:p>
    <w:p>
      <w:r/>
      <w:r/>
    </w:p>
    <w:p>
      <w:r/>
      <w:r/>
    </w:p>
    <w:p>
      <w:pPr>
        <w:rPr>
          <w:highlight w:val="none"/>
        </w:rPr>
      </w:pPr>
      <w:r>
        <w:t xml:space="preserve">___________________________________________________________________________________</w:t>
      </w:r>
      <w:r/>
    </w:p>
    <w:p>
      <w:pPr>
        <w:ind w:left="0" w:firstLine="0"/>
      </w:pPr>
      <w:r>
        <w:rPr>
          <w:highlight w:val="none"/>
        </w:rPr>
        <w:t xml:space="preserve">*Voir Annexe 3 « Achats / Missions »</w:t>
      </w:r>
      <w:r/>
    </w:p>
    <w:p>
      <w:pPr>
        <w:pStyle w:val="789"/>
      </w:pPr>
      <w:r/>
      <w:bookmarkStart w:id="67" w:name="_Toc92377740"/>
      <w:r>
        <w:t xml:space="preserve">Déroulement d’une thèse</w:t>
      </w:r>
      <w:bookmarkEnd w:id="50"/>
      <w:r/>
      <w:bookmarkEnd w:id="67"/>
      <w:r/>
      <w:r/>
    </w:p>
    <w:p>
      <w:pPr>
        <w:pStyle w:val="790"/>
      </w:pPr>
      <w:r/>
      <w:bookmarkStart w:id="68" w:name="_Toc367812155"/>
      <w:r/>
      <w:bookmarkStart w:id="69" w:name="_Toc92377741"/>
      <w:r>
        <w:t xml:space="preserve">Inscription</w:t>
      </w:r>
      <w:bookmarkEnd w:id="68"/>
      <w:r>
        <w:t xml:space="preserve"> – </w:t>
      </w:r>
      <w:r>
        <w:t xml:space="preserve">P</w:t>
      </w:r>
      <w:r>
        <w:t xml:space="preserve">rocédures administratives</w:t>
      </w:r>
      <w:bookmarkEnd w:id="69"/>
      <w:r/>
      <w:r/>
    </w:p>
    <w:p>
      <w:r>
        <w:t xml:space="preserve">La procédure d’inscription en doctorat comporte deux </w:t>
      </w:r>
      <w:r>
        <w:t xml:space="preserve">phases</w:t>
      </w:r>
      <w:r>
        <w:t xml:space="preserve"> : </w:t>
      </w:r>
      <w:r/>
    </w:p>
    <w:p>
      <w:pPr>
        <w:pStyle w:val="865"/>
      </w:pPr>
      <w:r>
        <w:t xml:space="preserve">L’inscription</w:t>
      </w:r>
      <w:r>
        <w:t xml:space="preserve"> </w:t>
      </w:r>
      <w:r>
        <w:rPr>
          <w:rStyle w:val="817"/>
        </w:rPr>
        <w:t xml:space="preserve">pédagogique</w:t>
      </w:r>
      <w:r>
        <w:t xml:space="preserve">, auprès de l’École Doctorale SIE</w:t>
      </w:r>
      <w:r/>
    </w:p>
    <w:p>
      <w:pPr>
        <w:pStyle w:val="865"/>
      </w:pPr>
      <w:r>
        <w:t xml:space="preserve">L’inscription</w:t>
      </w:r>
      <w:r>
        <w:t xml:space="preserve"> </w:t>
      </w:r>
      <w:r>
        <w:rPr>
          <w:rStyle w:val="817"/>
        </w:rPr>
        <w:t xml:space="preserve">administrative</w:t>
      </w:r>
      <w:r>
        <w:t xml:space="preserve">, auprès de la Scolarité du site du Bourget. </w:t>
      </w:r>
      <w:r/>
    </w:p>
    <w:p>
      <w:pPr>
        <w:rPr>
          <w:highlight w:val="none"/>
        </w:rPr>
      </w:pPr>
      <w:r>
        <w:t xml:space="preserve">L’inscription pédagogique est un préalable à l’inscription administrative, les deux procédures doivent donc êtes réa</w:t>
      </w:r>
      <w:r>
        <w:t xml:space="preserve">lisées dans cet ordre.</w:t>
      </w:r>
      <w:r/>
    </w:p>
    <w:p>
      <w:r>
        <mc:AlternateContent>
          <mc:Choice Requires="wpg">
            <w:drawing>
              <wp:anchor xmlns:wp="http://schemas.openxmlformats.org/drawingml/2006/wordprocessingDrawing" distT="0" distB="0" distL="114935" distR="114935" simplePos="0" relativeHeight="251665920" behindDoc="0" locked="0" layoutInCell="1" allowOverlap="1">
                <wp:simplePos x="0" y="0"/>
                <wp:positionH relativeFrom="column">
                  <wp:posOffset>4865370</wp:posOffset>
                </wp:positionH>
                <wp:positionV relativeFrom="paragraph">
                  <wp:posOffset>280670</wp:posOffset>
                </wp:positionV>
                <wp:extent cx="594995" cy="360680"/>
                <wp:effectExtent l="0" t="0" r="0" b="1270"/>
                <wp:wrapSquare wrapText="bothSides"/>
                <wp:docPr id="9" name="Image 69"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8" name="Picture 69" hidden="0"/>
                        <pic:cNvPicPr>
                          <a:picLocks noChangeAspect="1"/>
                        </pic:cNvPicPr>
                        <pic:nvPr isPhoto="0" userDrawn="0"/>
                      </pic:nvPicPr>
                      <pic:blipFill>
                        <a:blip r:embed="rId26"/>
                        <a:stretch/>
                      </pic:blipFill>
                      <pic:spPr bwMode="auto">
                        <a:xfrm>
                          <a:off x="0" y="0"/>
                          <a:ext cx="594995" cy="3606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position:absolute;mso-wrap-distance-left:9.0pt;mso-wrap-distance-top:0.0pt;mso-wrap-distance-right:9.0pt;mso-wrap-distance-bottom:0.0pt;z-index:251665920;o:allowoverlap:true;o:allowincell:true;mso-position-horizontal-relative:text;margin-left:383.1pt;mso-position-horizontal:absolute;mso-position-vertical-relative:text;margin-top:22.1pt;mso-position-vertical:absolute;width:46.8pt;height:28.4pt;">
                <v:path textboxrect="0,0,0,0"/>
                <v:imagedata r:id="rId26" o:title=""/>
              </v:shape>
            </w:pict>
          </mc:Fallback>
        </mc:AlternateContent>
      </w:r>
      <w:r>
        <mc:AlternateContent>
          <mc:Choice Requires="wpg">
            <w:drawing>
              <wp:anchor xmlns:wp="http://schemas.openxmlformats.org/drawingml/2006/wordprocessingDrawing" distT="0" distB="0" distL="114935" distR="114935" simplePos="0" relativeHeight="251664896" behindDoc="0" locked="0" layoutInCell="1" allowOverlap="1">
                <wp:simplePos x="0" y="0"/>
                <wp:positionH relativeFrom="column">
                  <wp:posOffset>457200</wp:posOffset>
                </wp:positionH>
                <wp:positionV relativeFrom="paragraph">
                  <wp:posOffset>276860</wp:posOffset>
                </wp:positionV>
                <wp:extent cx="594995" cy="360680"/>
                <wp:effectExtent l="0" t="0" r="0" b="1270"/>
                <wp:wrapSquare wrapText="bothSides"/>
                <wp:docPr id="10" name="Image 68"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9" name="Picture 68" hidden="0"/>
                        <pic:cNvPicPr>
                          <a:picLocks noChangeAspect="1"/>
                        </pic:cNvPicPr>
                        <pic:nvPr isPhoto="0" userDrawn="0"/>
                      </pic:nvPicPr>
                      <pic:blipFill>
                        <a:blip r:embed="rId26"/>
                        <a:stretch/>
                      </pic:blipFill>
                      <pic:spPr bwMode="auto">
                        <a:xfrm>
                          <a:off x="0" y="0"/>
                          <a:ext cx="594995" cy="3606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position:absolute;mso-wrap-distance-left:9.0pt;mso-wrap-distance-top:0.0pt;mso-wrap-distance-right:9.0pt;mso-wrap-distance-bottom:0.0pt;z-index:251664896;o:allowoverlap:true;o:allowincell:true;mso-position-horizontal-relative:text;margin-left:36.0pt;mso-position-horizontal:absolute;mso-position-vertical-relative:text;margin-top:21.8pt;mso-position-vertical:absolute;width:46.8pt;height:28.4pt;">
                <v:path textboxrect="0,0,0,0"/>
                <v:imagedata r:id="rId26" o:title=""/>
              </v:shape>
            </w:pict>
          </mc:Fallback>
        </mc:AlternateContent>
      </w:r>
      <w:r/>
    </w:p>
    <w:p>
      <w:pPr>
        <w:pStyle w:val="791"/>
      </w:pPr>
      <w:r/>
      <w:bookmarkStart w:id="70" w:name="_Toc367812156"/>
      <w:r/>
      <w:bookmarkStart w:id="71" w:name="_Toc92377742"/>
      <w:r>
        <w:t xml:space="preserve">Etudiants</w:t>
      </w:r>
      <w:r>
        <w:t xml:space="preserve"> F</w:t>
      </w:r>
      <w:r>
        <w:t xml:space="preserve">rançais</w:t>
      </w:r>
      <w:bookmarkEnd w:id="70"/>
      <w:r/>
      <w:bookmarkEnd w:id="71"/>
      <w:r/>
      <w:r/>
    </w:p>
    <w:p>
      <w:r/>
      <w:r/>
    </w:p>
    <w:p>
      <w:pPr>
        <w:pStyle w:val="792"/>
        <w:spacing w:lineRule="auto" w:line="240"/>
      </w:pPr>
      <w:r/>
      <w:bookmarkStart w:id="72" w:name="_Toc92377743"/>
      <w:r>
        <w:t xml:space="preserve">Inscription pédagogique en 1ère année de doctorat</w:t>
      </w:r>
      <w:r/>
    </w:p>
    <w:p>
      <w:pPr>
        <w:pStyle w:val="792"/>
        <w:spacing w:lineRule="auto" w:line="240"/>
      </w:pPr>
      <w:r>
        <w:t xml:space="preserve">auprès de l'Ecole Doctorale</w:t>
      </w:r>
      <w:bookmarkEnd w:id="72"/>
      <w:r/>
      <w:r/>
    </w:p>
    <w:p>
      <w:pPr>
        <w:contextualSpacing w:val="false"/>
        <w:ind w:left="0" w:right="0" w:firstLine="0"/>
        <w:jc w:val="both"/>
        <w:spacing w:lineRule="auto" w:line="120" w:after="0" w:before="0"/>
        <w:rPr>
          <w:rFonts w:ascii="Cambria" w:hAnsi="Cambria" w:cs="Cambria" w:eastAsia="Cambria"/>
          <w:b/>
          <w:color w:val="000000"/>
          <w:sz w:val="22"/>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b/>
          <w:color w:val="000000"/>
          <w:sz w:val="22"/>
        </w:rPr>
      </w:r>
      <w:r/>
    </w:p>
    <w:p>
      <w:pPr>
        <w:contextualSpacing w:val="false"/>
        <w:jc w:val="both"/>
        <w:spacing w:lineRule="auto" w:line="120" w:before="0"/>
        <w:rPr>
          <w:rFonts w:ascii="Cambria" w:hAnsi="Cambria" w:cs="Cambria" w:eastAsia="Cambria"/>
        </w:rPr>
        <w:suppressLineNumbers w:val="0"/>
      </w:pPr>
      <w:r>
        <w:rPr>
          <w:rFonts w:ascii="Cambria" w:hAnsi="Cambria" w:cs="Cambria" w:eastAsia="Cambria"/>
          <w:sz w:val="22"/>
        </w:rPr>
      </w:r>
      <w:r/>
    </w:p>
    <w:p>
      <w:pPr>
        <w:contextualSpacing w:val="false"/>
        <w:jc w:val="both"/>
        <w:spacing w:lineRule="auto" w:line="120" w:before="0"/>
        <w:rPr>
          <w:rFonts w:ascii="Cambria" w:hAnsi="Cambria" w:cs="Cambria" w:eastAsia="Cambria"/>
          <w:sz w:val="22"/>
          <w:highlight w:val="none"/>
        </w:rPr>
        <w:suppressLineNumbers w:val="0"/>
      </w:pPr>
      <w:r>
        <w:rPr>
          <w:rFonts w:ascii="Cambria" w:hAnsi="Cambria" w:cs="Cambria" w:eastAsia="Cambria"/>
          <w:sz w:val="22"/>
        </w:rPr>
        <w:t xml:space="preserve">(voir Annexe  4 pour les 2ème - 3ème et 4ème année)</w:t>
      </w:r>
      <w:r>
        <w:rPr>
          <w:rFonts w:ascii="Cambria" w:hAnsi="Cambria" w:cs="Cambria" w:eastAsia="Cambria"/>
          <w:b/>
          <w:color w:val="000000"/>
          <w:sz w:val="22"/>
        </w:rPr>
      </w:r>
      <w:r/>
    </w:p>
    <w:p>
      <w:pPr>
        <w:contextualSpacing w:val="false"/>
        <w:jc w:val="both"/>
        <w:spacing w:lineRule="auto" w:line="120" w:before="0"/>
        <w:suppressLineNumbers w:val="0"/>
      </w:pPr>
      <w:r>
        <w:rPr>
          <w:rFonts w:ascii="Cambria" w:hAnsi="Cambria" w:cs="Cambria" w:eastAsia="Cambria"/>
          <w:sz w:val="22"/>
          <w:highlight w:val="none"/>
        </w:rPr>
      </w:r>
      <w:r>
        <w:rPr>
          <w:rFonts w:ascii="Cambria" w:hAnsi="Cambria" w:cs="Cambria" w:eastAsia="Cambria"/>
          <w:sz w:val="22"/>
          <w:highlight w:val="none"/>
        </w:rPr>
      </w:r>
      <w:r/>
    </w:p>
    <w:p>
      <w:pPr>
        <w:contextualSpacing w:val="false"/>
        <w:jc w:val="both"/>
        <w:spacing w:lineRule="auto" w:line="120" w:before="0"/>
        <w:rPr>
          <w:rFonts w:ascii="Cambria" w:hAnsi="Cambria" w:cs="Cambria" w:eastAsia="Cambria"/>
          <w:sz w:val="22"/>
        </w:rPr>
        <w:suppressLineNumbers w:val="0"/>
      </w:pPr>
      <w:r>
        <w:rPr>
          <w:rFonts w:ascii="Cambria" w:hAnsi="Cambria" w:cs="Cambria" w:eastAsia="Cambria"/>
          <w:b/>
          <w:color w:val="000000"/>
          <w:sz w:val="22"/>
        </w:rPr>
        <w:t xml:space="preserve">PRIMO INSCRIPTION</w:t>
      </w:r>
      <w:r>
        <w:rPr>
          <w:rFonts w:ascii="Cambria" w:hAnsi="Cambria" w:cs="Cambria" w:eastAsia="Cambria"/>
          <w:color w:val="000000"/>
          <w:sz w:val="22"/>
          <w:highlight w:val="none"/>
        </w:rPr>
      </w:r>
      <w:r/>
    </w:p>
    <w:p>
      <w:pPr>
        <w:contextualSpacing w:val="false"/>
        <w:ind w:left="495"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a) C</w:t>
      </w:r>
      <w:r>
        <w:rPr>
          <w:rFonts w:ascii="Cambria" w:hAnsi="Cambria" w:cs="Cambria" w:eastAsia="Cambria"/>
          <w:b/>
          <w:color w:val="000000"/>
          <w:sz w:val="22"/>
        </w:rPr>
        <w:t xml:space="preserve">onnectez-vous</w:t>
      </w:r>
      <w:r>
        <w:rPr>
          <w:rFonts w:ascii="Cambria" w:hAnsi="Cambria" w:cs="Cambria" w:eastAsia="Cambria"/>
          <w:color w:val="000000"/>
          <w:sz w:val="22"/>
        </w:rPr>
        <w:t xml:space="preserve"> à votre compte personnel sur le site de l'</w:t>
      </w:r>
      <w:r>
        <w:rPr>
          <w:rFonts w:ascii="Cambria" w:hAnsi="Cambria" w:cs="Cambria" w:eastAsia="Cambria"/>
          <w:b/>
          <w:color w:val="000000"/>
          <w:sz w:val="22"/>
        </w:rPr>
        <w:t xml:space="preserve">ADUM</w:t>
      </w:r>
      <w:r>
        <w:rPr>
          <w:rFonts w:ascii="Cambria" w:hAnsi="Cambria" w:cs="Cambria" w:eastAsia="Cambria"/>
          <w:color w:val="000000"/>
          <w:sz w:val="22"/>
        </w:rPr>
        <w:t xml:space="preserve"> (</w:t>
      </w:r>
      <w:hyperlink r:id="rId27" w:tooltip="https://www.adum.fr/index.pl" w:history="1">
        <w:r>
          <w:rPr>
            <w:rStyle w:val="812"/>
            <w:rFonts w:ascii="Cambria" w:hAnsi="Cambria" w:cs="Cambria" w:eastAsia="Cambria"/>
            <w:color w:val="0000FF"/>
            <w:sz w:val="22"/>
            <w:u w:val="single"/>
          </w:rPr>
          <w:t xml:space="preserve">https://www.adum.fr/index.pl</w:t>
        </w:r>
      </w:hyperlink>
      <w:r>
        <w:rPr>
          <w:rFonts w:ascii="Cambria" w:hAnsi="Cambria" w:cs="Cambria" w:eastAsia="Cambria"/>
          <w:color w:val="000000"/>
          <w:sz w:val="22"/>
        </w:rPr>
        <w:t xml:space="preserve">) </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b) </w:t>
      </w:r>
      <w:r>
        <w:rPr>
          <w:rFonts w:ascii="Cambria" w:hAnsi="Cambria" w:cs="Cambria" w:eastAsia="Cambria"/>
          <w:b/>
          <w:color w:val="000000"/>
          <w:sz w:val="22"/>
        </w:rPr>
        <w:t xml:space="preserve">Complétez attentivement</w:t>
      </w:r>
      <w:r>
        <w:rPr>
          <w:rFonts w:ascii="Cambria" w:hAnsi="Cambria" w:cs="Cambria" w:eastAsia="Cambria"/>
          <w:color w:val="000000"/>
          <w:sz w:val="22"/>
        </w:rPr>
        <w:t xml:space="preserve"> (avec l'aide de votre direction de thèse)</w:t>
      </w:r>
      <w:r>
        <w:rPr>
          <w:rFonts w:ascii="Cambria" w:hAnsi="Cambria" w:cs="Cambria" w:eastAsia="Cambria"/>
          <w:b/>
          <w:color w:val="000000"/>
          <w:sz w:val="22"/>
        </w:rPr>
        <w:t xml:space="preserve"> et en détail les onglets</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 Déroulement de la thèse </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 Suivi de thèse </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 Publications...</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sz w:val="22"/>
        </w:rPr>
      </w:r>
      <w:r>
        <w:rPr>
          <w:rFonts w:ascii="Cambria" w:hAnsi="Cambria" w:cs="Cambria" w:eastAsia="Cambria"/>
          <w:sz w:val="22"/>
        </w:rPr>
        <w:br/>
      </w:r>
      <w:r>
        <w:rPr>
          <w:rFonts w:ascii="Cambria" w:hAnsi="Cambria" w:cs="Cambria" w:eastAsia="Cambria"/>
          <w:color w:val="000000"/>
          <w:sz w:val="22"/>
        </w:rPr>
        <w:t xml:space="preserve">         c) </w:t>
      </w:r>
      <w:r>
        <w:rPr>
          <w:rFonts w:ascii="Cambria" w:hAnsi="Cambria" w:cs="Cambria" w:eastAsia="Cambria"/>
          <w:b/>
          <w:color w:val="000000"/>
          <w:sz w:val="22"/>
        </w:rPr>
        <w:t xml:space="preserve">Validez les informations et éditez</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 la Convention de formation</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 le Dossier d'inscription en doctorat</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 le Document RGPD</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 la Charte du doctorat</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 la Charte anti-plagiat</w:t>
      </w:r>
      <w:r>
        <w:rPr>
          <w:rFonts w:ascii="Cambria" w:hAnsi="Cambria" w:cs="Cambria" w:eastAsia="Cambria"/>
          <w:sz w:val="22"/>
        </w:rPr>
      </w:r>
      <w:r/>
    </w:p>
    <w:p>
      <w:pPr>
        <w:contextualSpacing w:val="false"/>
        <w:ind w:left="708"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d) Pour les doctorants " USMB - ED SIE", transmettre à la gestionnaire de votre ED</w:t>
      </w:r>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ab/>
      </w:r>
      <w:r>
        <w:rPr>
          <w:rFonts w:ascii="Cambria" w:hAnsi="Cambria" w:cs="Cambria" w:eastAsia="Cambria"/>
          <w:b/>
          <w:color w:val="000000"/>
          <w:sz w:val="22"/>
          <w:u w:val="single"/>
        </w:rPr>
        <w:t xml:space="preserve">par l’intermédiaire du secrétariat de votre laboratoire</w:t>
      </w:r>
      <w:r>
        <w:rPr>
          <w:rFonts w:ascii="Cambria" w:hAnsi="Cambria" w:cs="Cambria" w:eastAsia="Cambria"/>
          <w:color w:val="000000"/>
          <w:sz w:val="22"/>
        </w:rPr>
        <w:t xml:space="preserve">  </w:t>
      </w:r>
      <w:hyperlink r:id="rId28" w:tooltip="https://onlyoffice-ds.grenet.fr/6.1.1-53/web-apps/apps/documenteditor/main/secretariat.locie@univ-smb.fr" w:history="1">
        <w:r>
          <w:rPr>
            <w:rStyle w:val="812"/>
            <w:rFonts w:ascii="Cambria" w:hAnsi="Cambria" w:cs="Cambria" w:eastAsia="Cambria"/>
            <w:color w:val="0563C1"/>
            <w:sz w:val="22"/>
            <w:u w:val="single"/>
          </w:rPr>
          <w:t xml:space="preserve">secretariat.locie@univ-smb.fr</w:t>
        </w:r>
      </w:hyperlink>
      <w:r>
        <w:rPr>
          <w:rFonts w:ascii="Cambria" w:hAnsi="Cambria" w:cs="Cambria" w:eastAsia="Cambria"/>
          <w:sz w:val="22"/>
        </w:rPr>
      </w:r>
      <w:r/>
    </w:p>
    <w:p>
      <w:pPr>
        <w:contextualSpacing w:val="false"/>
        <w:ind w:left="0" w:right="0" w:firstLine="0"/>
        <w:jc w:val="both"/>
        <w:spacing w:lineRule="auto" w:line="240" w:after="0" w:before="0"/>
        <w:rPr>
          <w:rFonts w:ascii="Cambria" w:hAnsi="Cambria" w:cs="Cambria" w:eastAsia="Cambria"/>
          <w:b w:val="false"/>
          <w:color w:val="000000"/>
          <w:sz w:val="22"/>
          <w:highlight w:val="none"/>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   </w:t>
        <w:br/>
        <w:t xml:space="preserve">   </w:t>
        <w:tab/>
        <w:t xml:space="preserve"> </w:t>
      </w:r>
      <w:r>
        <w:rPr>
          <w:rFonts w:ascii="Cambria" w:hAnsi="Cambria" w:cs="Cambria" w:eastAsia="Cambria"/>
          <w:b/>
          <w:color w:val="000000"/>
          <w:sz w:val="22"/>
        </w:rPr>
        <w:t xml:space="preserve">Votre Convention de formation</w:t>
      </w:r>
      <w:r>
        <w:rPr>
          <w:rFonts w:ascii="Cambria" w:hAnsi="Cambria" w:cs="Cambria" w:eastAsia="Cambria"/>
          <w:color w:val="000000"/>
          <w:sz w:val="22"/>
        </w:rPr>
        <w:t xml:space="preserve"> &amp; Charte du doctorat dûment signés + les documents cités    </w:t>
        <w:tab/>
        <w:t xml:space="preserve"> précédemment ainsi que les </w:t>
      </w:r>
      <w:r>
        <w:rPr>
          <w:rFonts w:ascii="Cambria" w:hAnsi="Cambria" w:cs="Cambria" w:eastAsia="Cambria"/>
          <w:b/>
          <w:color w:val="000000"/>
          <w:sz w:val="22"/>
        </w:rPr>
        <w:t xml:space="preserve">documents complémentaires à votre dossier </w:t>
      </w:r>
      <w:r>
        <w:rPr>
          <w:rFonts w:ascii="Cambria" w:hAnsi="Cambria" w:cs="Cambria" w:eastAsia="Cambria"/>
          <w:b w:val="false"/>
          <w:color w:val="000000"/>
          <w:sz w:val="22"/>
        </w:rPr>
        <w:t xml:space="preserve">:</w:t>
      </w:r>
      <w:r>
        <w:rPr>
          <w:rFonts w:ascii="Cambria" w:hAnsi="Cambria" w:cs="Cambria" w:eastAsia="Cambria"/>
          <w:b w:val="false"/>
          <w:sz w:val="22"/>
        </w:rPr>
      </w:r>
      <w:r/>
    </w:p>
    <w:p>
      <w:pPr>
        <w:contextualSpacing w:val="false"/>
        <w:ind w:left="0" w:right="0" w:firstLine="0"/>
        <w:jc w:val="both"/>
        <w:spacing w:lineRule="auto" w:line="240"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highlight w:val="none"/>
        </w:rPr>
      </w:r>
      <w:r>
        <w:rPr>
          <w:rFonts w:ascii="Cambria" w:hAnsi="Cambria" w:cs="Cambria" w:eastAsia="Cambria"/>
          <w:color w:val="000000"/>
          <w:sz w:val="22"/>
          <w:highlight w:val="none"/>
        </w:rPr>
      </w:r>
      <w:r/>
    </w:p>
    <w:p>
      <w:pPr>
        <w:numPr>
          <w:ilvl w:val="0"/>
          <w:numId w:val="32"/>
        </w:numPr>
        <w:contextualSpacing w:val="false"/>
        <w:jc w:val="both"/>
        <w:spacing w:lineRule="auto" w:line="240" w:after="0" w:before="0"/>
        <w:tabs>
          <w:tab w:val="left" w:pos="720" w:leader="none"/>
        </w:tabs>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Copies de vos relevés de notes et classement en Master Recherche</w:t>
      </w:r>
      <w:r>
        <w:rPr>
          <w:rFonts w:ascii="Cambria" w:hAnsi="Cambria" w:cs="Cambria" w:eastAsia="Cambria"/>
          <w:sz w:val="22"/>
        </w:rPr>
        <w:t xml:space="preserve">, CV</w:t>
      </w:r>
      <w:r/>
    </w:p>
    <w:p>
      <w:pPr>
        <w:numPr>
          <w:ilvl w:val="0"/>
          <w:numId w:val="32"/>
        </w:numPr>
        <w:contextualSpacing w:val="false"/>
        <w:jc w:val="both"/>
        <w:spacing w:lineRule="auto" w:line="240" w:after="0" w:before="0"/>
        <w:tabs>
          <w:tab w:val="left" w:pos="720" w:leader="none"/>
        </w:tabs>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Lettre de motivation du candidat</w:t>
      </w:r>
      <w:r>
        <w:rPr>
          <w:rFonts w:ascii="Cambria" w:hAnsi="Cambria" w:cs="Cambria" w:eastAsia="Cambria"/>
          <w:sz w:val="22"/>
        </w:rPr>
        <w:t xml:space="preserve"> et lettres de recommandation</w:t>
      </w:r>
      <w:r/>
    </w:p>
    <w:p>
      <w:pPr>
        <w:numPr>
          <w:ilvl w:val="0"/>
          <w:numId w:val="32"/>
        </w:numPr>
        <w:contextualSpacing w:val="false"/>
        <w:jc w:val="both"/>
        <w:spacing w:lineRule="auto" w:line="240" w:after="0" w:before="0"/>
        <w:tabs>
          <w:tab w:val="left" w:pos="720" w:leader="none"/>
        </w:tabs>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Justificatifs de financement (sauf pour les candidats bénéficiant d’une allocation Ministère, de la Région ou du Conseil Savoie Mont Blanc</w:t>
      </w:r>
      <w:r>
        <w:rPr>
          <w:rFonts w:ascii="Cambria" w:hAnsi="Cambria" w:cs="Cambria" w:eastAsia="Cambria"/>
          <w:sz w:val="22"/>
        </w:rPr>
      </w:r>
      <w:r/>
    </w:p>
    <w:p>
      <w:pPr>
        <w:contextualSpacing w:val="false"/>
        <w:ind w:left="0" w:right="0" w:firstLine="0"/>
        <w:jc w:val="both"/>
        <w:spacing w:lineRule="auto" w:line="240" w:after="0" w:before="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ambria" w:hAnsi="Cambria" w:cs="Cambria" w:eastAsia="Cambria"/>
          <w:color w:val="000000"/>
          <w:sz w:val="22"/>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r>
      <w:r/>
    </w:p>
    <w:p>
      <w:pPr>
        <w:contextualSpacing w:val="false"/>
        <w:ind w:left="0" w:right="0" w:firstLine="0"/>
        <w:jc w:val="both"/>
        <w:spacing w:lineRule="auto" w:line="240" w:after="0" w:before="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ambria" w:hAnsi="Cambria" w:cs="Cambria" w:eastAsia="Cambria"/>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Après réception d’une réponse favorable de votre École Doctorale (et/ou du Collège doctoral USMB),</w:t>
      </w:r>
      <w:r>
        <w:rPr>
          <w:rFonts w:ascii="Cambria" w:hAnsi="Cambria" w:cs="Cambria" w:eastAsia="Cambria"/>
          <w:sz w:val="22"/>
        </w:rPr>
      </w:r>
      <w:r/>
    </w:p>
    <w:p>
      <w:pPr>
        <w:contextualSpacing w:val="false"/>
        <w:ind w:left="0" w:right="0" w:firstLine="0"/>
        <w:jc w:val="both"/>
        <w:spacing w:lineRule="auto" w:line="240" w:after="0" w:before="0"/>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ambria" w:hAnsi="Cambria" w:cs="Cambria" w:eastAsia="Cambria"/>
          <w:color w:val="000000"/>
          <w:sz w:val="22"/>
          <w:highlight w:val="none"/>
        </w:rPr>
        <w:pBdr>
          <w:left w:val="none" w:color="000000" w:sz="4" w:space="0"/>
          <w:top w:val="none" w:color="000000" w:sz="4" w:space="0"/>
          <w:right w:val="none" w:color="000000" w:sz="4" w:space="0"/>
          <w:bottom w:val="none" w:color="000000" w:sz="4" w:space="0"/>
        </w:pBdr>
        <w:suppressLineNumbers w:val="0"/>
      </w:pPr>
      <w:r>
        <w:rPr>
          <w:rFonts w:ascii="Cambria" w:hAnsi="Cambria" w:cs="Cambria" w:eastAsia="Cambria"/>
          <w:color w:val="000000"/>
          <w:sz w:val="22"/>
        </w:rPr>
        <w:t xml:space="preserve">vous pourrez vous </w:t>
      </w:r>
      <w:r>
        <w:rPr>
          <w:rFonts w:ascii="Cambria" w:hAnsi="Cambria" w:cs="Cambria" w:eastAsia="Cambria"/>
          <w:color w:val="000000"/>
          <w:sz w:val="22"/>
          <w:u w:val="single"/>
        </w:rPr>
        <w:t xml:space="preserve">inscrire administrativement</w:t>
      </w:r>
      <w:r>
        <w:rPr>
          <w:rFonts w:ascii="Cambria" w:hAnsi="Cambria" w:cs="Cambria" w:eastAsia="Cambria"/>
          <w:color w:val="000000"/>
          <w:sz w:val="22"/>
        </w:rPr>
        <w:t xml:space="preserve"> auprès de votre scolarité de site à compter de début </w:t>
      </w:r>
      <w:r>
        <w:rPr>
          <w:rFonts w:ascii="Cambria" w:hAnsi="Cambria" w:cs="Cambria" w:eastAsia="Cambria"/>
          <w:b/>
          <w:color w:val="000000"/>
          <w:sz w:val="22"/>
        </w:rPr>
        <w:t xml:space="preserve">Septembre</w:t>
      </w:r>
      <w:r>
        <w:rPr>
          <w:rFonts w:ascii="Cambria" w:hAnsi="Cambria" w:cs="Cambria" w:eastAsia="Cambria"/>
          <w:color w:val="000000"/>
          <w:sz w:val="22"/>
        </w:rPr>
        <w:t xml:space="preserve">. Une procédure vous sera alors communiquée par mail. </w:t>
      </w:r>
      <w:r>
        <w:rPr>
          <w:rFonts w:ascii="Cambria" w:hAnsi="Cambria" w:cs="Cambria" w:eastAsia="Cambria"/>
          <w:sz w:val="22"/>
        </w:rPr>
      </w:r>
      <w:r/>
    </w:p>
    <w:p>
      <w:pPr>
        <w:pStyle w:val="792"/>
      </w:pPr>
      <w:r/>
      <w:bookmarkStart w:id="73" w:name="_Toc92377744"/>
      <w:r>
        <w:t xml:space="preserve">Inscription administrative en 1ère année de doctorat</w:t>
      </w:r>
      <w:r/>
    </w:p>
    <w:p>
      <w:pPr>
        <w:pStyle w:val="792"/>
      </w:pPr>
      <w:r>
        <w:t xml:space="preserve">auprès de la scolarité du Bourget</w:t>
      </w:r>
      <w:bookmarkEnd w:id="73"/>
      <w:r/>
      <w:r/>
    </w:p>
    <w:p>
      <w:r/>
      <w:r/>
    </w:p>
    <w:p>
      <w:pPr>
        <w:ind w:left="0" w:right="0" w:firstLine="0"/>
        <w:spacing w:after="0" w:before="0"/>
        <w:rPr>
          <w:rFonts w:ascii="Cambria" w:hAnsi="Cambria" w:cs="Cambria" w:eastAsia="Cambria"/>
          <w:b/>
          <w:color w:val="000000"/>
          <w:sz w:val="22"/>
          <w:highlight w:val="none"/>
          <w:u w:val="single"/>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u w:val="single"/>
        </w:rPr>
        <w:t xml:space="preserve">RAPPEL de la procédure avant de </w:t>
      </w:r>
      <w:r>
        <w:rPr>
          <w:rFonts w:ascii="Cambria" w:hAnsi="Cambria" w:cs="Cambria" w:eastAsia="Cambria"/>
          <w:b/>
          <w:color w:val="000000"/>
          <w:sz w:val="22"/>
          <w:u w:val="single"/>
        </w:rPr>
        <w:t xml:space="preserve">prendre rendez-vous avec votre scolarité</w:t>
      </w:r>
      <w:r/>
    </w:p>
    <w:p>
      <w:pPr>
        <w:ind w:left="0" w:right="0" w:firstLine="0"/>
        <w:spacing w:after="0" w:before="0"/>
        <w:rPr>
          <w:rFonts w:ascii="Cambria" w:hAnsi="Cambria" w:cs="Cambria" w:eastAsia="Cambria"/>
          <w:b/>
          <w:color w:val="000000"/>
          <w:sz w:val="22"/>
          <w:u w:val="single"/>
        </w:rPr>
        <w:pBdr>
          <w:left w:val="none" w:color="000000" w:sz="4" w:space="0"/>
          <w:top w:val="none" w:color="000000" w:sz="4" w:space="0"/>
          <w:right w:val="none" w:color="000000" w:sz="4" w:space="0"/>
          <w:bottom w:val="none" w:color="000000" w:sz="4" w:space="0"/>
        </w:pBdr>
      </w:pPr>
      <w:r>
        <w:rPr>
          <w:rFonts w:ascii="Cambria" w:hAnsi="Cambria" w:cs="Cambria" w:eastAsia="Cambria"/>
          <w:b/>
          <w:color w:val="000000"/>
          <w:sz w:val="22"/>
          <w:highlight w:val="none"/>
          <w:u w:val="single"/>
        </w:rPr>
      </w:r>
      <w:r>
        <w:rPr>
          <w:rFonts w:ascii="Cambria" w:hAnsi="Cambria" w:cs="Cambria" w:eastAsia="Cambria"/>
          <w:b/>
          <w:color w:val="000000"/>
          <w:sz w:val="22"/>
          <w:highlight w:val="none"/>
          <w:u w:val="single"/>
        </w:rPr>
      </w:r>
      <w:r/>
    </w:p>
    <w:p>
      <w:pPr>
        <w:ind w:left="0" w:right="0" w:firstLine="0"/>
        <w:spacing w:after="0" w:before="0"/>
        <w:rPr>
          <w:rFonts w:ascii="Cambria" w:hAnsi="Cambria" w:cs="Cambria" w:eastAsia="Cambria"/>
          <w:color w:val="000000"/>
          <w:sz w:val="22"/>
        </w:rPr>
        <w:pBdr>
          <w:left w:val="none" w:color="000000" w:sz="4" w:space="0"/>
          <w:top w:val="none" w:color="000000" w:sz="4" w:space="0"/>
          <w:right w:val="none" w:color="000000" w:sz="4" w:space="0"/>
          <w:bottom w:val="none" w:color="000000" w:sz="4" w:space="0"/>
        </w:pBdr>
      </w:pPr>
      <w:r>
        <w:rPr>
          <w:rFonts w:ascii="Cambria" w:hAnsi="Cambria" w:cs="Cambria" w:eastAsia="Cambria"/>
          <w:b/>
          <w:color w:val="000000"/>
          <w:sz w:val="22"/>
          <w:u w:val="single"/>
        </w:rPr>
        <w:br/>
      </w:r>
      <w:r>
        <w:rPr>
          <w:rFonts w:ascii="Cambria" w:hAnsi="Cambria" w:cs="Cambria" w:eastAsia="Cambria"/>
          <w:b/>
          <w:color w:val="000000"/>
          <w:sz w:val="22"/>
        </w:rPr>
        <w:t xml:space="preserve">1)</w:t>
      </w:r>
      <w:r>
        <w:rPr>
          <w:rFonts w:ascii="Cambria" w:hAnsi="Cambria" w:cs="Cambria" w:eastAsia="Cambria"/>
          <w:color w:val="000000"/>
          <w:sz w:val="22"/>
        </w:rPr>
        <w:t xml:space="preserve"> Vous affranchir de la</w:t>
      </w:r>
      <w:r>
        <w:rPr>
          <w:rFonts w:ascii="Cambria" w:hAnsi="Cambria" w:cs="Cambria" w:eastAsia="Cambria"/>
          <w:b/>
          <w:color w:val="000000"/>
          <w:sz w:val="22"/>
        </w:rPr>
        <w:t xml:space="preserve"> Contribution Vie Étudiante et de Campus (CVEC).</w:t>
      </w:r>
      <w:r>
        <w:rPr>
          <w:rFonts w:ascii="Cambria" w:hAnsi="Cambria" w:cs="Cambria" w:eastAsia="Cambria"/>
          <w:color w:val="000000"/>
          <w:sz w:val="22"/>
        </w:rPr>
        <w:t xml:space="preserve">   Le  paiement      de la CVEC est obligatoire pour procéder à la l'IA.</w:t>
      </w:r>
      <w:r>
        <w:rPr>
          <w:rFonts w:ascii="Cambria" w:hAnsi="Cambria" w:cs="Cambria" w:eastAsia="Cambria"/>
          <w:color w:val="000000"/>
          <w:sz w:val="22"/>
        </w:rPr>
      </w:r>
      <w:r/>
    </w:p>
    <w:p>
      <w:pPr>
        <w:ind w:left="0" w:right="0" w:firstLine="0"/>
        <w:spacing w:after="0" w:before="0"/>
        <w:rPr>
          <w:rFonts w:ascii="Cambria" w:hAnsi="Cambria" w:cs="Cambria" w:eastAsia="Cambria"/>
          <w:color w:val="000000"/>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br/>
        <w:t xml:space="preserve">Les doctorants (</w:t>
      </w:r>
      <w:r>
        <w:rPr>
          <w:rFonts w:ascii="Cambria" w:hAnsi="Cambria" w:cs="Cambria" w:eastAsia="Cambria"/>
          <w:color w:val="FF0000"/>
          <w:sz w:val="22"/>
        </w:rPr>
        <w:t xml:space="preserve">sauf dans le cas d’une cotutelle avec des droits payés dans l’établissement de cotutelle</w:t>
      </w:r>
      <w:r>
        <w:rPr>
          <w:rFonts w:ascii="Cambria" w:hAnsi="Cambria" w:cs="Cambria" w:eastAsia="Cambria"/>
          <w:color w:val="000000"/>
          <w:sz w:val="22"/>
        </w:rPr>
        <w:t xml:space="preserve">) sont assujettis à la CVEC </w:t>
      </w:r>
      <w:r/>
    </w:p>
    <w:p>
      <w:pPr>
        <w:ind w:left="0" w:right="0" w:firstLine="0"/>
        <w:spacing w:after="0" w:before="0"/>
        <w:rPr>
          <w:rFonts w:ascii="Cambria" w:hAnsi="Cambria" w:cs="Cambria" w:eastAsia="Cambria"/>
          <w:color w:val="000000"/>
          <w:sz w:val="22"/>
          <w:highlight w:val="none"/>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br/>
        <w:t xml:space="preserve">se connecter sur le site  </w:t>
      </w:r>
      <w:hyperlink r:id="rId29" w:tooltip="https://cvec.etudiant.gouv.fr/" w:history="1">
        <w:r>
          <w:rPr>
            <w:rStyle w:val="812"/>
            <w:rFonts w:ascii="Cambria" w:hAnsi="Cambria" w:cs="Cambria" w:eastAsia="Cambria"/>
            <w:color w:val="000000"/>
            <w:sz w:val="22"/>
            <w:u w:val="single"/>
          </w:rPr>
          <w:t xml:space="preserve">https://cvec.etudiant.gouv.fr/</w:t>
        </w:r>
      </w:hyperlink>
      <w:r>
        <w:rPr>
          <w:rFonts w:ascii="Cambria" w:hAnsi="Cambria" w:cs="Cambria" w:eastAsia="Cambria"/>
          <w:color w:val="000000"/>
          <w:sz w:val="22"/>
        </w:rPr>
        <w:t xml:space="preserve"> en vue d'obtenir votre attestation de CVEC.</w:t>
      </w:r>
      <w:r>
        <w:rPr>
          <w:rFonts w:ascii="Cambria" w:hAnsi="Cambria" w:cs="Cambria" w:eastAsia="Cambria"/>
          <w:color w:val="000000"/>
          <w:sz w:val="22"/>
          <w:highlight w:val="none"/>
        </w:rPr>
      </w:r>
      <w:r/>
    </w:p>
    <w:p>
      <w:pPr>
        <w:ind w:left="0" w:right="0" w:firstLine="0"/>
        <w:spacing w:after="0" w:before="0"/>
        <w:rPr>
          <w:rFonts w:ascii="Cambria" w:hAnsi="Cambria" w:cs="Cambria" w:eastAsia="Cambria"/>
          <w:color w:val="000000"/>
          <w:sz w:val="22"/>
          <w:highlight w:val="none"/>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highlight w:val="none"/>
        </w:rPr>
      </w:r>
      <w:r>
        <w:rPr>
          <w:rFonts w:ascii="Cambria" w:hAnsi="Cambria" w:cs="Cambria" w:eastAsia="Cambria"/>
          <w:color w:val="000000"/>
          <w:sz w:val="22"/>
          <w:highlight w:val="none"/>
        </w:rPr>
      </w:r>
      <w:r/>
    </w:p>
    <w:p>
      <w:pPr>
        <w:ind w:left="0" w:right="0" w:firstLine="0"/>
        <w:jc w:val="both"/>
        <w:spacing w:after="0" w:before="0"/>
        <w:rPr>
          <w:rFonts w:ascii="Cambria" w:hAnsi="Cambria" w:cs="Cambria" w:eastAsia="Cambria"/>
          <w:b/>
          <w:color w:val="000000"/>
          <w:sz w:val="22"/>
        </w:rPr>
        <w:pBdr>
          <w:left w:val="none" w:color="000000" w:sz="4" w:space="0"/>
          <w:top w:val="none" w:color="000000" w:sz="4" w:space="0"/>
          <w:right w:val="none" w:color="000000" w:sz="4" w:space="0"/>
          <w:bottom w:val="none" w:color="000000" w:sz="4" w:space="0"/>
        </w:pBdr>
      </w:pPr>
      <w:r>
        <w:br/>
      </w:r>
      <w:r>
        <w:rPr>
          <w:rFonts w:ascii="Cambria" w:hAnsi="Cambria" w:cs="Cambria" w:eastAsia="Cambria"/>
          <w:b/>
          <w:color w:val="000000"/>
          <w:sz w:val="22"/>
        </w:rPr>
        <w:t xml:space="preserve">2)</w:t>
      </w:r>
      <w:r>
        <w:rPr>
          <w:rFonts w:ascii="Cambria" w:hAnsi="Cambria" w:cs="Cambria" w:eastAsia="Cambria"/>
          <w:color w:val="000000"/>
          <w:sz w:val="22"/>
        </w:rPr>
        <w:t xml:space="preserve"> Faire votre Inscription Administrative (IA) </w:t>
      </w:r>
      <w:r>
        <w:rPr>
          <w:rFonts w:ascii="Cambria" w:hAnsi="Cambria" w:cs="Cambria" w:eastAsia="Cambria"/>
          <w:b/>
          <w:color w:val="000000"/>
          <w:sz w:val="22"/>
        </w:rPr>
        <w:t xml:space="preserve">d'abord en ligne</w:t>
      </w:r>
      <w:r>
        <w:rPr>
          <w:rFonts w:ascii="Cambria" w:hAnsi="Cambria" w:cs="Cambria" w:eastAsia="Cambria"/>
          <w:b/>
          <w:color w:val="000000"/>
          <w:sz w:val="22"/>
        </w:rPr>
      </w:r>
      <w:r/>
    </w:p>
    <w:p>
      <w:pPr>
        <w:ind w:left="0" w:right="0" w:firstLine="0"/>
        <w:jc w:val="both"/>
        <w:spacing w:after="0" w:before="0"/>
        <w:rPr>
          <w:highlight w:val="none"/>
        </w:rPr>
        <w:pBdr>
          <w:left w:val="none" w:color="000000" w:sz="4" w:space="0"/>
          <w:top w:val="none" w:color="000000" w:sz="4" w:space="0"/>
          <w:right w:val="none" w:color="000000" w:sz="4" w:space="0"/>
          <w:bottom w:val="none" w:color="000000" w:sz="4" w:space="0"/>
        </w:pBdr>
      </w:pPr>
      <w:r>
        <w:rPr>
          <w:rFonts w:ascii="Cambria" w:hAnsi="Cambria" w:cs="Cambria" w:eastAsia="Cambria"/>
          <w:b/>
          <w:color w:val="000000"/>
          <w:sz w:val="22"/>
        </w:rPr>
        <w:br/>
      </w:r>
      <w:r>
        <w:rPr>
          <w:rFonts w:ascii="Cambria" w:hAnsi="Cambria" w:cs="Cambria" w:eastAsia="Cambria"/>
          <w:color w:val="000000"/>
          <w:sz w:val="22"/>
        </w:rPr>
        <w:t xml:space="preserve"> </w:t>
      </w:r>
      <w:hyperlink r:id="rId30" w:tooltip="https://iaprimo-usmb.grenet.fr/iaprimo-usmb/ident1.jsf" w:history="1">
        <w:r>
          <w:rPr>
            <w:rStyle w:val="812"/>
            <w:rFonts w:ascii="Cambria" w:hAnsi="Cambria" w:cs="Cambria" w:eastAsia="Cambria"/>
            <w:color w:val="000000"/>
            <w:sz w:val="22"/>
            <w:u w:val="single"/>
          </w:rPr>
          <w:t xml:space="preserve">https://iaprimo-usmb.grenet.fr/iaprimo-usmb/ident1.jsf</w:t>
        </w:r>
      </w:hyperlink>
      <w:r/>
      <w:r/>
    </w:p>
    <w:p>
      <w:pPr>
        <w:ind w:left="0" w:right="0" w:firstLine="0"/>
        <w:jc w:val="both"/>
        <w:spacing w:after="0" w:before="0"/>
        <w:rPr>
          <w:rFonts w:ascii="Cambria" w:hAnsi="Cambria" w:cs="Cambria" w:eastAsia="Cambria"/>
          <w:b/>
          <w:color w:val="000000"/>
          <w:sz w:val="22"/>
        </w:rPr>
        <w:pBdr>
          <w:left w:val="none" w:color="000000" w:sz="4" w:space="0"/>
          <w:top w:val="none" w:color="000000" w:sz="4" w:space="0"/>
          <w:right w:val="none" w:color="000000" w:sz="4" w:space="0"/>
          <w:bottom w:val="none" w:color="000000" w:sz="4" w:space="0"/>
        </w:pBdr>
      </w:pPr>
      <w:r>
        <w:rPr>
          <w:highlight w:val="none"/>
        </w:rPr>
      </w:r>
      <w:r>
        <w:rPr>
          <w:highlight w:val="none"/>
        </w:rPr>
      </w:r>
      <w:r/>
    </w:p>
    <w:p>
      <w:pPr>
        <w:ind w:left="0" w:right="0" w:firstLine="0"/>
        <w:spacing w:after="0" w:before="0"/>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Afin de faciliter votre inscription, merci de vous munir des informations suivantes;</w:t>
      </w:r>
      <w:r/>
    </w:p>
    <w:p>
      <w:pPr>
        <w:ind w:left="0" w:right="0" w:firstLine="0"/>
        <w:spacing w:after="0" w:before="0"/>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N° attestation CVEC, carte bancaire...</w:t>
      </w:r>
      <w:r/>
    </w:p>
    <w:p>
      <w:pPr>
        <w:ind w:left="0" w:right="0" w:firstLine="0"/>
        <w:spacing w:after="0" w:before="0"/>
        <w:rPr>
          <w:rFonts w:ascii="Cambria" w:hAnsi="Cambria" w:cs="Cambria" w:eastAsia="Cambria"/>
          <w:color w:val="000000"/>
          <w:sz w:val="22"/>
          <w:highlight w:val="none"/>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Votre inscription à  l'établissement sera effective quand vous verrez s'afficher à l'écran le message </w:t>
      </w:r>
      <w:r>
        <w:rPr>
          <w:rFonts w:ascii="Cambria" w:hAnsi="Cambria" w:cs="Cambria" w:eastAsia="Cambria"/>
          <w:b/>
          <w:color w:val="000000"/>
          <w:sz w:val="22"/>
        </w:rPr>
        <w:t xml:space="preserve">"Votre demande d'inscription a bien été prise en compte"</w:t>
      </w:r>
      <w:r>
        <w:rPr>
          <w:rFonts w:ascii="Cambria" w:hAnsi="Cambria" w:cs="Cambria" w:eastAsia="Cambria"/>
          <w:color w:val="000000"/>
          <w:sz w:val="22"/>
        </w:rPr>
        <w:t xml:space="preserve">.</w:t>
      </w:r>
      <w:r/>
    </w:p>
    <w:p>
      <w:pPr>
        <w:ind w:left="0" w:right="0" w:firstLine="0"/>
        <w:spacing w:after="0" w:before="0"/>
        <w:rPr>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highlight w:val="none"/>
        </w:rPr>
      </w:r>
      <w:r>
        <w:rPr>
          <w:rFonts w:ascii="Cambria" w:hAnsi="Cambria" w:cs="Cambria" w:eastAsia="Cambria"/>
          <w:color w:val="000000"/>
          <w:sz w:val="22"/>
          <w:highlight w:val="none"/>
        </w:rPr>
      </w:r>
      <w:r/>
    </w:p>
    <w:p>
      <w:pPr>
        <w:ind w:left="0" w:right="0" w:firstLine="0"/>
        <w:spacing w:after="0" w:before="0"/>
        <w:pBdr>
          <w:left w:val="none" w:color="000000" w:sz="4" w:space="0"/>
          <w:top w:val="none" w:color="000000" w:sz="4" w:space="0"/>
          <w:right w:val="none" w:color="000000" w:sz="4" w:space="0"/>
          <w:bottom w:val="none" w:color="000000" w:sz="4" w:space="0"/>
        </w:pBdr>
      </w:pPr>
      <w:r>
        <w:br/>
      </w:r>
      <w:r>
        <w:rPr>
          <w:rFonts w:ascii="Cambria" w:hAnsi="Cambria" w:cs="Cambria" w:eastAsia="Cambria"/>
          <w:b/>
          <w:color w:val="000000"/>
          <w:sz w:val="22"/>
        </w:rPr>
        <w:t xml:space="preserve">3) </w:t>
      </w:r>
      <w:r>
        <w:rPr>
          <w:rFonts w:ascii="Cambria" w:hAnsi="Cambria" w:cs="Cambria" w:eastAsia="Cambria"/>
          <w:color w:val="000000"/>
          <w:sz w:val="22"/>
        </w:rPr>
        <w:t xml:space="preserve">Transmettre vos pièces justificatives</w:t>
      </w:r>
      <w:r/>
    </w:p>
    <w:p>
      <w:pPr>
        <w:ind w:left="0" w:right="0" w:firstLine="0"/>
        <w:spacing w:after="0" w:before="0"/>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w:t>
      </w:r>
      <w:r/>
    </w:p>
    <w:p>
      <w:pPr>
        <w:ind w:left="0" w:right="0" w:firstLine="0"/>
        <w:spacing w:after="0" w:before="0"/>
        <w:rPr>
          <w:rFonts w:ascii="Cambria" w:hAnsi="Cambria" w:cs="Cambria" w:eastAsia="Cambria"/>
          <w:color w:val="000000"/>
          <w:sz w:val="20"/>
          <w:highlight w:val="none"/>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A la fin de la procédure d'inscription en ligne, cliquez sur </w:t>
      </w:r>
      <w:r>
        <w:rPr>
          <w:rFonts w:ascii="Cambria" w:hAnsi="Cambria" w:cs="Cambria" w:eastAsia="Cambria"/>
          <w:color w:val="000000"/>
          <w:sz w:val="20"/>
        </w:rPr>
        <w:t xml:space="preserve">«Terminer et transmettre les pièces justificatives»</w:t>
      </w:r>
      <w:r>
        <w:rPr>
          <w:sz w:val="20"/>
        </w:rPr>
      </w:r>
      <w:r/>
    </w:p>
    <w:p>
      <w:pPr>
        <w:ind w:left="0" w:right="0" w:firstLine="0"/>
        <w:spacing w:after="0" w:before="0"/>
        <w:rPr>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highlight w:val="none"/>
        </w:rPr>
      </w:r>
      <w:r>
        <w:rPr>
          <w:rFonts w:ascii="Cambria" w:hAnsi="Cambria" w:cs="Cambria" w:eastAsia="Cambria"/>
          <w:color w:val="000000"/>
          <w:sz w:val="22"/>
          <w:highlight w:val="none"/>
        </w:rPr>
      </w:r>
      <w:r/>
    </w:p>
    <w:p>
      <w:pPr>
        <w:ind w:left="0" w:right="0" w:firstLine="0"/>
        <w:spacing w:after="0" w:before="0"/>
        <w:rPr>
          <w:rFonts w:ascii="Cambria" w:hAnsi="Cambria" w:cs="Cambria" w:eastAsia="Cambria"/>
          <w:color w:val="000000"/>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Important: votre inscription ne sera véritablement finalisée qu'après avoir déposé en ligne les pièces justificatives demandées. </w:t>
      </w:r>
      <w:r/>
    </w:p>
    <w:p>
      <w:pPr>
        <w:ind w:left="0" w:right="0" w:firstLine="0"/>
        <w:spacing w:after="0" w:before="0"/>
        <w:rPr>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br/>
        <w:t xml:space="preserve">Sans cette dernière étape, vous ne serez pas considéré comme inscrit-e à l'Université Savoie Mont Blanc.</w:t>
      </w:r>
      <w:r/>
    </w:p>
    <w:p>
      <w:pPr>
        <w:ind w:left="0" w:right="0" w:firstLine="0"/>
        <w:spacing w:after="0" w:before="0"/>
        <w:rPr>
          <w:highlight w:val="none"/>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Remarque : Vous pourrez déposer vos pièces justificatives en vous connectant ultérieurement au service numérique </w:t>
      </w:r>
      <w:r>
        <w:rPr>
          <w:rFonts w:ascii="Cambria" w:hAnsi="Cambria" w:cs="Cambria" w:eastAsia="Cambria"/>
          <w:b/>
          <w:color w:val="000000"/>
          <w:sz w:val="22"/>
        </w:rPr>
        <w:t xml:space="preserve">PJ Web </w:t>
      </w:r>
      <w:r>
        <w:rPr>
          <w:rFonts w:ascii="Cambria" w:hAnsi="Cambria" w:cs="Cambria" w:eastAsia="Cambria"/>
          <w:color w:val="000000"/>
          <w:sz w:val="22"/>
        </w:rPr>
        <w:t xml:space="preserve">via ce lien </w:t>
      </w:r>
      <w:hyperlink r:id="rId31" w:tooltip="https://pjweb-usmb.grenet.fr/pjweb-usmb/page/login.jsf" w:history="1">
        <w:r>
          <w:rPr>
            <w:rStyle w:val="812"/>
            <w:rFonts w:ascii="Cambria" w:hAnsi="Cambria" w:cs="Cambria" w:eastAsia="Cambria"/>
            <w:color w:val="005A95"/>
            <w:sz w:val="22"/>
            <w:u w:val="single"/>
          </w:rPr>
          <w:t xml:space="preserve">https://pjweb-usmb.grenet.fr/pjweb-usmb/page/login.jsf</w:t>
        </w:r>
      </w:hyperlink>
      <w:r/>
      <w:r/>
    </w:p>
    <w:p>
      <w:pPr>
        <w:ind w:left="0" w:right="0" w:firstLine="0"/>
        <w:spacing w:after="0" w:before="0"/>
        <w:rPr>
          <w:highlight w:val="none"/>
        </w:rPr>
        <w:pBdr>
          <w:left w:val="none" w:color="000000" w:sz="4" w:space="0"/>
          <w:top w:val="none" w:color="000000" w:sz="4" w:space="0"/>
          <w:right w:val="none" w:color="000000" w:sz="4" w:space="0"/>
          <w:bottom w:val="none" w:color="000000" w:sz="4" w:space="0"/>
        </w:pBdr>
      </w:pPr>
      <w:r>
        <w:rPr>
          <w:highlight w:val="none"/>
        </w:rPr>
      </w:r>
      <w:r>
        <w:rPr>
          <w:highlight w:val="none"/>
        </w:rPr>
      </w:r>
      <w:r/>
    </w:p>
    <w:p>
      <w:pPr>
        <w:ind w:left="0" w:right="0" w:firstLine="0"/>
        <w:spacing w:after="0" w:before="0"/>
        <w:rPr>
          <w:sz w:val="22"/>
        </w:rPr>
        <w:pBdr>
          <w:left w:val="none" w:color="000000" w:sz="4" w:space="0"/>
          <w:top w:val="none" w:color="000000" w:sz="4" w:space="0"/>
          <w:right w:val="none" w:color="000000" w:sz="4" w:space="0"/>
          <w:bottom w:val="none" w:color="000000" w:sz="4" w:space="0"/>
        </w:pBdr>
      </w:pPr>
      <w:r>
        <w:rPr>
          <w:highlight w:val="none"/>
        </w:rPr>
      </w:r>
      <w:r>
        <w:rPr>
          <w:highlight w:val="none"/>
        </w:rPr>
      </w:r>
      <w:r/>
    </w:p>
    <w:p>
      <w:pPr>
        <w:ind w:left="0" w:right="0" w:firstLine="0"/>
        <w:spacing w:after="160" w:before="0"/>
        <w:pBdr>
          <w:left w:val="none" w:color="000000" w:sz="4" w:space="0"/>
          <w:top w:val="none" w:color="000000" w:sz="4" w:space="0"/>
          <w:right w:val="none" w:color="000000" w:sz="4" w:space="0"/>
          <w:bottom w:val="none" w:color="000000" w:sz="4" w:space="0"/>
        </w:pBdr>
      </w:pPr>
      <w:r>
        <w:rPr>
          <w:rFonts w:ascii="Cambria" w:hAnsi="Cambria" w:cs="Cambria" w:eastAsia="Cambria"/>
          <w:b/>
          <w:color w:val="000000"/>
          <w:sz w:val="22"/>
        </w:rPr>
        <w:t xml:space="preserve">4)</w:t>
      </w:r>
      <w:r>
        <w:rPr>
          <w:rFonts w:ascii="Cambria" w:hAnsi="Cambria" w:cs="Cambria" w:eastAsia="Cambria"/>
          <w:color w:val="000000"/>
          <w:sz w:val="22"/>
        </w:rPr>
        <w:t xml:space="preserve"> Scolarité de site</w:t>
      </w:r>
      <w:r/>
    </w:p>
    <w:p>
      <w:pPr>
        <w:ind w:left="240" w:right="0" w:firstLine="0"/>
        <w:spacing w:after="160" w:before="0"/>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Après avoir procédé à votre inscription en ligne, et après avoir télé versé les pièces demandées, </w:t>
      </w:r>
      <w:r>
        <w:rPr>
          <w:rFonts w:ascii="Cambria" w:hAnsi="Cambria" w:cs="Cambria" w:eastAsia="Cambria"/>
          <w:b/>
          <w:color w:val="000000"/>
          <w:sz w:val="22"/>
        </w:rPr>
        <w:t xml:space="preserve">contacter votre scolarité de site par mail</w:t>
      </w:r>
      <w:r>
        <w:rPr>
          <w:rFonts w:ascii="Cambria" w:hAnsi="Cambria" w:cs="Cambria" w:eastAsia="Cambria"/>
          <w:color w:val="000000"/>
          <w:sz w:val="22"/>
        </w:rPr>
        <w:t xml:space="preserve"> : finaliser votre inscription afin que vous puissiez  récupérer votre carte d'étudiant et votre certificat de scolarité</w:t>
      </w:r>
      <w:r/>
    </w:p>
    <w:p>
      <w:pPr>
        <w:rPr>
          <w:highlight w:val="none"/>
        </w:rPr>
      </w:pPr>
      <w:r>
        <w:t xml:space="preserve">Une fois l’ensemble de ces démarches effectué vous serez invités à signer votre Contrat Doctoral </w:t>
      </w:r>
      <w:r>
        <w:t xml:space="preserve">qui sera transmis par le</w:t>
      </w:r>
      <w:r>
        <w:t xml:space="preserve"> service ressources humaines </w:t>
      </w:r>
      <w:r>
        <w:t xml:space="preserve">de l’Université au Gestionnaire du Laboratoire.</w:t>
      </w:r>
      <w:r/>
    </w:p>
    <w:p>
      <w:pPr>
        <w:rPr>
          <w:highlight w:val="none"/>
        </w:rPr>
      </w:pPr>
      <w:r>
        <w:rPr>
          <w:highlight w:val="none"/>
        </w:rPr>
      </w:r>
      <w:r>
        <w:rPr>
          <w:highlight w:val="none"/>
        </w:rPr>
      </w:r>
      <w:r/>
    </w:p>
    <w:p>
      <w:r/>
      <w:r/>
    </w:p>
    <w:p>
      <w:r/>
      <w:r/>
    </w:p>
    <w:p>
      <w:r/>
      <w:r/>
    </w:p>
    <w:p>
      <w:r>
        <mc:AlternateContent>
          <mc:Choice Requires="wpg">
            <w:drawing>
              <wp:anchor xmlns:wp="http://schemas.openxmlformats.org/drawingml/2006/wordprocessingDrawing" distT="0" distB="0" distL="114935" distR="114935" simplePos="0" relativeHeight="251667968" behindDoc="0" locked="0" layoutInCell="1" allowOverlap="1">
                <wp:simplePos x="0" y="0"/>
                <wp:positionH relativeFrom="column">
                  <wp:posOffset>4583430</wp:posOffset>
                </wp:positionH>
                <wp:positionV relativeFrom="paragraph">
                  <wp:posOffset>146050</wp:posOffset>
                </wp:positionV>
                <wp:extent cx="669290" cy="647700"/>
                <wp:effectExtent l="0" t="0" r="0" b="0"/>
                <wp:wrapSquare wrapText="bothSides"/>
                <wp:docPr id="11" name="Image 75"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0" name="Picture 75" hidden="0"/>
                        <pic:cNvPicPr>
                          <a:picLocks noChangeAspect="1"/>
                        </pic:cNvPicPr>
                        <pic:nvPr isPhoto="0" userDrawn="0"/>
                      </pic:nvPicPr>
                      <pic:blipFill>
                        <a:blip r:embed="rId32"/>
                        <a:stretch/>
                      </pic:blipFill>
                      <pic:spPr bwMode="auto">
                        <a:xfrm>
                          <a:off x="0" y="0"/>
                          <a:ext cx="669290" cy="6477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position:absolute;mso-wrap-distance-left:9.0pt;mso-wrap-distance-top:0.0pt;mso-wrap-distance-right:9.0pt;mso-wrap-distance-bottom:0.0pt;z-index:251667968;o:allowoverlap:true;o:allowincell:true;mso-position-horizontal-relative:text;margin-left:360.9pt;mso-position-horizontal:absolute;mso-position-vertical-relative:text;margin-top:11.5pt;mso-position-vertical:absolute;width:52.7pt;height:51.0pt;">
                <v:path textboxrect="0,0,0,0"/>
                <v:imagedata r:id="rId32" o:title=""/>
              </v:shape>
            </w:pict>
          </mc:Fallback>
        </mc:AlternateContent>
      </w:r>
      <w:r>
        <mc:AlternateContent>
          <mc:Choice Requires="wpg">
            <w:drawing>
              <wp:anchor xmlns:wp="http://schemas.openxmlformats.org/drawingml/2006/wordprocessingDrawing" distT="0" distB="0" distL="114935" distR="114935" simplePos="0" relativeHeight="251666944" behindDoc="0" locked="0" layoutInCell="1" allowOverlap="1">
                <wp:simplePos x="0" y="0"/>
                <wp:positionH relativeFrom="column">
                  <wp:posOffset>567055</wp:posOffset>
                </wp:positionH>
                <wp:positionV relativeFrom="paragraph">
                  <wp:posOffset>136525</wp:posOffset>
                </wp:positionV>
                <wp:extent cx="669290" cy="647700"/>
                <wp:effectExtent l="0" t="0" r="0" b="0"/>
                <wp:wrapSquare wrapText="bothSides"/>
                <wp:docPr id="12" name="Image 74"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1" name="Picture 74" hidden="0"/>
                        <pic:cNvPicPr>
                          <a:picLocks noChangeAspect="1"/>
                        </pic:cNvPicPr>
                        <pic:nvPr isPhoto="0" userDrawn="0"/>
                      </pic:nvPicPr>
                      <pic:blipFill>
                        <a:blip r:embed="rId32"/>
                        <a:stretch/>
                      </pic:blipFill>
                      <pic:spPr bwMode="auto">
                        <a:xfrm>
                          <a:off x="0" y="0"/>
                          <a:ext cx="669290" cy="6477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position:absolute;mso-wrap-distance-left:9.0pt;mso-wrap-distance-top:0.0pt;mso-wrap-distance-right:9.0pt;mso-wrap-distance-bottom:0.0pt;z-index:251666944;o:allowoverlap:true;o:allowincell:true;mso-position-horizontal-relative:text;margin-left:44.6pt;mso-position-horizontal:absolute;mso-position-vertical-relative:text;margin-top:10.8pt;mso-position-vertical:absolute;width:52.7pt;height:51.0pt;">
                <v:path textboxrect="0,0,0,0"/>
                <v:imagedata r:id="rId32" o:title=""/>
              </v:shape>
            </w:pict>
          </mc:Fallback>
        </mc:AlternateContent>
      </w:r>
      <w:r/>
    </w:p>
    <w:p>
      <w:pPr>
        <w:pStyle w:val="791"/>
      </w:pPr>
      <w:r/>
      <w:bookmarkStart w:id="74" w:name="_Toc367812157"/>
      <w:r/>
      <w:bookmarkStart w:id="75" w:name="_Toc92377745"/>
      <w:r>
        <w:t xml:space="preserve">Etudiants</w:t>
      </w:r>
      <w:r>
        <w:t xml:space="preserve"> </w:t>
      </w:r>
      <w:r>
        <w:t xml:space="preserve">Etrangers</w:t>
      </w:r>
      <w:bookmarkEnd w:id="74"/>
      <w:r/>
      <w:bookmarkEnd w:id="75"/>
      <w:r/>
      <w:r/>
    </w:p>
    <w:p>
      <w:r/>
      <w:r/>
    </w:p>
    <w:p>
      <w:pPr>
        <w:pStyle w:val="859"/>
        <w:numPr>
          <w:ilvl w:val="0"/>
          <w:numId w:val="0"/>
        </w:numPr>
        <w:ind w:left="720" w:firstLine="0"/>
      </w:pPr>
      <w:r/>
      <w:r/>
    </w:p>
    <w:p>
      <w:pPr>
        <w:pStyle w:val="859"/>
        <w:numPr>
          <w:ilvl w:val="0"/>
          <w:numId w:val="25"/>
        </w:numPr>
      </w:pPr>
      <w:r>
        <w:t xml:space="preserve">Pour les étudiants hors Union Européenne : d</w:t>
      </w:r>
      <w:r>
        <w:t xml:space="preserve">ès votre arrivée en Fran</w:t>
      </w:r>
      <w:r>
        <w:t xml:space="preserve">c</w:t>
      </w:r>
      <w:r>
        <w:t xml:space="preserve">e, rendez-vous auprès de la Ma</w:t>
      </w:r>
      <w:r>
        <w:t xml:space="preserve">i</w:t>
      </w:r>
      <w:r>
        <w:t xml:space="preserve">rie du Bourget-du-Lac muni des documents suivants pour faire votre demande de Titre de Séjour Scientifique : </w:t>
      </w:r>
      <w:r>
        <w:rPr>
          <w:highlight w:val="none"/>
        </w:rPr>
      </w:r>
      <w:r/>
    </w:p>
    <w:p>
      <w:pPr>
        <w:pStyle w:val="838"/>
      </w:pPr>
      <w:r>
        <w:t xml:space="preserve">Convention d’accueil dans le laboratoire</w:t>
      </w:r>
      <w:r/>
    </w:p>
    <w:p>
      <w:pPr>
        <w:pStyle w:val="838"/>
      </w:pPr>
      <w:r>
        <w:t xml:space="preserve">Passeport avec le visa français</w:t>
      </w:r>
      <w:r>
        <w:t xml:space="preserve"> </w:t>
      </w:r>
      <w:r/>
    </w:p>
    <w:p>
      <w:pPr>
        <w:pStyle w:val="838"/>
        <w:rPr>
          <w:highlight w:val="none"/>
        </w:rPr>
      </w:pPr>
      <w:r>
        <w:t xml:space="preserve">Photographie d’identité</w:t>
      </w:r>
      <w:r>
        <w:rPr>
          <w:highlight w:val="none"/>
        </w:rPr>
      </w:r>
      <w:r/>
    </w:p>
    <w:p>
      <w:pPr>
        <w:rPr>
          <w:highlight w:val="none"/>
        </w:rPr>
      </w:pPr>
      <w:r>
        <w:t xml:space="preserve">Il est possible que la mairie vous réclame d’autres documents pour compléter votre dossier. Le délai pour obtenir le Récépissé de Titre de Séjour est généralement de 3 à 4 semaines.</w:t>
      </w:r>
      <w:r>
        <w:rPr>
          <w:highlight w:val="none"/>
        </w:rPr>
      </w:r>
      <w:r/>
    </w:p>
    <w:p>
      <w:pPr>
        <w:rPr>
          <w:highlight w:val="none"/>
        </w:rPr>
      </w:pPr>
      <w:r>
        <w:t xml:space="preserve">Réalisez ensuite la procédure d’inscription pédagogique et administrative comme pour les étudiants français (voir plus haut)</w:t>
      </w:r>
      <w:r>
        <w:rPr>
          <w:highlight w:val="none"/>
        </w:rPr>
      </w:r>
      <w:r/>
    </w:p>
    <w:p>
      <w:pPr>
        <w:pStyle w:val="859"/>
      </w:pPr>
      <w:r>
        <w:t xml:space="preserve">Pour les étudiants hors Union Européenne, r</w:t>
      </w:r>
      <w:r>
        <w:t xml:space="preserve">endez-vous à la mairie avec votre certificat de scolarité pour retirer le Récépissé de Titre de Séjour. C’est un document provisoire en attendant que vous soit remis votre Titre de</w:t>
      </w:r>
      <w:r>
        <w:t xml:space="preserve"> Séjour Scientifique définitif.</w:t>
      </w:r>
      <w:r/>
    </w:p>
    <w:p>
      <w:pPr>
        <w:pStyle w:val="859"/>
        <w:numPr>
          <w:ilvl w:val="0"/>
          <w:numId w:val="0"/>
        </w:numPr>
        <w:ind w:left="720" w:firstLine="0"/>
      </w:pPr>
      <w:r>
        <w:rPr>
          <w:highlight w:val="none"/>
        </w:rPr>
      </w:r>
      <w:r>
        <w:rPr>
          <w:highlight w:val="none"/>
        </w:rPr>
      </w:r>
      <w:r/>
    </w:p>
    <w:p>
      <w:pPr>
        <w:pStyle w:val="859"/>
      </w:pPr>
      <w:r>
        <w:t xml:space="preserve">Transmettre copie de votre récépissé au gestionnaire du laboratoire, qui le fera suivre au service ressources humaines de l’Université, pour la préparation du contrat doctoral.</w:t>
      </w:r>
      <w:r/>
    </w:p>
    <w:p>
      <w:pPr>
        <w:pStyle w:val="859"/>
        <w:numPr>
          <w:ilvl w:val="0"/>
          <w:numId w:val="0"/>
        </w:numPr>
        <w:ind w:left="720" w:firstLine="0"/>
      </w:pPr>
      <w:r>
        <w:rPr>
          <w:highlight w:val="none"/>
        </w:rPr>
      </w:r>
      <w:r>
        <w:rPr>
          <w:highlight w:val="none"/>
        </w:rPr>
      </w:r>
      <w:r/>
    </w:p>
    <w:p>
      <w:pPr>
        <w:pStyle w:val="859"/>
      </w:pPr>
      <w:r>
        <w:t xml:space="preserve">Rendez-vous </w:t>
      </w:r>
      <w:r>
        <w:t xml:space="preserve">auprès du gestionnaire du laboratoire</w:t>
      </w:r>
      <w:r>
        <w:t xml:space="preserve"> pour si</w:t>
      </w:r>
      <w:r>
        <w:t xml:space="preserve">gner votre Contrat Doctoral. </w:t>
      </w:r>
      <w:r>
        <w:rPr>
          <w:rStyle w:val="817"/>
        </w:rPr>
        <w:t xml:space="preserve">Seule la signature de ce contrat vous permettra de percevoir un salaire et bénéficier de la sécurité sociale.</w:t>
      </w:r>
      <w:r/>
    </w:p>
    <w:p>
      <w:pPr>
        <w:pStyle w:val="859"/>
        <w:numPr>
          <w:ilvl w:val="0"/>
          <w:numId w:val="0"/>
        </w:numPr>
        <w:ind w:left="720" w:firstLine="0"/>
      </w:pPr>
      <w:r>
        <w:rPr>
          <w:rStyle w:val="817"/>
          <w:highlight w:val="none"/>
        </w:rPr>
      </w:r>
      <w:r>
        <w:rPr>
          <w:rStyle w:val="817"/>
          <w:highlight w:val="none"/>
        </w:rPr>
      </w:r>
      <w:r/>
    </w:p>
    <w:p>
      <w:pPr>
        <w:pStyle w:val="859"/>
      </w:pPr>
      <w:r>
        <w:t xml:space="preserve">Pour finaliser l’obtention de votre Titre de Séjour</w:t>
      </w:r>
      <w:r>
        <w:t xml:space="preserve"> pour les étudiants hors Union Européenne</w:t>
      </w:r>
      <w:r>
        <w:t xml:space="preserve">, vous recevrez par courrier de la Préfecture de Savoie une convocation à une visite médicale à Grenoble. Il vous sera également demandé l’achat d’un timbre fiscal (</w:t>
      </w:r>
      <w:r>
        <w:rPr>
          <w:rStyle w:val="815"/>
        </w:rPr>
        <w:t xml:space="preserve">env. 300€, tarif dépendant de votre pays d’origine</w:t>
      </w:r>
      <w:r>
        <w:t xml:space="preserve">) pour obtenir votre Titre de Séjour Scientifique valable 1 an à partir de la date d’entrée sur le territoire français.</w:t>
      </w:r>
      <w:r/>
    </w:p>
    <w:p>
      <w:pPr>
        <w:pStyle w:val="859"/>
        <w:numPr>
          <w:ilvl w:val="0"/>
          <w:numId w:val="0"/>
        </w:numPr>
        <w:ind w:left="720" w:firstLine="0"/>
      </w:pPr>
      <w:r>
        <w:rPr>
          <w:highlight w:val="none"/>
        </w:rPr>
      </w:r>
      <w:r>
        <w:rPr>
          <w:highlight w:val="none"/>
        </w:rPr>
      </w:r>
      <w:r/>
    </w:p>
    <w:p>
      <w:pPr>
        <w:pStyle w:val="859"/>
      </w:pPr>
      <w:r>
        <w:t xml:space="preserve">Vous recevre</w:t>
      </w:r>
      <w:r>
        <w:t xml:space="preserve">z</w:t>
      </w:r>
      <w:r>
        <w:t xml:space="preserve"> également par courrier une attestation de Sécurité Sociale par la MGEN à remettre à la Scolarité. Pour compléter votre couverture santé, il est conseillé de souscrire à un contrat </w:t>
      </w:r>
      <w:r>
        <w:t xml:space="preserve">de </w:t>
      </w:r>
      <w:r>
        <w:t xml:space="preserve">complémentaire santé </w:t>
      </w:r>
      <w:r>
        <w:t xml:space="preserve">(LMDE, SMERRA, MGEN ou autre assureur)</w:t>
      </w:r>
      <w:r>
        <w:t xml:space="preserve">(voir </w:t>
      </w:r>
      <w:r>
        <w:fldChar w:fldCharType="begin"/>
      </w:r>
      <w:r>
        <w:instrText xml:space="preserve"> REF _Ref369705275 \p \h </w:instrText>
      </w:r>
      <w:r>
        <w:fldChar w:fldCharType="separate"/>
      </w:r>
      <w:r>
        <w:t xml:space="preserve">ci-dessous</w:t>
      </w:r>
      <w:r>
        <w:fldChar w:fldCharType="end"/>
      </w:r>
      <w:r>
        <w:t xml:space="preserve">)</w:t>
      </w:r>
      <w:r/>
    </w:p>
    <w:p>
      <w:pPr>
        <w:pStyle w:val="859"/>
        <w:numPr>
          <w:ilvl w:val="0"/>
          <w:numId w:val="0"/>
        </w:numPr>
      </w:pPr>
      <w:r>
        <w:rPr>
          <w:highlight w:val="none"/>
        </w:rPr>
      </w:r>
      <w:r>
        <w:rPr>
          <w:highlight w:val="none"/>
        </w:rPr>
      </w:r>
      <w:r/>
    </w:p>
    <w:p>
      <w:pPr>
        <w:pStyle w:val="859"/>
        <w:numPr>
          <w:ilvl w:val="0"/>
          <w:numId w:val="0"/>
        </w:numPr>
      </w:pPr>
      <w:r/>
      <w:r/>
    </w:p>
    <w:p>
      <w:pPr>
        <w:pStyle w:val="859"/>
        <w:numPr>
          <w:ilvl w:val="0"/>
          <w:numId w:val="0"/>
        </w:numPr>
      </w:pPr>
      <w:r/>
      <w:r/>
    </w:p>
    <w:p>
      <w:pPr>
        <w:pStyle w:val="859"/>
        <w:numPr>
          <w:ilvl w:val="0"/>
          <w:numId w:val="0"/>
        </w:numPr>
      </w:pPr>
      <w:r/>
      <w:r/>
    </w:p>
    <w:p>
      <w:pPr>
        <w:pStyle w:val="859"/>
        <w:numPr>
          <w:ilvl w:val="0"/>
          <w:numId w:val="0"/>
        </w:numPr>
      </w:pPr>
      <w:r/>
      <w:r/>
    </w:p>
    <w:p>
      <w:pPr>
        <w:pStyle w:val="859"/>
        <w:numPr>
          <w:ilvl w:val="0"/>
          <w:numId w:val="0"/>
        </w:numPr>
      </w:pPr>
      <w:r/>
      <w:r/>
    </w:p>
    <w:p>
      <w:pPr>
        <w:pStyle w:val="859"/>
        <w:numPr>
          <w:ilvl w:val="0"/>
          <w:numId w:val="0"/>
        </w:numPr>
      </w:pPr>
      <w:r/>
      <w:r/>
    </w:p>
    <w:p>
      <w:pPr>
        <w:pStyle w:val="859"/>
        <w:numPr>
          <w:ilvl w:val="0"/>
          <w:numId w:val="0"/>
        </w:numPr>
      </w:pPr>
      <w:r/>
      <w:r/>
    </w:p>
    <w:p>
      <w:pPr>
        <w:pStyle w:val="859"/>
        <w:numPr>
          <w:ilvl w:val="0"/>
          <w:numId w:val="0"/>
        </w:numPr>
      </w:pPr>
      <w:r/>
      <w:r/>
    </w:p>
    <w:p>
      <w:pPr>
        <w:pStyle w:val="859"/>
        <w:numPr>
          <w:ilvl w:val="0"/>
          <w:numId w:val="0"/>
        </w:numPr>
      </w:pPr>
      <w:r/>
      <w:r/>
    </w:p>
    <w:p>
      <w:pPr>
        <w:pStyle w:val="859"/>
        <w:numPr>
          <w:ilvl w:val="0"/>
          <w:numId w:val="0"/>
        </w:numPr>
      </w:pPr>
      <w:r/>
      <w:r/>
    </w:p>
    <w:p>
      <w:pPr>
        <w:pStyle w:val="859"/>
        <w:numPr>
          <w:ilvl w:val="0"/>
          <w:numId w:val="0"/>
        </w:numPr>
      </w:pPr>
      <w:r/>
      <w:r/>
    </w:p>
    <w:p>
      <w:pPr>
        <w:pStyle w:val="859"/>
        <w:numPr>
          <w:ilvl w:val="0"/>
          <w:numId w:val="0"/>
        </w:numPr>
      </w:pPr>
      <w:r/>
      <w:r/>
    </w:p>
    <w:p>
      <w:pPr>
        <w:pStyle w:val="791"/>
      </w:pPr>
      <w:r/>
      <w:bookmarkStart w:id="77" w:name="_Ref367803623"/>
      <w:r/>
      <w:bookmarkStart w:id="78" w:name="_Toc367812158"/>
      <w:r/>
      <w:bookmarkStart w:id="79" w:name="_Ref369705275"/>
      <w:r/>
      <w:bookmarkStart w:id="80" w:name="_Toc92377747"/>
      <w:r>
        <w:t xml:space="preserve">S</w:t>
      </w:r>
      <w:r>
        <w:t xml:space="preserve">é</w:t>
      </w:r>
      <w:r>
        <w:t xml:space="preserve">curit</w:t>
      </w:r>
      <w:r>
        <w:t xml:space="preserve">é</w:t>
      </w:r>
      <w:r>
        <w:t xml:space="preserve"> sociale</w:t>
      </w:r>
      <w:bookmarkEnd w:id="77"/>
      <w:r/>
      <w:bookmarkEnd w:id="78"/>
      <w:r/>
      <w:bookmarkEnd w:id="79"/>
      <w:r/>
      <w:bookmarkEnd w:id="80"/>
      <w:r/>
      <w:r/>
    </w:p>
    <w:p>
      <w:r/>
      <w:r/>
    </w:p>
    <w:p>
      <w:r/>
      <w:r/>
    </w:p>
    <w:p>
      <w:r/>
      <w:r/>
    </w:p>
    <w:p>
      <w:r>
        <w:t xml:space="preserve">Toute personne qui travaille et réside en France est obligatoirement affiliée au régime de Sécurité sociale dont elle relève</w:t>
      </w:r>
      <w:r>
        <w:t xml:space="preserve">.</w:t>
      </w:r>
      <w:r>
        <w:t xml:space="preserve"> Comme l’admission </w:t>
      </w:r>
      <w:r>
        <w:t xml:space="preserve">en 1</w:t>
      </w:r>
      <w:r>
        <w:t xml:space="preserve">ère</w:t>
      </w:r>
      <w:r>
        <w:t xml:space="preserve"> année de thèse </w:t>
      </w:r>
      <w:r>
        <w:t xml:space="preserve">ne peut se faire sans la justification d’un financement</w:t>
      </w:r>
      <w:r>
        <w:t xml:space="preserve"> (volonté des écoles doctorales)</w:t>
      </w:r>
      <w:r>
        <w:t xml:space="preserve">, l</w:t>
      </w:r>
      <w:r>
        <w:t xml:space="preserve">’inscription </w:t>
      </w:r>
      <w:r>
        <w:t xml:space="preserve">s</w:t>
      </w:r>
      <w:r>
        <w:t xml:space="preserve">’accompagne </w:t>
      </w:r>
      <w:r>
        <w:t xml:space="preserve">généralement </w:t>
      </w:r>
      <w:r>
        <w:t xml:space="preserve">d’un contrat de travail</w:t>
      </w:r>
      <w:r>
        <w:t xml:space="preserve"> et donne </w:t>
      </w:r>
      <w:r>
        <w:t xml:space="preserve">ainsi</w:t>
      </w:r>
      <w:r>
        <w:t xml:space="preserve"> le statut de salarié. </w:t>
      </w:r>
      <w:r>
        <w:t xml:space="preserve">Dans la plupart des cas, c</w:t>
      </w:r>
      <w:r>
        <w:t xml:space="preserve">ela </w:t>
      </w:r>
      <w:r>
        <w:t xml:space="preserve">marque le passage du régime étudiant au régime général.</w:t>
      </w:r>
      <w:r/>
    </w:p>
    <w:p>
      <w:pPr>
        <w:pStyle w:val="865"/>
      </w:pPr>
      <w:r>
        <w:t xml:space="preserve">L</w:t>
      </w:r>
      <w:r>
        <w:t xml:space="preserve">es </w:t>
      </w:r>
      <w:r>
        <w:t xml:space="preserve">doctorants </w:t>
      </w:r>
      <w:r>
        <w:t xml:space="preserve">signant un </w:t>
      </w:r>
      <w:r>
        <w:t xml:space="preserve">contrat doctoral</w:t>
      </w:r>
      <w:r>
        <w:t xml:space="preserve"> (cas général)</w:t>
      </w:r>
      <w:r>
        <w:t xml:space="preserve"> </w:t>
      </w:r>
      <w:r>
        <w:t xml:space="preserve">obtiennent </w:t>
      </w:r>
      <w:r>
        <w:t xml:space="preserve">le statut d’agent contractuel non-titulaire</w:t>
      </w:r>
      <w:r>
        <w:t xml:space="preserve"> de </w:t>
      </w:r>
      <w:r>
        <w:t xml:space="preserve">droit public de l’État</w:t>
      </w:r>
      <w:r>
        <w:t xml:space="preserve">, votre employeur est une université ou un EPST (E</w:t>
      </w:r>
      <w:r>
        <w:t xml:space="preserve">tablissement </w:t>
      </w:r>
      <w:r>
        <w:t xml:space="preserve">P</w:t>
      </w:r>
      <w:r>
        <w:t xml:space="preserve">ublic à caractère </w:t>
      </w:r>
      <w:r>
        <w:t xml:space="preserve">S</w:t>
      </w:r>
      <w:r>
        <w:t xml:space="preserve">cientifique et </w:t>
      </w:r>
      <w:r>
        <w:t xml:space="preserve">T</w:t>
      </w:r>
      <w:r>
        <w:t xml:space="preserve">echnologique</w:t>
      </w:r>
      <w:r>
        <w:t xml:space="preserve">, ex : CNRS).</w:t>
      </w:r>
      <w:r>
        <w:t xml:space="preserve"> </w:t>
      </w:r>
      <w:r>
        <w:t xml:space="preserve">I</w:t>
      </w:r>
      <w:r>
        <w:t xml:space="preserve">l </w:t>
      </w:r>
      <w:r>
        <w:t xml:space="preserve">vous</w:t>
      </w:r>
      <w:r>
        <w:t xml:space="preserve"> faut </w:t>
      </w:r>
      <w:r>
        <w:t xml:space="preserve">souscri</w:t>
      </w:r>
      <w:r>
        <w:t xml:space="preserve">re</w:t>
      </w:r>
      <w:r>
        <w:t xml:space="preserve"> à la </w:t>
      </w:r>
      <w:r>
        <w:rPr>
          <w:rStyle w:val="817"/>
        </w:rPr>
        <w:t xml:space="preserve">M</w:t>
      </w:r>
      <w:r>
        <w:t xml:space="preserve">utuelle </w:t>
      </w:r>
      <w:r>
        <w:rPr>
          <w:rStyle w:val="817"/>
        </w:rPr>
        <w:t xml:space="preserve">G</w:t>
      </w:r>
      <w:r>
        <w:t xml:space="preserve">énérale de l'</w:t>
      </w:r>
      <w:r>
        <w:rPr>
          <w:rStyle w:val="817"/>
        </w:rPr>
        <w:t xml:space="preserve">E</w:t>
      </w:r>
      <w:r>
        <w:t xml:space="preserve">ducation </w:t>
      </w:r>
      <w:r>
        <w:rPr>
          <w:rStyle w:val="817"/>
        </w:rPr>
        <w:t xml:space="preserve">N</w:t>
      </w:r>
      <w:r>
        <w:t xml:space="preserve">ationale (</w:t>
      </w:r>
      <w:r>
        <w:rPr>
          <w:rStyle w:val="817"/>
        </w:rPr>
        <w:t xml:space="preserve">MGEN</w:t>
      </w:r>
      <w:r>
        <w:t xml:space="preserve">). </w:t>
      </w:r>
      <w:r/>
    </w:p>
    <w:p>
      <w:pPr>
        <w:pStyle w:val="865"/>
        <w:numPr>
          <w:ilvl w:val="0"/>
          <w:numId w:val="0"/>
        </w:numPr>
        <w:ind w:left="584" w:firstLine="0"/>
      </w:pPr>
      <w:r>
        <w:rPr>
          <w:highlight w:val="none"/>
        </w:rPr>
      </w:r>
      <w:r>
        <w:rPr>
          <w:highlight w:val="none"/>
        </w:rPr>
      </w:r>
      <w:r/>
    </w:p>
    <w:p>
      <w:pPr>
        <w:pStyle w:val="865"/>
      </w:pPr>
      <w:r>
        <w:t xml:space="preserve">Les doctorants </w:t>
      </w:r>
      <w:r>
        <w:t xml:space="preserve">CIFRE,</w:t>
      </w:r>
      <w:r>
        <w:t xml:space="preserve"> </w:t>
      </w:r>
      <w:r>
        <w:t xml:space="preserve">doivent</w:t>
      </w:r>
      <w:r>
        <w:t xml:space="preserve"> se </w:t>
      </w:r>
      <w:r>
        <w:t xml:space="preserve">renseigner </w:t>
      </w:r>
      <w:r>
        <w:t xml:space="preserve">auprès de l’entreprise ou l</w:t>
      </w:r>
      <w:r>
        <w:t xml:space="preserve">’établissement</w:t>
      </w:r>
      <w:r>
        <w:t xml:space="preserve"> qui les emploi</w:t>
      </w:r>
      <w:r>
        <w:t xml:space="preserve">e</w:t>
      </w:r>
      <w:r>
        <w:t xml:space="preserve">.</w:t>
      </w:r>
      <w:r>
        <w:t xml:space="preserve"> La caisse d’assurance maladie qui vous prendra en charge va dépendre du statut et de l’activité de l’employeur.</w:t>
      </w:r>
      <w:r/>
    </w:p>
    <w:p>
      <w:pPr>
        <w:pStyle w:val="865"/>
      </w:pPr>
      <w:r>
        <w:t xml:space="preserve">Les doctorants </w:t>
      </w:r>
      <w:r>
        <w:t xml:space="preserve">ay</w:t>
      </w:r>
      <w:r>
        <w:t xml:space="preserve">ant un financement particulier</w:t>
      </w:r>
      <w:r>
        <w:t xml:space="preserve"> doivent </w:t>
      </w:r>
      <w:r>
        <w:t xml:space="preserve">souscri</w:t>
      </w:r>
      <w:r>
        <w:t xml:space="preserve">re</w:t>
      </w:r>
      <w:r>
        <w:t xml:space="preserve"> leur assurance auprès des </w:t>
      </w:r>
      <w:r>
        <w:t xml:space="preserve">mutuelles </w:t>
      </w:r>
      <w:r>
        <w:t xml:space="preserve">étudiantes (des stands </w:t>
      </w:r>
      <w:r>
        <w:rPr>
          <w:rStyle w:val="817"/>
        </w:rPr>
        <w:t xml:space="preserve">LMDE</w:t>
      </w:r>
      <w:r>
        <w:t xml:space="preserve"> et </w:t>
      </w:r>
      <w:r>
        <w:rPr>
          <w:rStyle w:val="817"/>
        </w:rPr>
        <w:t xml:space="preserve">SMERRA</w:t>
      </w:r>
      <w:r>
        <w:t xml:space="preserve"> sont présents en début d’année</w:t>
      </w:r>
      <w:r>
        <w:t xml:space="preserve">) </w:t>
      </w:r>
      <w:r>
        <w:t xml:space="preserve">à moins qu</w:t>
      </w:r>
      <w:r>
        <w:t xml:space="preserve">’ils </w:t>
      </w:r>
      <w:r>
        <w:t xml:space="preserve">puissent justifier d’une </w:t>
      </w:r>
      <w:r>
        <w:t xml:space="preserve">assurance</w:t>
      </w:r>
      <w:r>
        <w:t xml:space="preserve"> privée dans </w:t>
      </w:r>
      <w:r>
        <w:t xml:space="preserve">un autre</w:t>
      </w:r>
      <w:r>
        <w:t xml:space="preserve"> pays</w:t>
      </w:r>
      <w:r>
        <w:t xml:space="preserve">.</w:t>
      </w:r>
      <w:r/>
    </w:p>
    <w:p>
      <w:pPr>
        <w:pStyle w:val="865"/>
        <w:numPr>
          <w:ilvl w:val="0"/>
          <w:numId w:val="0"/>
        </w:numPr>
        <w:ind w:left="584"/>
      </w:pPr>
      <w:r/>
      <w:r/>
    </w:p>
    <w:p>
      <w:pPr>
        <w:rPr>
          <w:highlight w:val="none"/>
        </w:rPr>
      </w:pPr>
      <w:r>
        <w:rPr>
          <w:rStyle w:val="817"/>
        </w:rPr>
        <w:t xml:space="preserve">Attention</w:t>
      </w:r>
      <w:r>
        <w:rPr>
          <w:rStyle w:val="817"/>
        </w:rPr>
        <w:t xml:space="preserve"> :</w:t>
      </w:r>
      <w:r>
        <w:t xml:space="preserve"> certaines caisses (</w:t>
      </w:r>
      <w:r>
        <w:t xml:space="preserve">comme la MGEN</w:t>
      </w:r>
      <w:r>
        <w:t xml:space="preserve">,</w:t>
      </w:r>
      <w:r>
        <w:t xml:space="preserve"> LMDE</w:t>
      </w:r>
      <w:r>
        <w:t xml:space="preserve">,</w:t>
      </w:r>
      <w:r>
        <w:t xml:space="preserve"> SMERRA</w:t>
      </w:r>
      <w:r>
        <w:t xml:space="preserve">, etc…)</w:t>
      </w:r>
      <w:r>
        <w:t xml:space="preserve"> proposent </w:t>
      </w:r>
      <w:r>
        <w:rPr>
          <w:rStyle w:val="817"/>
        </w:rPr>
        <w:t xml:space="preserve">sécurité social</w:t>
      </w:r>
      <w:r>
        <w:rPr>
          <w:rStyle w:val="817"/>
        </w:rPr>
        <w:t xml:space="preserve">e</w:t>
      </w:r>
      <w:r>
        <w:t xml:space="preserve"> et </w:t>
      </w:r>
      <w:r>
        <w:rPr>
          <w:rStyle w:val="817"/>
        </w:rPr>
        <w:t xml:space="preserve">complémentaire santé</w:t>
      </w:r>
      <w:r>
        <w:t xml:space="preserve">. </w:t>
      </w:r>
      <w:r>
        <w:t xml:space="preserve">Il ne faut pas confondre ces deux assurances, si la première</w:t>
      </w:r>
      <w:r>
        <w:t xml:space="preserve"> est obligatoire l’autre est optionnelle</w:t>
      </w:r>
      <w:r>
        <w:t xml:space="preserve"> et peut être souscrite </w:t>
      </w:r>
      <w:r>
        <w:t xml:space="preserve">n’importe où</w:t>
      </w:r>
      <w:r>
        <w:t xml:space="preserve">.</w:t>
      </w:r>
      <w:r>
        <w:t xml:space="preserve"> Généralement plusieurs niveaux de garanties sont proposés.</w:t>
      </w:r>
      <w:r/>
    </w:p>
    <w:p>
      <w:r>
        <w:rPr>
          <w:highlight w:val="none"/>
        </w:rPr>
      </w:r>
      <w:r>
        <w:rPr>
          <w:highlight w:val="none"/>
        </w:rPr>
      </w:r>
      <w:r/>
    </w:p>
    <w:p>
      <w:r/>
      <w:r/>
    </w:p>
    <w:p>
      <w:r/>
      <w:r/>
    </w:p>
    <w:p>
      <w:r/>
      <w:r/>
    </w:p>
    <w:p>
      <w:r/>
      <w:r/>
    </w:p>
    <w:p>
      <w:r/>
      <w:r/>
    </w:p>
    <w:p>
      <w:r/>
      <w:r/>
    </w:p>
    <w:p>
      <w:r/>
      <w:r/>
    </w:p>
    <w:p>
      <w:r/>
      <w:r/>
    </w:p>
    <w:p>
      <w:r/>
      <w:r/>
    </w:p>
    <w:p>
      <w:r/>
      <w:r/>
    </w:p>
    <w:p>
      <w:r/>
      <w:r/>
    </w:p>
    <w:p>
      <w:r/>
      <w:r/>
    </w:p>
    <w:p>
      <w:pPr>
        <w:pStyle w:val="791"/>
      </w:pPr>
      <w:r/>
      <w:bookmarkStart w:id="76" w:name="_Toc92377746"/>
      <w:r>
        <w:t xml:space="preserve">Direction et Suivi</w:t>
      </w:r>
      <w:r>
        <w:t xml:space="preserve"> de la thèse</w:t>
      </w:r>
      <w:bookmarkEnd w:id="76"/>
      <w:r/>
      <w:r/>
    </w:p>
    <w:p>
      <w:r/>
      <w:r/>
    </w:p>
    <w:p>
      <w:r>
        <w:t xml:space="preserve">La préparation d’une thèse repose sur l’accord librement conclu entre le doctorant et le </w:t>
      </w:r>
      <w:r>
        <w:rPr>
          <w:b/>
        </w:rPr>
        <w:t xml:space="preserve">directeur de thèse</w:t>
      </w:r>
      <w:r>
        <w:t xml:space="preserve">. Cet accord porte sur le choix du sujet et sur les conditions de travail nécessaires à l’avancement de la recherche. Le directeur de thèse et le doctorant ont donc conjointement des droits et des devoirs d’un haut niveau d’exigence. </w:t>
      </w:r>
      <w:r>
        <w:t xml:space="preserve">Le directeur de thèse est responsable de l’encadrement du doctorant pour la durée de la thèse. Il devra être reconnu par </w:t>
      </w:r>
      <w:r>
        <w:t xml:space="preserve">ses</w:t>
      </w:r>
      <w:r>
        <w:t xml:space="preserve"> compétences dans un champ de recherches comme «</w:t>
      </w:r>
      <w:r>
        <w:t xml:space="preserve"> </w:t>
      </w:r>
      <w:r>
        <w:t xml:space="preserve">Habilité à Diriger des Recherche</w:t>
      </w:r>
      <w:r>
        <w:t xml:space="preserve">s </w:t>
      </w:r>
      <w:r>
        <w:t xml:space="preserve">» et s’engage à consacrer une  part significative</w:t>
      </w:r>
      <w:r>
        <w:t xml:space="preserve"> de son temps à guider le doctorant dont il a la charge et à organiser des rencontres régulières tout au long de la thèse, pour lui permettre d’assurer une démarche novatrice dans un contexte scientifique actualisé et de développer son projet professionnel</w:t>
      </w:r>
      <w:r>
        <w:t xml:space="preserve">.</w:t>
      </w:r>
      <w:r/>
    </w:p>
    <w:p>
      <w:r>
        <w:t xml:space="preserve">L'encadrement d'une thèse peut être éventuellement assuré conjointement par deux directeurs de thès</w:t>
      </w:r>
      <w:r>
        <w:t xml:space="preserve">e. Cette possibilité d’un co-encadrement qui conduit à la préparation d’une thèse au sein de deux équipes nécessite une étroite concertation entre les deux directeurs de thèse afin de préserver l’homogénéité du travail et la cohérence du suivi du doctorant</w:t>
      </w:r>
      <w:r/>
    </w:p>
    <w:p>
      <w:pPr>
        <w:rPr>
          <w:highlight w:val="none"/>
        </w:rPr>
      </w:pPr>
      <w:r>
        <w:t xml:space="preserve">Le laboratoire a décidé de mettre systématiquement en place à la demande de l’école doctorale SIE dont il dépend</w:t>
      </w:r>
      <w:r>
        <w:t xml:space="preserve">,</w:t>
      </w:r>
      <w:r>
        <w:t xml:space="preserve"> </w:t>
      </w:r>
      <w:r>
        <w:rPr>
          <w:b/>
        </w:rPr>
        <w:t xml:space="preserve">des comités de suivi de thèse</w:t>
      </w:r>
      <w:r>
        <w:t xml:space="preserve">. Le comité de thèse, désigné par le directeur de thèse, est composé du directeur de thèse, des co-encadrant(s), et au minimum d’un HDR </w:t>
      </w:r>
      <w:r>
        <w:t xml:space="preserve">extérieur au laboratoire dont la spécialité est voisine des travaux du doctorant. La composition du comité de thèse peut évoluer au cours de l'avancement de la thèse. Les frais resteront à la charge de l’équipe d’accueil du doctorant ; </w:t>
      </w:r>
      <w:r>
        <w:t xml:space="preserve">la composition </w:t>
      </w:r>
      <w:r>
        <w:t xml:space="preserve">du comité de thèse </w:t>
      </w:r>
      <w:r>
        <w:t xml:space="preserve">doit être transmise au gestionnaire du laboratoire avant la réinscription en deuxième année de thèse. Il appartiendra au directeur de thèse, pour chacun des étudiants dont il assure l’encadrement, de programmer deux réunions du comité de thèse</w:t>
      </w:r>
      <w:r>
        <w:t xml:space="preserve"> </w:t>
      </w:r>
      <w:r>
        <w:t xml:space="preserve">: la première en fin de première année de thèse, centrée sur le positionnement scientifique au regard du rapport à 9 mois fourni par l'étudiant. La seconde en</w:t>
      </w:r>
      <w:r>
        <w:t xml:space="preserve"> fin de 2ème année de thèse,</w:t>
      </w:r>
      <w:r>
        <w:t xml:space="preserve"> sur l'avancé</w:t>
      </w:r>
      <w:r>
        <w:t xml:space="preserve">e</w:t>
      </w:r>
      <w:r>
        <w:t xml:space="preserve"> du travail et l’échéancier de fin de thèse. Un CR sera rédigé à l'issue des réunions et transmis à la direction du laboratoire. En cas de problème financier pour la tenue des réunions, une demande d’aide sera transmise à la direction du laboratoire.</w:t>
      </w:r>
      <w:r/>
    </w:p>
    <w:p>
      <w:pPr>
        <w:rPr>
          <w:highlight w:val="none"/>
        </w:rPr>
      </w:pPr>
      <w:r>
        <w:t xml:space="preserve">Afin de s’assurer du bon démarrage de la thèse, l</w:t>
      </w:r>
      <w:r>
        <w:t xml:space="preserve">es étudiants en première année de thèse doivent rédiger et transmettre à leurs encadrants un </w:t>
      </w:r>
      <w:r>
        <w:rPr>
          <w:b/>
        </w:rPr>
        <w:t xml:space="preserve">rapport à 9 mois</w:t>
      </w:r>
      <w:r>
        <w:t xml:space="preserve">. Ce rapport d'</w:t>
      </w:r>
      <w:r>
        <w:t xml:space="preserve">environ </w:t>
      </w:r>
      <w:r>
        <w:t xml:space="preserve">un</w:t>
      </w:r>
      <w:r>
        <w:t xml:space="preserve">e</w:t>
      </w:r>
      <w:r>
        <w:t xml:space="preserve"> </w:t>
      </w:r>
      <w:r>
        <w:t xml:space="preserve">vingtaine</w:t>
      </w:r>
      <w:r>
        <w:t xml:space="preserve"> </w:t>
      </w:r>
      <w:r>
        <w:t xml:space="preserve">de pages </w:t>
      </w:r>
      <w:r>
        <w:t xml:space="preserve">doit </w:t>
      </w:r>
      <w:r>
        <w:t xml:space="preserve">comporter une description </w:t>
      </w:r>
      <w:r>
        <w:t xml:space="preserve">du</w:t>
      </w:r>
      <w:r>
        <w:t xml:space="preserve"> sujet de thèse, un état de l'art et une description </w:t>
      </w:r>
      <w:r>
        <w:t xml:space="preserve">du</w:t>
      </w:r>
      <w:r>
        <w:t xml:space="preserve"> planning de thèse.</w:t>
      </w:r>
      <w:r>
        <w:rPr>
          <w:highlight w:val="none"/>
        </w:rPr>
      </w:r>
      <w:r/>
    </w:p>
    <w:p>
      <w:pPr>
        <w:rPr>
          <w:highlight w:val="none"/>
        </w:rPr>
      </w:pPr>
      <w:r>
        <w:t xml:space="preserve">Chaque laboratoire de l’école doctorale SIE est représenté par un enseignant chercheur (</w:t>
      </w:r>
      <w:r>
        <w:t xml:space="preserve">Julien Ramousse</w:t>
      </w:r>
      <w:r>
        <w:t xml:space="preserve">) qui assiste aux conseils de l’école doctorale. </w:t>
      </w:r>
      <w:r>
        <w:t xml:space="preserve">Un </w:t>
      </w:r>
      <w:r>
        <w:rPr>
          <w:b/>
        </w:rPr>
        <w:t xml:space="preserve">entretien (informel) annuel</w:t>
      </w:r>
      <w:r>
        <w:t xml:space="preserve"> (CSID) </w:t>
      </w:r>
      <w:r>
        <w:t xml:space="preserve">entre les différents doctorants du laboratoire et c</w:t>
      </w:r>
      <w:r>
        <w:t xml:space="preserve">e correspondant </w:t>
      </w:r>
      <w:r>
        <w:t xml:space="preserve">est réalisé afin d’identifier </w:t>
      </w:r>
      <w:r>
        <w:t xml:space="preserve">et corriger si possible les problèmes </w:t>
      </w:r>
      <w:r>
        <w:t xml:space="preserve">éventuels </w:t>
      </w:r>
      <w:r>
        <w:t xml:space="preserve">que vous rencontrez.</w:t>
      </w:r>
      <w:r>
        <w:t xml:space="preserve"> Ces entretiens sont réalisés par </w:t>
      </w:r>
      <w:r>
        <w:t xml:space="preserve">Julien Ramousse</w:t>
      </w:r>
      <w:r>
        <w:t xml:space="preserve"> et Jean-Patrick Plassiard.</w:t>
      </w:r>
      <w:r/>
    </w:p>
    <w:p>
      <w:r>
        <w:rPr>
          <w:highlight w:val="none"/>
        </w:rPr>
      </w:r>
      <w:r>
        <w:rPr>
          <w:highlight w:val="none"/>
        </w:rPr>
      </w:r>
      <w:r/>
    </w:p>
    <w:p>
      <w:r>
        <w:rPr>
          <w:b/>
          <w:highlight w:val="none"/>
        </w:rPr>
        <w:t xml:space="preserve">Le rapport du Comité de thèse</w:t>
      </w:r>
      <w:r>
        <w:rPr>
          <w:highlight w:val="none"/>
        </w:rPr>
        <w:t xml:space="preserve"> ainsi que le </w:t>
      </w:r>
      <w:r>
        <w:rPr>
          <w:b/>
          <w:highlight w:val="none"/>
        </w:rPr>
        <w:t xml:space="preserve">CSID</w:t>
      </w:r>
      <w:r>
        <w:rPr>
          <w:highlight w:val="none"/>
        </w:rPr>
        <w:t xml:space="preserve"> (mené en interne au Locie et demandé par l’ED chaque année pour la re-inscription) devront obligatoirement être joints au Rapport de Suivi de Thèse ADUM et remis </w:t>
      </w:r>
      <w:r>
        <w:rPr>
          <w:b/>
          <w:highlight w:val="none"/>
        </w:rPr>
        <w:t xml:space="preserve">au Secrétariat</w:t>
      </w:r>
      <w:r>
        <w:rPr>
          <w:highlight w:val="none"/>
        </w:rPr>
        <w:t xml:space="preserve"> pour signature des documents de re-inscription en </w:t>
      </w:r>
      <w:r>
        <w:rPr>
          <w:b/>
          <w:highlight w:val="none"/>
        </w:rPr>
        <w:t xml:space="preserve">2ème année</w:t>
      </w:r>
      <w:r>
        <w:rPr>
          <w:highlight w:val="none"/>
        </w:rPr>
        <w:t xml:space="preserve"> par le directeur du Laboratoire.</w:t>
      </w:r>
      <w:r>
        <w:rPr>
          <w:highlight w:val="none"/>
        </w:rPr>
      </w:r>
      <w:bookmarkStart w:id="81" w:name="_Toc367812159"/>
      <w:r>
        <w:br w:type="page"/>
      </w:r>
      <w:r/>
    </w:p>
    <w:p>
      <w:pPr>
        <w:pStyle w:val="790"/>
      </w:pPr>
      <w:r/>
      <w:bookmarkStart w:id="82" w:name="_Toc92377748"/>
      <w:r>
        <w:t xml:space="preserve">Déroulement</w:t>
      </w:r>
      <w:r>
        <w:t xml:space="preserve"> </w:t>
      </w:r>
      <w:r>
        <w:t xml:space="preserve">de la thèse</w:t>
      </w:r>
      <w:bookmarkEnd w:id="81"/>
      <w:r/>
      <w:bookmarkEnd w:id="82"/>
      <w:r/>
      <w:r/>
    </w:p>
    <w:p>
      <w:r>
        <w:t xml:space="preserve">La préparation d’une thèse a une durée de 36 mois. Tout dépassement est soumis à une procédure dérogatoire à demander auprès de l’Ecole doctorale </w:t>
      </w:r>
      <w:r>
        <w:t xml:space="preserve">SIE</w:t>
      </w:r>
      <w:r>
        <w:t xml:space="preserve">.</w:t>
      </w:r>
      <w:r>
        <w:t xml:space="preserve"> Il vous est demandé durant cette période de valider </w:t>
      </w:r>
      <w:r>
        <w:t xml:space="preserve">des heure</w:t>
      </w:r>
      <w:r>
        <w:t xml:space="preserve">s</w:t>
      </w:r>
      <w:r>
        <w:t xml:space="preserve"> </w:t>
      </w:r>
      <w:r>
        <w:t xml:space="preserve">de formation, </w:t>
      </w:r>
      <w:r>
        <w:t xml:space="preserve">de produire une publication dans une revue d’audience internationale</w:t>
      </w:r>
      <w:r>
        <w:t xml:space="preserve"> et de fournir des rapports annuels d’avancement</w:t>
      </w:r>
      <w:r>
        <w:t xml:space="preserve">.</w:t>
      </w:r>
      <w:r/>
    </w:p>
    <w:p>
      <w:r>
        <w:t xml:space="preserve">Le </w:t>
      </w:r>
      <w:r>
        <w:t xml:space="preserve">LOCIE </w:t>
      </w:r>
      <w:r>
        <w:t xml:space="preserve">encourage</w:t>
      </w:r>
      <w:r>
        <w:t xml:space="preserve"> chaque </w:t>
      </w:r>
      <w:r>
        <w:t xml:space="preserve">doctorant</w:t>
      </w:r>
      <w:r>
        <w:t xml:space="preserve"> à valoriser son travail de thèse</w:t>
      </w:r>
      <w:r>
        <w:t xml:space="preserve"> et les </w:t>
      </w:r>
      <w:r>
        <w:t xml:space="preserve">résultats de </w:t>
      </w:r>
      <w:r>
        <w:t xml:space="preserve">ses</w:t>
      </w:r>
      <w:r>
        <w:t xml:space="preserve"> travaux</w:t>
      </w:r>
      <w:r>
        <w:t xml:space="preserve">. Pour </w:t>
      </w:r>
      <w:r>
        <w:t xml:space="preserve">cela, il </w:t>
      </w:r>
      <w:r>
        <w:t xml:space="preserve">prend à sa charge une </w:t>
      </w:r>
      <w:r>
        <w:rPr>
          <w:rStyle w:val="817"/>
        </w:rPr>
        <w:t xml:space="preserve">inscription à un congrès international</w:t>
      </w:r>
      <w:r>
        <w:t xml:space="preserve"> ainsi que la </w:t>
      </w:r>
      <w:r>
        <w:rPr>
          <w:rStyle w:val="817"/>
        </w:rPr>
        <w:t xml:space="preserve">vérification par un traducteur anglophone d’un article de revue</w:t>
      </w:r>
      <w:r>
        <w:t xml:space="preserve">.</w:t>
      </w:r>
      <w:r>
        <w:t xml:space="preserve"> </w:t>
      </w:r>
      <w:r/>
    </w:p>
    <w:p>
      <w:r>
        <w:t xml:space="preserve">Chaque année les doctorants du LOCIE orga</w:t>
      </w:r>
      <w:r>
        <w:t xml:space="preserve">nisent la « Journée Des Doctorants ». C’est un rassemblement convivial au sein du laboratoire qui vous permettra d’exposer vos travaux à l’ensemble des membres. En plus de vous permettre de faire le point sur votre problématique et d’obtenir des remarques</w:t>
      </w:r>
      <w:r>
        <w:t xml:space="preserve">,</w:t>
      </w:r>
      <w:r>
        <w:t xml:space="preserve"> cette épreuve permet de se </w:t>
      </w:r>
      <w:r>
        <w:t xml:space="preserve">préparer</w:t>
      </w:r>
      <w:r>
        <w:t xml:space="preserve"> </w:t>
      </w:r>
      <w:r>
        <w:t xml:space="preserve">au stress que peut générer une participation à un congrès.</w:t>
      </w:r>
      <w:r/>
    </w:p>
    <w:p>
      <w:r>
        <w:t xml:space="preserve">D’un point de vu</w:t>
      </w:r>
      <w:r>
        <w:t xml:space="preserve">e</w:t>
      </w:r>
      <w:r>
        <w:t xml:space="preserve"> plus </w:t>
      </w:r>
      <w:r>
        <w:t xml:space="preserve">pratique</w:t>
      </w:r>
      <w:r>
        <w:t xml:space="preserve"> sur le travail de thèse</w:t>
      </w:r>
      <w:r>
        <w:t xml:space="preserve"> </w:t>
      </w:r>
      <w:r>
        <w:t xml:space="preserve">au jour le jour, la bibliothèque dispose d’ouvrages </w:t>
      </w:r>
      <w:r>
        <w:t xml:space="preserve">pertinents</w:t>
      </w:r>
      <w:r>
        <w:t xml:space="preserve"> sur </w:t>
      </w:r>
      <w:r>
        <w:t xml:space="preserve">comment</w:t>
      </w:r>
      <w:r>
        <w:t xml:space="preserve"> préparer et rédiger sa thèse. Le secrétariat du LOCIE dispose notamment de « l’art de la thèse » de Michel Beaud où l’élaboration de l’état de l’art y est particulièrement développée.</w:t>
      </w:r>
      <w:r>
        <w:t xml:space="preserve"> </w:t>
      </w:r>
      <w:r>
        <w:t xml:space="preserve">De façon générale ces ouvrages peuvent vous apporter des conseils sur l’organisation d’une thèse et comment la valoriser. Par rapport à cela ne néglige</w:t>
      </w:r>
      <w:r>
        <w:t xml:space="preserve">z</w:t>
      </w:r>
      <w:r>
        <w:t xml:space="preserve"> pas les ressources de la bibliothèque majoritairement numériques et accessibl</w:t>
      </w:r>
      <w:r>
        <w:t xml:space="preserve">es sur le site de la BU Savoie</w:t>
      </w:r>
      <w:hyperlink r:id="rId33" w:tooltip="http://www.scd.univ-savoie.fr/" w:history="1">
        <w:r>
          <w:rPr>
            <w:rStyle w:val="812"/>
            <w:rFonts w:ascii="Cambria Math" w:hAnsi="Cambria Math" w:cs="Cambria Math"/>
          </w:rPr>
          <w:t xml:space="preserve">↗</w:t>
        </w:r>
      </w:hyperlink>
      <w:r>
        <w:t xml:space="preserve">. Pour plus d’informations se référer à la </w:t>
      </w:r>
      <w:r>
        <w:t xml:space="preserve">s</w:t>
      </w:r>
      <w:r>
        <w:t xml:space="preserve">ection </w:t>
      </w:r>
      <w:r>
        <w:t xml:space="preserve"> </w:t>
      </w:r>
      <w:r>
        <w:fldChar w:fldCharType="begin"/>
      </w:r>
      <w:r>
        <w:instrText xml:space="preserve"> REF _Ref367316195 \h </w:instrText>
      </w:r>
      <w:r>
        <w:fldChar w:fldCharType="separate"/>
      </w:r>
      <w:r>
        <w:t xml:space="preserve">Bibliothèque</w:t>
      </w:r>
      <w:r>
        <w:fldChar w:fldCharType="end"/>
      </w:r>
      <w:r>
        <w:t xml:space="preserve"> (p.</w:t>
      </w:r>
      <w:r>
        <w:fldChar w:fldCharType="begin"/>
      </w:r>
      <w:r>
        <w:instrText xml:space="preserve"> PAGEREF _Ref367316232 \h </w:instrText>
      </w:r>
      <w:r>
        <w:fldChar w:fldCharType="separate"/>
      </w:r>
      <w:r>
        <w:t xml:space="preserve">33</w:t>
      </w:r>
      <w:r>
        <w:fldChar w:fldCharType="end"/>
      </w:r>
      <w:r>
        <w:t xml:space="preserve">) </w:t>
      </w:r>
      <w:r>
        <w:t xml:space="preserve">de ce livret.</w:t>
      </w:r>
      <w:r/>
    </w:p>
    <w:p>
      <w:pPr>
        <w:pStyle w:val="790"/>
      </w:pPr>
      <w:r/>
      <w:bookmarkStart w:id="83" w:name="_Toc92377749"/>
      <w:r/>
      <w:bookmarkStart w:id="84" w:name="_Toc367812160"/>
      <w:r>
        <w:t xml:space="preserve">S’informer</w:t>
      </w:r>
      <w:bookmarkEnd w:id="83"/>
      <w:r/>
      <w:r/>
    </w:p>
    <w:p>
      <w:pPr>
        <w:contextualSpacing w:val="false"/>
        <w:jc w:val="both"/>
        <w:suppressLineNumbers w:val="0"/>
      </w:pPr>
      <w:r>
        <w:t xml:space="preserve">Il existe de nombreux site</w:t>
      </w:r>
      <w:r>
        <w:t xml:space="preserve">s</w:t>
      </w:r>
      <w:r>
        <w:t xml:space="preserve"> dédié</w:t>
      </w:r>
      <w:r>
        <w:t xml:space="preserve">s</w:t>
      </w:r>
      <w:r>
        <w:t xml:space="preserve"> au soutien du doctorant dans ses démarches. Cela va de la recherche et la mise en place d’un projet de thèse à l’intégration du docteur après la soutenance.</w:t>
      </w:r>
      <w:r/>
    </w:p>
    <w:p>
      <w:r>
        <w:t xml:space="preserve">Le blog de l’association EnthèSe de l’ENS Lyon : </w:t>
      </w:r>
      <w:hyperlink r:id="rId34" w:tooltip="http://enthese.hypotheses.org/" w:history="1">
        <w:r>
          <w:rPr>
            <w:rStyle w:val="812"/>
          </w:rPr>
          <w:t xml:space="preserve">http://enthese.hypotheses.org/</w:t>
        </w:r>
      </w:hyperlink>
      <w:r/>
      <w:r/>
    </w:p>
    <w:p>
      <w:r>
        <w:t xml:space="preserve">Aide à valoriser ses compétences : </w:t>
      </w:r>
      <w:hyperlink r:id="rId35" w:tooltip="http://www.mydocpro.org/fr" w:history="1">
        <w:r>
          <w:rPr>
            <w:rStyle w:val="812"/>
          </w:rPr>
          <w:t xml:space="preserve">http://www.mydocpro.org/fr</w:t>
        </w:r>
      </w:hyperlink>
      <w:r/>
      <w:r/>
    </w:p>
    <w:p>
      <w:r>
        <w:t xml:space="preserve">Agence bibliographique de l’enseignement supérieur : </w:t>
      </w:r>
      <w:hyperlink r:id="rId36" w:tooltip="http://www.abes.fr/Theses/Espace-pour-les-doctorants" w:history="1">
        <w:r>
          <w:rPr>
            <w:rStyle w:val="812"/>
          </w:rPr>
          <w:t xml:space="preserve">http://www.abes.fr/Theses/Espace-pour-les-doctorants</w:t>
        </w:r>
      </w:hyperlink>
      <w:r/>
      <w:r/>
    </w:p>
    <w:p>
      <w:r>
        <w:t xml:space="preserve">Association Nationale des Docteurs : </w:t>
      </w:r>
      <w:r>
        <w:t xml:space="preserve">http://andes.asso.free.fr/</w:t>
      </w:r>
      <w:r/>
    </w:p>
    <w:p>
      <w:r>
        <w:t xml:space="preserve">Sur le serveur du LOCIE, toutes les présentations Bonnes Pratiques</w:t>
      </w:r>
      <w:r/>
    </w:p>
    <w:p>
      <w:pPr>
        <w:pStyle w:val="814"/>
      </w:pPr>
      <w:r>
        <w:rPr>
          <w:i w:val="false"/>
          <w:iCs w:val="false"/>
        </w:rPr>
        <w:t xml:space="preserve">Et quand tout va mal</w:t>
      </w:r>
      <w:r>
        <w:rPr>
          <w:i w:val="false"/>
          <w:iCs w:val="false"/>
        </w:rPr>
        <w:t xml:space="preserve"> </w:t>
      </w:r>
      <w:r>
        <w:rPr>
          <w:rFonts w:ascii="Wingdings" w:hAnsi="Wingdings" w:cs="Wingdings" w:eastAsia="Wingdings"/>
          <w:i w:val="false"/>
          <w:iCs w:val="false"/>
        </w:rPr>
        <w:t xml:space="preserve">J</w:t>
      </w:r>
      <w:r>
        <w:rPr>
          <w:i w:val="false"/>
          <w:iCs w:val="false"/>
        </w:rPr>
        <w:t xml:space="preserve"> : </w:t>
      </w:r>
      <w:hyperlink r:id="rId37" w:tooltip="http://cielmondoctorat.tumblr.com/" w:history="1">
        <w:r>
          <w:rPr>
            <w:rStyle w:val="812"/>
          </w:rPr>
          <w:t xml:space="preserve">http://cielmondoctorat.tumblr.com/</w:t>
        </w:r>
      </w:hyperlink>
      <w:r/>
      <w:r/>
    </w:p>
    <w:p>
      <w:pPr>
        <w:pStyle w:val="790"/>
      </w:pPr>
      <w:r/>
      <w:bookmarkStart w:id="85" w:name="_Toc92377750"/>
      <w:r>
        <w:t xml:space="preserve">Proc</w:t>
      </w:r>
      <w:r>
        <w:t xml:space="preserve">é</w:t>
      </w:r>
      <w:r>
        <w:t xml:space="preserve">dure de soutenance</w:t>
      </w:r>
      <w:bookmarkEnd w:id="84"/>
      <w:r/>
      <w:bookmarkEnd w:id="85"/>
      <w:r/>
      <w:r/>
    </w:p>
    <w:p>
      <w:r>
        <w:t xml:space="preserve">La procédure pour la soutenance de thèse </w:t>
      </w:r>
      <w:r>
        <w:t xml:space="preserve">se fait sur le site de l’ADUM </w:t>
      </w:r>
      <w:hyperlink r:id="rId38" w:tooltip="https://www.adum.fr/identification.pl?menu_transparent=oui&amp;site=siseo&amp;redirection=attDOCTEUR" w:history="1">
        <w:r>
          <w:rPr>
            <w:rStyle w:val="812"/>
            <w:rFonts w:ascii="Cambria Math" w:hAnsi="Cambria Math" w:cs="Cambria Math"/>
          </w:rPr>
          <w:t xml:space="preserve">↗</w:t>
        </w:r>
      </w:hyperlink>
      <w:r>
        <w:rPr>
          <w:rFonts w:ascii="Cambria Math" w:hAnsi="Cambria Math" w:cs="Cambria Math"/>
        </w:rPr>
        <w:t xml:space="preserve">, elle</w:t>
      </w:r>
      <w:r>
        <w:t xml:space="preserve"> </w:t>
      </w:r>
      <w:r>
        <w:t xml:space="preserve">ne doit être lancée qu’une fois le mémoire de thèse achevé par le doctorant et validé par le directeur de thèse. Le lancement de la procédure est à l'initiative du directeur de thèse</w:t>
      </w:r>
      <w:r>
        <w:rPr>
          <w:rStyle w:val="817"/>
        </w:rPr>
        <w:t xml:space="preserve"> </w:t>
      </w:r>
      <w:r>
        <w:t xml:space="preserve">mais l</w:t>
      </w:r>
      <w:r>
        <w:t xml:space="preserve">a</w:t>
      </w:r>
      <w:r>
        <w:t xml:space="preserve"> procédure</w:t>
      </w:r>
      <w:r>
        <w:t xml:space="preserve"> </w:t>
      </w:r>
      <w:r>
        <w:t xml:space="preserve">est à la charge du doctorant</w:t>
      </w:r>
      <w:r>
        <w:t xml:space="preserve">.</w:t>
      </w:r>
      <w:r/>
    </w:p>
    <w:p>
      <w:pPr>
        <w:contextualSpacing w:val="false"/>
        <w:jc w:val="both"/>
        <w:suppressLineNumbers w:val="0"/>
      </w:pPr>
      <w:r>
        <w:rPr>
          <w:rStyle w:val="817"/>
        </w:rPr>
        <w:t xml:space="preserve">Trois mois avant la date de soutenance</w:t>
      </w:r>
      <w:r>
        <w:t xml:space="preserve">, le doctorant et son/ses directeur(s) de thèse doivent prévoir les étapes suivantes :</w:t>
      </w:r>
      <w:r/>
    </w:p>
    <w:p>
      <w:pPr>
        <w:pStyle w:val="866"/>
      </w:pPr>
      <w:r>
        <w:t xml:space="preserve">10 semaines avant la date prévue pour la soutenance, </w:t>
      </w:r>
      <w:r>
        <w:t xml:space="preserve">le doctorant</w:t>
      </w:r>
      <w:r>
        <w:t xml:space="preserve"> envoie à l'école doctorale une proposition </w:t>
      </w:r>
      <w:r>
        <w:t xml:space="preserve">de rapporteurs et </w:t>
      </w:r>
      <w:r>
        <w:t xml:space="preserve">de jury pour validation</w:t>
      </w:r>
      <w:r>
        <w:t xml:space="preserve"> </w:t>
      </w:r>
      <w:r>
        <w:t xml:space="preserve">et i</w:t>
      </w:r>
      <w:r>
        <w:t xml:space="preserve">ndique la date prévue de soutenance</w:t>
      </w:r>
      <w:r>
        <w:rPr>
          <w:highlight w:val="none"/>
        </w:rPr>
      </w:r>
      <w:r/>
    </w:p>
    <w:p>
      <w:pPr>
        <w:pStyle w:val="866"/>
        <w:numPr>
          <w:ilvl w:val="0"/>
          <w:numId w:val="0"/>
        </w:numPr>
      </w:pPr>
      <w:r>
        <w:rPr>
          <w:highlight w:val="none"/>
        </w:rPr>
      </w:r>
      <w:r>
        <w:rPr>
          <w:highlight w:val="none"/>
        </w:rPr>
      </w:r>
      <w:r/>
    </w:p>
    <w:p>
      <w:pPr>
        <w:pStyle w:val="866"/>
        <w:numPr>
          <w:ilvl w:val="0"/>
          <w:numId w:val="0"/>
        </w:numPr>
      </w:pPr>
      <w:r/>
      <w:r/>
    </w:p>
    <w:p>
      <w:pPr>
        <w:pStyle w:val="866"/>
      </w:pPr>
      <w:r>
        <w:t xml:space="preserve">L’é</w:t>
      </w:r>
      <w:r>
        <w:t xml:space="preserve">cole doctorale </w:t>
      </w:r>
      <w:r>
        <w:t xml:space="preserve">v</w:t>
      </w:r>
      <w:r>
        <w:t xml:space="preserve">alide les propositions de rapporteurs et de jury et transmet au Collège Doctoral</w:t>
      </w:r>
      <w:r/>
    </w:p>
    <w:p>
      <w:pPr>
        <w:pStyle w:val="866"/>
        <w:numPr>
          <w:ilvl w:val="0"/>
          <w:numId w:val="0"/>
        </w:numPr>
        <w:ind w:left="754" w:firstLine="0"/>
      </w:pPr>
      <w:r>
        <w:rPr>
          <w:highlight w:val="none"/>
        </w:rPr>
      </w:r>
      <w:r>
        <w:rPr>
          <w:highlight w:val="none"/>
        </w:rPr>
      </w:r>
      <w:r/>
    </w:p>
    <w:p>
      <w:pPr>
        <w:pStyle w:val="866"/>
      </w:pPr>
      <w:r>
        <w:t xml:space="preserve">Le Collège Doctoral e</w:t>
      </w:r>
      <w:r>
        <w:t xml:space="preserve">nvoie un courrier aux rapporteurs et avertit le directeur de thèse de la validation du jury</w:t>
      </w:r>
      <w:r/>
    </w:p>
    <w:p>
      <w:pPr>
        <w:pStyle w:val="865"/>
        <w:numPr>
          <w:ilvl w:val="0"/>
          <w:numId w:val="9"/>
        </w:numPr>
        <w:contextualSpacing w:val="true"/>
        <w:ind w:left="754" w:hanging="357"/>
        <w:jc w:val="both"/>
        <w:suppressLineNumbers w:val="0"/>
      </w:pPr>
      <w:r>
        <w:t xml:space="preserve">   8 semaines avant </w:t>
      </w:r>
      <w:r>
        <w:t xml:space="preserve">la soutenance, le doctorant envoie le manuscrit aux rapporteurs et aux autres membres du jury (sous couvert de son/ses directeur(s) de thèse)</w:t>
      </w:r>
      <w:r/>
    </w:p>
    <w:p>
      <w:pPr>
        <w:pStyle w:val="865"/>
        <w:numPr>
          <w:ilvl w:val="0"/>
          <w:numId w:val="0"/>
        </w:numPr>
        <w:contextualSpacing w:val="true"/>
        <w:ind w:left="754" w:firstLine="0"/>
        <w:jc w:val="both"/>
        <w:spacing w:lineRule="auto" w:line="252" w:after="200"/>
        <w:suppressLineNumbers w:val="0"/>
      </w:pPr>
      <w:r>
        <w:rPr>
          <w:highlight w:val="none"/>
        </w:rPr>
      </w:r>
      <w:r>
        <w:rPr>
          <w:highlight w:val="none"/>
        </w:rPr>
      </w:r>
      <w:r/>
    </w:p>
    <w:p>
      <w:pPr>
        <w:pStyle w:val="865"/>
        <w:contextualSpacing w:val="true"/>
        <w:ind w:left="754" w:hanging="357"/>
        <w:jc w:val="both"/>
        <w:spacing w:lineRule="auto" w:line="252" w:after="200" w:before="0"/>
        <w:suppressLineNumbers w:val="0"/>
      </w:pPr>
      <w:r>
        <w:t xml:space="preserve">   4 semaines avant la soutenance</w:t>
      </w:r>
      <w:r>
        <w:t xml:space="preserve"> </w:t>
      </w:r>
      <w:r>
        <w:t xml:space="preserve">(la formation doctorale doit être validée)</w:t>
      </w:r>
      <w:r>
        <w:t xml:space="preserve">, le doctorant envoie à SIE le dossier de soutenance dûment complété</w:t>
      </w:r>
      <w:r>
        <w:t xml:space="preserve">, </w:t>
      </w:r>
      <w:r>
        <w:t xml:space="preserve">le questionnaire </w:t>
      </w:r>
      <w:r>
        <w:t xml:space="preserve">« </w:t>
      </w:r>
      <w:r>
        <w:t xml:space="preserve">Devenir des docteurs après la thèse</w:t>
      </w:r>
      <w:r>
        <w:t xml:space="preserve"> », </w:t>
      </w:r>
      <w:r>
        <w:t xml:space="preserve">la liste des publications</w:t>
      </w:r>
      <w:r>
        <w:t xml:space="preserve"> </w:t>
      </w:r>
      <w:r>
        <w:t xml:space="preserve">(par mail en format Word)</w:t>
      </w:r>
      <w:r>
        <w:t xml:space="preserve"> </w:t>
      </w:r>
      <w:r/>
    </w:p>
    <w:p>
      <w:pPr>
        <w:pStyle w:val="866"/>
        <w:contextualSpacing w:val="true"/>
        <w:jc w:val="both"/>
        <w:suppressLineNumbers w:val="0"/>
      </w:pPr>
      <w:r>
        <w:t xml:space="preserve">Au vu des rapports et de la fiche d’évaluation, l’Ecole doctorale émet un avis et transmet le dossier au Collège Doctoral</w:t>
      </w:r>
      <w:r/>
    </w:p>
    <w:p>
      <w:pPr>
        <w:pStyle w:val="865"/>
        <w:contextualSpacing w:val="true"/>
        <w:ind w:left="754" w:hanging="357"/>
        <w:jc w:val="both"/>
        <w:suppressLineNumbers w:val="0"/>
      </w:pPr>
      <w:r>
        <w:t xml:space="preserve">   2 semaines avant la soutenance, le doctorant </w:t>
      </w:r>
      <w:r>
        <w:t xml:space="preserve">effectue le dépô</w:t>
      </w:r>
      <w:r>
        <w:t xml:space="preserve">t électronique de son manuscrit. </w:t>
      </w:r>
      <w:r>
        <w:t xml:space="preserve">Il</w:t>
      </w:r>
      <w:r>
        <w:t xml:space="preserve"> </w:t>
      </w:r>
      <w:r>
        <w:t xml:space="preserve">e</w:t>
      </w:r>
      <w:r>
        <w:t xml:space="preserve">nvoie au secrétariat de l'école doc</w:t>
      </w:r>
      <w:r>
        <w:t xml:space="preserve">torale 2 exemplaires signés du « </w:t>
      </w:r>
      <w:r>
        <w:t xml:space="preserve">Contrat à </w:t>
      </w:r>
      <w:r>
        <w:t xml:space="preserve">la </w:t>
      </w:r>
      <w:r>
        <w:t xml:space="preserve">fin de dépôt et de diffusion d'une thèse</w:t>
      </w:r>
      <w:r>
        <w:t xml:space="preserve"> »</w:t>
      </w:r>
      <w:r>
        <w:t xml:space="preserve"> et transmet </w:t>
      </w:r>
      <w:r>
        <w:t xml:space="preserve">au Collège Doctoral, par voie électronique u</w:t>
      </w:r>
      <w:r>
        <w:t xml:space="preserve">n résumé en français et anglais</w:t>
      </w:r>
      <w:r/>
    </w:p>
    <w:p>
      <w:pPr>
        <w:pStyle w:val="866"/>
        <w:contextualSpacing w:val="true"/>
        <w:jc w:val="both"/>
        <w:suppressLineNumbers w:val="0"/>
      </w:pPr>
      <w:r>
        <w:t xml:space="preserve">Au vu des rapports </w:t>
      </w:r>
      <w:r>
        <w:t xml:space="preserve">(rapporteurs, SIE), le c</w:t>
      </w:r>
      <w:r>
        <w:t xml:space="preserve">ollège doctoral émet un avis et transmet le dossier au Directeur du collège doctoral de l'Université de Savoie pour délivrance de l'autorisation de soutenance, par délégation, pour le Président du collège unique</w:t>
      </w:r>
      <w:r/>
    </w:p>
    <w:p>
      <w:pPr>
        <w:pStyle w:val="866"/>
        <w:numPr>
          <w:ilvl w:val="0"/>
          <w:numId w:val="0"/>
        </w:numPr>
        <w:contextualSpacing w:val="true"/>
        <w:ind w:left="754" w:firstLine="0"/>
        <w:jc w:val="both"/>
        <w:suppressLineNumbers w:val="0"/>
      </w:pPr>
      <w:r>
        <w:rPr>
          <w:highlight w:val="none"/>
        </w:rPr>
      </w:r>
      <w:r>
        <w:rPr>
          <w:highlight w:val="none"/>
        </w:rPr>
      </w:r>
      <w:r/>
    </w:p>
    <w:p>
      <w:pPr>
        <w:pStyle w:val="866"/>
        <w:contextualSpacing w:val="true"/>
        <w:jc w:val="both"/>
        <w:suppressLineNumbers w:val="0"/>
      </w:pPr>
      <w:r>
        <w:t xml:space="preserve">Le Collège Doctoral</w:t>
      </w:r>
      <w:r>
        <w:t xml:space="preserve"> </w:t>
      </w:r>
      <w:r>
        <w:t xml:space="preserve">transmet au directeur de thèse, au doctorant et aux membres du jury les documents pour la soutenance</w:t>
      </w:r>
      <w:r/>
    </w:p>
    <w:p>
      <w:pPr>
        <w:pStyle w:val="865"/>
        <w:contextualSpacing w:val="true"/>
        <w:ind w:left="754" w:hanging="357"/>
        <w:jc w:val="both"/>
        <w:suppressLineNumbers w:val="0"/>
      </w:pPr>
      <w:r>
        <w:t xml:space="preserve">   1 semaine au plus tard après la soutenance, le directeur de thèse (ou l'un de ses directeurs) envoie le procès-verbal et le rapport de soutenance à l'école doctorale</w:t>
      </w:r>
      <w:r/>
    </w:p>
    <w:p>
      <w:pPr>
        <w:pStyle w:val="865"/>
        <w:numPr>
          <w:ilvl w:val="0"/>
          <w:numId w:val="0"/>
        </w:numPr>
        <w:contextualSpacing w:val="true"/>
        <w:ind w:left="754" w:hanging="357"/>
        <w:jc w:val="both"/>
        <w:suppressLineNumbers w:val="0"/>
      </w:pPr>
      <w:r>
        <w:rPr>
          <w:highlight w:val="none"/>
        </w:rPr>
      </w:r>
      <w:r>
        <w:rPr>
          <w:highlight w:val="none"/>
        </w:rPr>
      </w:r>
      <w:r/>
    </w:p>
    <w:p>
      <w:pPr>
        <w:pStyle w:val="865"/>
        <w:contextualSpacing w:val="true"/>
        <w:ind w:left="754" w:hanging="357"/>
        <w:jc w:val="both"/>
        <w:suppressLineNumbers w:val="0"/>
      </w:pPr>
      <w:r>
        <w:t xml:space="preserve">   Au maximum, 3 mois après</w:t>
      </w:r>
      <w:r>
        <w:t xml:space="preserve"> la soutenance, le doctorant envoie à l'école doctorale le manuscrit final (sous couvert de son/ses directeur(s) de thèse) et dépose électroniquement ce même manuscrit. </w:t>
      </w:r>
      <w:r/>
    </w:p>
    <w:p>
      <w:pPr>
        <w:pStyle w:val="865"/>
        <w:numPr>
          <w:ilvl w:val="0"/>
          <w:numId w:val="0"/>
        </w:numPr>
        <w:contextualSpacing w:val="true"/>
        <w:ind w:left="754" w:hanging="357"/>
        <w:jc w:val="both"/>
        <w:suppressLineNumbers w:val="0"/>
      </w:pPr>
      <w:r/>
      <w:r/>
    </w:p>
    <w:p>
      <w:pPr>
        <w:pStyle w:val="865"/>
        <w:numPr>
          <w:ilvl w:val="0"/>
          <w:numId w:val="0"/>
        </w:numPr>
        <w:contextualSpacing w:val="true"/>
        <w:ind w:left="0" w:firstLine="0"/>
        <w:jc w:val="both"/>
        <w:suppressLineNumbers w:val="0"/>
      </w:pPr>
      <w:r>
        <w:t xml:space="preserve">  Documents et tableau récapitulatif sur </w:t>
      </w:r>
      <w:r>
        <w:t xml:space="preserve">site de l’ADUM </w:t>
      </w:r>
      <w:hyperlink r:id="rId39" w:tooltip="https://www.adum.fr/as/ed/siseo/page.pl?page=puSoutenance" w:history="1">
        <w:r>
          <w:rPr>
            <w:rStyle w:val="812"/>
            <w:rFonts w:ascii="Cambria Math" w:hAnsi="Cambria Math" w:cs="Cambria Math"/>
          </w:rPr>
          <w:t xml:space="preserve">↗</w:t>
        </w:r>
      </w:hyperlink>
      <w:r>
        <w:rPr>
          <w:rFonts w:ascii="Cambria Math" w:hAnsi="Cambria Math" w:cs="Cambria Math"/>
        </w:rPr>
        <w:t xml:space="preserve">.</w:t>
      </w:r>
      <w:r/>
    </w:p>
    <w:p>
      <w:pPr>
        <w:pStyle w:val="791"/>
      </w:pPr>
      <w:r/>
      <w:bookmarkStart w:id="86" w:name="_Toc92377751"/>
      <w:r>
        <w:t xml:space="preserve">Le manuscrit de thèse</w:t>
      </w:r>
      <w:bookmarkEnd w:id="86"/>
      <w:r/>
      <w:r/>
    </w:p>
    <w:p>
      <w:r>
        <w:t xml:space="preserve">En principe, la langue d'écriture de la thèse est le français. Toutefois, il n'y a aucune interdiction d'écriture </w:t>
      </w:r>
      <w:r>
        <w:t xml:space="preserve">en anglais</w:t>
      </w:r>
      <w:r>
        <w:t xml:space="preserve">.</w:t>
      </w:r>
      <w:r>
        <w:t xml:space="preserve"> Ceci permettra d’ailleurs de diffuser plus largement les résultats des travaux.</w:t>
      </w:r>
      <w:r>
        <w:t xml:space="preserve"> Pour les thèses en cotutelle, il est bien précisé que le document doit être écrit dans l'une des langues nationales concernées. Si l'on y déroge il faut le prévoir dans la convention de cotutelle entre les universités partenaires.</w:t>
      </w:r>
      <w:r/>
    </w:p>
    <w:p>
      <w:r>
        <w:t xml:space="preserve">Dans le cas où la thèse n'est pas écrite en français, une partie substantielle de synthèse mettant en évidence les enjeux et les apports de la thèse doit être effectuée en français.</w:t>
      </w:r>
      <w:r/>
    </w:p>
    <w:p>
      <w:r>
        <w:t xml:space="preserve">Les rapporteurs de thèse doivent être habilités à diriger des recherches (HDR), sauf dérogation spéciale expresse du Président, après avis de l'école doctorale et du collège doctoral.</w:t>
      </w:r>
      <w:r/>
    </w:p>
    <w:p>
      <w:r>
        <w:t xml:space="preserve">Pour les rapporteurs étrangers, cette habi</w:t>
      </w:r>
      <w:r>
        <w:t xml:space="preserve">litation est considérée comme satisfaite s'ils sont professeurs ou assimilés dans une université étrangère. Un docteur étranger qui n'est pas en poste dans une université ne peut pas être rapporteur sauf habilitation spéciale à faire valider dès le départ </w:t>
      </w:r>
      <w:r>
        <w:t xml:space="preserve">par l'université.</w:t>
      </w:r>
      <w:r/>
    </w:p>
    <w:p>
      <w:pPr>
        <w:pStyle w:val="791"/>
      </w:pPr>
      <w:r/>
      <w:bookmarkStart w:id="87" w:name="_Toc92377752"/>
      <w:r>
        <w:t xml:space="preserve">La p</w:t>
      </w:r>
      <w:r>
        <w:t xml:space="preserve">résentation orale</w:t>
      </w:r>
      <w:bookmarkEnd w:id="87"/>
      <w:r/>
      <w:r/>
    </w:p>
    <w:p>
      <w:r>
        <w:t xml:space="preserve">La défense des travaux de recherche devant le jury est un exercice qui nécessite une bonne préparation (à ne p</w:t>
      </w:r>
      <w:r>
        <w:t xml:space="preserve">as négliger !). La préparation des transparents à elle seule peut nécessiter environ 15 jours à plein temps. L'exposé étant généralement de l'ordre de 45 min, ceci implique environ 45 diapositives si on passe en moyenne 1 min/diapositive. Nous conseillons </w:t>
      </w:r>
      <w:r>
        <w:t xml:space="preserve">aux</w:t>
      </w:r>
      <w:r>
        <w:t xml:space="preserve"> doctorants de bien se renseigner auprès de leurs directeurs de thèse et d'assister à des soutenances de thèse dans leur domaine ma</w:t>
      </w:r>
      <w:r>
        <w:t xml:space="preserve">is aussi en dehors pour avoir une idée concrète de ce que représente une soutenance. 2 à 3 répétitions de la soutenance devant les directeurs de thèse, des doctorants, des membres de l'équipe de recherche, des membres du laboratoire... sont indispensables.</w:t>
      </w:r>
      <w:r/>
    </w:p>
    <w:p>
      <w:r>
        <w:t xml:space="preserve">La thèse peut être soutenue dans une langue autre que le français dès le moment où tous les membres du jury sont favorables.</w:t>
      </w:r>
      <w:r/>
    </w:p>
    <w:p>
      <w:r>
        <w:t xml:space="preserve">Les choix des membres du jury de thèse </w:t>
      </w:r>
      <w:r>
        <w:t xml:space="preserve">doivent</w:t>
      </w:r>
      <w:r>
        <w:t xml:space="preserve"> suivre les </w:t>
      </w:r>
      <w:r>
        <w:t xml:space="preserve">conditions de l'article 19 du décret du 07 août 2006 relatif à la formation doctorale.</w:t>
      </w:r>
      <w:r/>
    </w:p>
    <w:p>
      <w:r>
        <w:t xml:space="preserve">« Le nombre des membres du jury est compris entre 3 et 8. Il est composé au moins pour moitié</w:t>
      </w:r>
      <w:r>
        <w:t xml:space="preserve"> de personnalités françaises ou étrangères, extérieures à l'école doctorale et à l'établissement d'inscription du candidat et choisies en raison de leur compétence scientifique, sous réserve des dispositions relatives à la cotutelle internationale de thèse</w:t>
      </w:r>
      <w:r/>
    </w:p>
    <w:p>
      <w:r>
        <w:t xml:space="preserve">La moitié du jury au mo</w:t>
      </w:r>
      <w:r>
        <w:t xml:space="preserve">ins doit être composée de professeurs ou assimilés au sens des dispositions relatives à la désignation des membres du Conseil national des universités ou d'enseignants de rang équivalent qui ne dépendent pas du ministère chargé de l'enseignement supérieur.</w:t>
      </w:r>
      <w:r/>
    </w:p>
    <w:p>
      <w:r>
        <w:t xml:space="preserve">Les membres du jury désignent parmi eux un président et, le cas échéant, un rapporteur de sou</w:t>
      </w:r>
      <w:r>
        <w:t xml:space="preserve">tenance. Le président doit être un professeur ou assimilé ou un enseignant de rang équivalent au sens de l'alinéa précédent. Le directeur de thèse, s'il participe au jury, ne peut être choisi ni comme rapporteur de soutenance, ni comme président du jury. »</w:t>
      </w:r>
      <w:r/>
    </w:p>
    <w:p>
      <w:pPr>
        <w:pStyle w:val="789"/>
      </w:pPr>
      <w:r/>
      <w:bookmarkStart w:id="88" w:name="_Toc367812161"/>
      <w:r/>
      <w:bookmarkStart w:id="89" w:name="_Toc92377753"/>
      <w:r>
        <w:t xml:space="preserve">L</w:t>
      </w:r>
      <w:r>
        <w:t xml:space="preserve">’après-</w:t>
      </w:r>
      <w:r>
        <w:t xml:space="preserve">thèse</w:t>
      </w:r>
      <w:bookmarkEnd w:id="88"/>
      <w:r/>
      <w:bookmarkEnd w:id="89"/>
      <w:r/>
      <w:r/>
    </w:p>
    <w:p>
      <w:r>
        <w:t xml:space="preserve">L</w:t>
      </w:r>
      <w:r>
        <w:t xml:space="preserve">e</w:t>
      </w:r>
      <w:r>
        <w:t xml:space="preserve"> principal débouché professionnel des doctorants </w:t>
      </w:r>
      <w:r>
        <w:t xml:space="preserve">est </w:t>
      </w:r>
      <w:r>
        <w:t xml:space="preserve">l’embauche </w:t>
      </w:r>
      <w:r>
        <w:t xml:space="preserve">en entreprise</w:t>
      </w:r>
      <w:r>
        <w:t xml:space="preserve">. </w:t>
      </w:r>
      <w:r>
        <w:t xml:space="preserve">Des modules de formation spécifiques d’aide à la recherche d’emploi sont développés dans le cadre de la formation docto</w:t>
      </w:r>
      <w:r>
        <w:t xml:space="preserve">rale SIE.</w:t>
      </w:r>
      <w:r/>
    </w:p>
    <w:p>
      <w:r>
        <w:t xml:space="preserve">Le deuxième débouché logique</w:t>
      </w:r>
      <w:r>
        <w:t xml:space="preserve"> de la thèse</w:t>
      </w:r>
      <w:r>
        <w:t xml:space="preserve"> consiste à travailler dans la recherche </w:t>
      </w:r>
      <w:r>
        <w:t xml:space="preserve">publique </w:t>
      </w:r>
      <w:r>
        <w:t xml:space="preserve">via l’Université ou le CNRS. Les débouchés dans de tels secteurs sont limités et demandent de la </w:t>
      </w:r>
      <w:r>
        <w:t xml:space="preserve">persévérance</w:t>
      </w:r>
      <w:r>
        <w:t xml:space="preserve">. Il est rare de pouvoir être embauché directement comme chercheur ou enseignant chercheur </w:t>
      </w:r>
      <w:r>
        <w:t xml:space="preserve">immédiatement </w:t>
      </w:r>
      <w:r>
        <w:t xml:space="preserve">après la thèse. Il est </w:t>
      </w:r>
      <w:r>
        <w:t xml:space="preserve">souvent nécessaire de passer par </w:t>
      </w:r>
      <w:r>
        <w:t xml:space="preserve">le statut </w:t>
      </w:r>
      <w:r>
        <w:t xml:space="preserve">d’ATER ou post-doctorant.</w:t>
      </w:r>
      <w:r/>
    </w:p>
    <w:p>
      <w:r>
        <w:t xml:space="preserve">Il est rare qu’une thèse déb</w:t>
      </w:r>
      <w:r>
        <w:t xml:space="preserve">ouche sur la création d’une entreprise. Néanmoins il faut connaitre les dispositifs et les aides mis en place pour aider à la réalisation de tels projets en lien direct ou non avec les résultats de la thèse que ce soit au niveau local via Savoie Technolac </w:t>
      </w:r>
      <w:r>
        <w:t xml:space="preserve">(http://www.savoie-technolac.com/</w:t>
      </w:r>
      <w:r>
        <w:t xml:space="preserve">), ou de la région via </w:t>
      </w:r>
      <w:r>
        <w:t xml:space="preserve">la SATT</w:t>
      </w:r>
      <w:r>
        <w:t xml:space="preserve"> </w:t>
      </w:r>
      <w:r>
        <w:t xml:space="preserve">Linksium</w:t>
      </w:r>
      <w:r>
        <w:t xml:space="preserve"> (</w:t>
      </w:r>
      <w:r>
        <w:t xml:space="preserve">https://www.linksium.fr</w:t>
      </w:r>
      <w:r>
        <w:t xml:space="preserve">)</w:t>
      </w:r>
      <w:r>
        <w:t xml:space="preserve">. Ces incubateurs ont pour vocation de favoriser la création d’entreprises technologiques et innovantes dans la région Rhône-Alpes, issues ou s’appuyant sur les compétences d’une structure de recherche.</w:t>
      </w:r>
      <w:r/>
    </w:p>
    <w:p>
      <w:r>
        <w:t xml:space="preserve">Dans la suite du livret, seuls les parcours orientés vers la recherche </w:t>
      </w:r>
      <w:r>
        <w:t xml:space="preserve">publique </w:t>
      </w:r>
      <w:r>
        <w:t xml:space="preserve">sont développés.</w:t>
      </w:r>
      <w:r/>
    </w:p>
    <w:p>
      <w:pPr>
        <w:pStyle w:val="790"/>
      </w:pPr>
      <w:r/>
      <w:bookmarkStart w:id="90" w:name="_Toc367812162"/>
      <w:r/>
      <w:bookmarkStart w:id="91" w:name="_Toc92377754"/>
      <w:r>
        <w:t xml:space="preserve">ATER</w:t>
      </w:r>
      <w:bookmarkEnd w:id="90"/>
      <w:r/>
      <w:bookmarkEnd w:id="91"/>
      <w:r/>
      <w:r/>
    </w:p>
    <w:p>
      <w:r>
        <w:t xml:space="preserve">Etre </w:t>
      </w:r>
      <w:r>
        <w:rPr>
          <w:rStyle w:val="817"/>
        </w:rPr>
        <w:t xml:space="preserve">A</w:t>
      </w:r>
      <w:r>
        <w:t xml:space="preserve">ttaché </w:t>
      </w:r>
      <w:r>
        <w:rPr>
          <w:rStyle w:val="817"/>
        </w:rPr>
        <w:t xml:space="preserve">T</w:t>
      </w:r>
      <w:r>
        <w:t xml:space="preserve">emporaire d'</w:t>
      </w:r>
      <w:r>
        <w:rPr>
          <w:rStyle w:val="817"/>
        </w:rPr>
        <w:t xml:space="preserve">E</w:t>
      </w:r>
      <w:r>
        <w:t xml:space="preserve">nseignement et de </w:t>
      </w:r>
      <w:r>
        <w:rPr>
          <w:rStyle w:val="817"/>
        </w:rPr>
        <w:t xml:space="preserve">R</w:t>
      </w:r>
      <w:r>
        <w:t xml:space="preserve">echerche</w:t>
      </w:r>
      <w:r>
        <w:t xml:space="preserve"> (</w:t>
      </w:r>
      <w:r>
        <w:rPr>
          <w:rStyle w:val="817"/>
        </w:rPr>
        <w:t xml:space="preserve">ATER</w:t>
      </w:r>
      <w:r>
        <w:t xml:space="preserve">)</w:t>
      </w:r>
      <w:r>
        <w:t xml:space="preserve"> permet de préparer une thèse ou de se présenter aux concours de recrutement de l'enseignement supérieur tout en enseignant, en qualité d'enseignant contractuel. Un enseignent </w:t>
      </w:r>
      <w:r>
        <w:t xml:space="preserve">chercheur doit assurer</w:t>
      </w:r>
      <w:r>
        <w:t xml:space="preserve"> 128 heures de cours ou 192 heures de travaux dirigés ou 288 heures de travaux pratiques par an.</w:t>
      </w:r>
      <w:r>
        <w:t xml:space="preserve"> </w:t>
      </w:r>
      <w:r>
        <w:t xml:space="preserve">Il est possible d'exercer ses fonctions à temps partiel</w:t>
      </w:r>
      <w:r>
        <w:t xml:space="preserve"> (demi-charge d’enseignement) ou plus rarement d'exercer un temps plein sur 6 mois)</w:t>
      </w:r>
      <w:r>
        <w:t xml:space="preserve">. </w:t>
      </w:r>
      <w:r>
        <w:t xml:space="preserve">L</w:t>
      </w:r>
      <w:r>
        <w:t xml:space="preserve">e service d'enseignement ne peut être inférieur à 64 heures de cours, 96 heures de travaux dirigés ou 144 heures de travaux pratiques par an</w:t>
      </w:r>
      <w:r>
        <w:t xml:space="preserve"> et il ne peut comprendre aucun dépassement</w:t>
      </w:r>
      <w:r>
        <w:t xml:space="preserve">.</w:t>
      </w:r>
      <w:r>
        <w:t xml:space="preserve"> Le statut permet de prétendre à la </w:t>
      </w:r>
      <w:r>
        <w:rPr>
          <w:rStyle w:val="817"/>
        </w:rPr>
        <w:t xml:space="preserve">P</w:t>
      </w:r>
      <w:r>
        <w:t xml:space="preserve">rime de </w:t>
      </w:r>
      <w:r>
        <w:rPr>
          <w:rStyle w:val="817"/>
        </w:rPr>
        <w:t xml:space="preserve">R</w:t>
      </w:r>
      <w:r>
        <w:t xml:space="preserve">echerche et d'</w:t>
      </w:r>
      <w:r>
        <w:rPr>
          <w:rStyle w:val="817"/>
        </w:rPr>
        <w:t xml:space="preserve">E</w:t>
      </w:r>
      <w:r>
        <w:t xml:space="preserve">nseignement </w:t>
      </w:r>
      <w:r>
        <w:rPr>
          <w:rStyle w:val="817"/>
        </w:rPr>
        <w:t xml:space="preserve">S</w:t>
      </w:r>
      <w:r>
        <w:t xml:space="preserve">upérieur (</w:t>
      </w:r>
      <w:r>
        <w:rPr>
          <w:rStyle w:val="817"/>
        </w:rPr>
        <w:t xml:space="preserve">PRES</w:t>
      </w:r>
      <w:r>
        <w:t xml:space="preserve">)</w:t>
      </w:r>
      <w:r>
        <w:t xml:space="preserve">.</w:t>
      </w:r>
      <w:r/>
    </w:p>
    <w:p>
      <w:r>
        <w:t xml:space="preserve">Dans tous les cas l'ATER participe aux diverses obligations qu'implique son activité d'enseignement : encadrement des étudiants, contrôle des connaissances et examens.</w:t>
      </w:r>
      <w:r/>
    </w:p>
    <w:p>
      <w:r>
        <w:t xml:space="preserve">Pour devenir ATER, il faut être dans </w:t>
      </w:r>
      <w:r>
        <w:t xml:space="preserve">l'une des situations suivantes :</w:t>
      </w:r>
      <w:r/>
    </w:p>
    <w:p>
      <w:pPr>
        <w:pStyle w:val="865"/>
      </w:pPr>
      <w:r>
        <w:t xml:space="preserve">E</w:t>
      </w:r>
      <w:r>
        <w:t xml:space="preserve">tre fonctionnaire titulai</w:t>
      </w:r>
      <w:r>
        <w:t xml:space="preserve">re ou stagiaire de catégorie A ;</w:t>
      </w:r>
      <w:r/>
    </w:p>
    <w:p>
      <w:pPr>
        <w:pStyle w:val="865"/>
      </w:pPr>
      <w:r>
        <w:t xml:space="preserve">E</w:t>
      </w:r>
      <w:r>
        <w:t xml:space="preserve">tre inscrit en vue de la préparation d'un doctorat ou d'une habilitation à diriger des recherches, le directeur de thèse devant attester que la thèse peut être </w:t>
      </w:r>
      <w:r>
        <w:t xml:space="preserve">soutenue dans un délai d'un an ;</w:t>
      </w:r>
      <w:r/>
    </w:p>
    <w:p>
      <w:pPr>
        <w:pStyle w:val="865"/>
      </w:pPr>
      <w:r>
        <w:t xml:space="preserve">E</w:t>
      </w:r>
      <w:r>
        <w:t xml:space="preserve">tre déjà titulaire d'un doctorat ou d'une habilitation à diriger des recherches et s'engager à se présenter à un concours de recruteme</w:t>
      </w:r>
      <w:r>
        <w:t xml:space="preserve">nt de l'enseignement supérieur ;</w:t>
      </w:r>
      <w:r/>
    </w:p>
    <w:p>
      <w:pPr>
        <w:pStyle w:val="865"/>
      </w:pPr>
      <w:r>
        <w:t xml:space="preserve">E</w:t>
      </w:r>
      <w:r>
        <w:t xml:space="preserve">tre enseignant ou chercheur de nationalité étrangère ayant exercé des fonctions d'enseignement ou de re</w:t>
      </w:r>
      <w:r>
        <w:t xml:space="preserve">cherche pendant au moins 2 ans ;</w:t>
      </w:r>
      <w:r/>
    </w:p>
    <w:p>
      <w:pPr>
        <w:pStyle w:val="865"/>
      </w:pPr>
      <w:r>
        <w:t xml:space="preserve">E</w:t>
      </w:r>
      <w:r>
        <w:t xml:space="preserve">tre titulaire d'un doctorat ou d'un titre ou diplôme étranger jugé équivalent par la commission de s</w:t>
      </w:r>
      <w:r>
        <w:t xml:space="preserve">pécialistes de l'établissement ;</w:t>
      </w:r>
      <w:r/>
    </w:p>
    <w:p>
      <w:pPr>
        <w:pStyle w:val="865"/>
      </w:pPr>
      <w:r>
        <w:t xml:space="preserve">E</w:t>
      </w:r>
      <w:r>
        <w:t xml:space="preserve">tre moniteur recruté dans le cadre du monitorat d'initiation à l'enseignement supérieur.</w:t>
      </w:r>
      <w:r/>
    </w:p>
    <w:p>
      <w:r>
        <w:t xml:space="preserve">L</w:t>
      </w:r>
      <w:r>
        <w:t xml:space="preserve">e</w:t>
      </w:r>
      <w:r>
        <w:t xml:space="preserve">s</w:t>
      </w:r>
      <w:r>
        <w:t xml:space="preserve"> </w:t>
      </w:r>
      <w:r>
        <w:t xml:space="preserve">Président</w:t>
      </w:r>
      <w:r>
        <w:t xml:space="preserve">s</w:t>
      </w:r>
      <w:r>
        <w:t xml:space="preserve"> </w:t>
      </w:r>
      <w:r>
        <w:t xml:space="preserve">ou </w:t>
      </w:r>
      <w:r>
        <w:t xml:space="preserve">le</w:t>
      </w:r>
      <w:r>
        <w:t xml:space="preserve">s</w:t>
      </w:r>
      <w:r>
        <w:t xml:space="preserve"> Directeur</w:t>
      </w:r>
      <w:r>
        <w:t xml:space="preserve">s</w:t>
      </w:r>
      <w:r>
        <w:t xml:space="preserve"> </w:t>
      </w:r>
      <w:r>
        <w:t xml:space="preserve">d'établissement recrute</w:t>
      </w:r>
      <w:r>
        <w:t xml:space="preserve">nt</w:t>
      </w:r>
      <w:r>
        <w:t xml:space="preserve"> les ATER par contrat à durée déterminée, dont la durée varie selon la catégorie d'ATER dont relève le candidat.</w:t>
      </w:r>
      <w:r>
        <w:t xml:space="preserve"> Les postes sont généralement publiés sur l</w:t>
      </w:r>
      <w:r>
        <w:t xml:space="preserve">e module </w:t>
      </w:r>
      <w:r>
        <w:rPr>
          <w:rStyle w:val="817"/>
        </w:rPr>
        <w:t xml:space="preserve">ALTAÏR</w:t>
      </w:r>
      <w:r>
        <w:t xml:space="preserve"> du portail GALAXIE (site de gestion des personnels </w:t>
      </w:r>
      <w:r>
        <w:t xml:space="preserve">du supérieur)</w:t>
      </w:r>
      <w:r>
        <w:t xml:space="preserve">. Afin d’être informé de toute nouvelle ouverture de candidature il est nécessaire de s’inscrire à la </w:t>
      </w:r>
      <w:r>
        <w:rPr>
          <w:rStyle w:val="817"/>
        </w:rPr>
        <w:t xml:space="preserve">lettre d'information du portail GALAXIE</w:t>
      </w:r>
      <w:r>
        <w:t xml:space="preserve"> (inscription nécessaire). </w:t>
      </w:r>
      <w:r>
        <w:t xml:space="preserve">Certains </w:t>
      </w:r>
      <w:r>
        <w:t xml:space="preserve">établissement</w:t>
      </w:r>
      <w:r>
        <w:t xml:space="preserve">s</w:t>
      </w:r>
      <w:r>
        <w:t xml:space="preserve"> </w:t>
      </w:r>
      <w:r>
        <w:t xml:space="preserve">ne déposent pas leurs postes sur cette application, il peut être intéressant de visiter les pages recrutement.</w:t>
      </w:r>
      <w:r/>
    </w:p>
    <w:p>
      <w:r>
        <w:rPr>
          <w:rStyle w:val="817"/>
        </w:rPr>
        <w:t xml:space="preserve">Toutes les universités n’ont pas les mêmes dates limites </w:t>
      </w:r>
      <w:r>
        <w:rPr>
          <w:rStyle w:val="817"/>
        </w:rPr>
        <w:t xml:space="preserve">de candidature</w:t>
      </w:r>
      <w:r>
        <w:t xml:space="preserve">. Les recrutements peuvent commencer assez tôt dans l’année </w:t>
      </w:r>
      <w:r>
        <w:t xml:space="preserve">(février) </w:t>
      </w:r>
      <w:r>
        <w:t xml:space="preserve">et se faire en deux phases.</w:t>
      </w:r>
      <w:r/>
    </w:p>
    <w:p>
      <w:r>
        <w:t xml:space="preserve">Gardez précieusement le numéro qui vous est attribué car les dossiers de qualification</w:t>
      </w:r>
      <w:r>
        <w:t xml:space="preserve"> </w:t>
      </w:r>
      <w:r>
        <w:t xml:space="preserve">se font aussi par le portail GALAXIE</w:t>
      </w:r>
      <w:r>
        <w:t xml:space="preserve"> </w:t>
      </w:r>
      <w:r>
        <w:t xml:space="preserve">mais sur le module ANTARES</w:t>
      </w:r>
      <w:r>
        <w:t xml:space="preserve"> (voir : </w:t>
      </w:r>
      <w:r>
        <w:fldChar w:fldCharType="begin"/>
      </w:r>
      <w:r>
        <w:instrText xml:space="preserve"> REF _Ref367319463 \h </w:instrText>
      </w:r>
      <w:r>
        <w:fldChar w:fldCharType="separate"/>
      </w:r>
      <w:r>
        <w:t xml:space="preserve">Devenir Enseignant-Chercheur à l’Université</w:t>
      </w:r>
      <w:r>
        <w:fldChar w:fldCharType="end"/>
      </w:r>
      <w:r>
        <w:t xml:space="preserve">)</w:t>
      </w:r>
      <w:r>
        <w:t xml:space="preserve">.</w:t>
      </w:r>
      <w:r/>
    </w:p>
    <w:p>
      <w:pPr>
        <w:pStyle w:val="790"/>
      </w:pPr>
      <w:r/>
      <w:bookmarkStart w:id="92" w:name="_Toc367812163"/>
      <w:r/>
      <w:bookmarkStart w:id="93" w:name="_Toc92377755"/>
      <w:r>
        <w:t xml:space="preserve">P</w:t>
      </w:r>
      <w:r>
        <w:t xml:space="preserve">ost</w:t>
      </w:r>
      <w:r>
        <w:t xml:space="preserve">-</w:t>
      </w:r>
      <w:r>
        <w:t xml:space="preserve">doctorat</w:t>
      </w:r>
      <w:bookmarkEnd w:id="92"/>
      <w:r/>
      <w:bookmarkEnd w:id="93"/>
      <w:r/>
      <w:r/>
    </w:p>
    <w:p>
      <w:r>
        <w:t xml:space="preserve">Le </w:t>
      </w:r>
      <w:r>
        <w:t xml:space="preserve">post doctorat</w:t>
      </w:r>
      <w:r>
        <w:t xml:space="preserve"> (contrat de recherche dans un laboratoire réalisé à l’issue de la thèse) est de plus en plus demandé pour faire une carri</w:t>
      </w:r>
      <w:r>
        <w:t xml:space="preserve">ère dans la recherche publique.</w:t>
      </w:r>
      <w:r/>
    </w:p>
    <w:p>
      <w:r>
        <w:t xml:space="preserve">Sites de recherche de post-doc :</w:t>
      </w:r>
      <w:r>
        <w:t xml:space="preserve"> </w:t>
      </w:r>
      <w:r>
        <w:t xml:space="preserve">(</w:t>
      </w:r>
      <w:r>
        <w:rPr>
          <w:rStyle w:val="817"/>
        </w:rPr>
        <w:t xml:space="preserve">Association Bernard-Gregory) </w:t>
      </w:r>
      <w:hyperlink r:id="rId40" w:tooltip="http://www.intelliagence.fr/" w:history="1">
        <w:r>
          <w:rPr>
            <w:rStyle w:val="812"/>
          </w:rPr>
          <w:t xml:space="preserve">http://www.</w:t>
        </w:r>
        <w:r>
          <w:rPr>
            <w:rStyle w:val="812"/>
          </w:rPr>
          <w:t xml:space="preserve">intelliagence</w:t>
        </w:r>
        <w:r>
          <w:rPr>
            <w:rStyle w:val="812"/>
          </w:rPr>
          <w:t xml:space="preserve">.fr/</w:t>
        </w:r>
      </w:hyperlink>
      <w:r/>
      <w:r/>
    </w:p>
    <w:p>
      <w:r>
        <w:t xml:space="preserve">L</w:t>
      </w:r>
      <w:r>
        <w:t xml:space="preserve">a participation </w:t>
      </w:r>
      <w:r>
        <w:t xml:space="preserve">à des projets permet de se faire des contacts et trouver plus facilement des post-docs.</w:t>
      </w:r>
      <w:r/>
    </w:p>
    <w:p>
      <w:pPr>
        <w:pStyle w:val="790"/>
      </w:pPr>
      <w:r/>
      <w:bookmarkStart w:id="94" w:name="_Ref367319463"/>
      <w:r/>
      <w:bookmarkStart w:id="95" w:name="_Toc367812164"/>
      <w:r/>
      <w:bookmarkStart w:id="96" w:name="_Toc92377756"/>
      <w:r>
        <w:t xml:space="preserve">Devenir E</w:t>
      </w:r>
      <w:r>
        <w:t xml:space="preserve">nseignant</w:t>
      </w:r>
      <w:r>
        <w:t xml:space="preserve">-C</w:t>
      </w:r>
      <w:r>
        <w:t xml:space="preserve">h</w:t>
      </w:r>
      <w:r>
        <w:t xml:space="preserve">e</w:t>
      </w:r>
      <w:r>
        <w:t xml:space="preserve">rcheur à l’Université</w:t>
      </w:r>
      <w:bookmarkEnd w:id="94"/>
      <w:r/>
      <w:bookmarkEnd w:id="95"/>
      <w:r/>
      <w:bookmarkEnd w:id="96"/>
      <w:r/>
      <w:r/>
    </w:p>
    <w:p>
      <w:r>
        <w:t xml:space="preserve">La fonction de Maître de Conférences est une possibilité de débouché à l’issue de la thèse. Pour y accéder, dans un premier </w:t>
      </w:r>
      <w:r>
        <w:t xml:space="preserve">temps, </w:t>
      </w:r>
      <w:r>
        <w:t xml:space="preserve">il faut être qualifié par le Conseil National des Universités (CNU). La qualification assur</w:t>
      </w:r>
      <w:r>
        <w:t xml:space="preserve">e que vous avez le niveau de connaissances dans la section dans laquelle vous faites votre demande pour assurer les tâches inhérentes à un enseignant chercheur. C’est la condition nécessaire pour pouvoir postuler sur les postes offerts par les universités.</w:t>
      </w:r>
      <w:r/>
    </w:p>
    <w:p>
      <w:r>
        <w:t xml:space="preserve">Le CNU est subdivisé en groupes qui sont l’association de plusieurs sections</w:t>
      </w:r>
      <w:r>
        <w:t xml:space="preserve">.</w:t>
      </w:r>
      <w:r/>
    </w:p>
    <w:p>
      <w:r>
        <w:t xml:space="preserve">Les activités du LOCIE s</w:t>
      </w:r>
      <w:r>
        <w:t xml:space="preserve">e place</w:t>
      </w:r>
      <w:r>
        <w:t xml:space="preserve">nt</w:t>
      </w:r>
      <w:r>
        <w:t xml:space="preserve"> dans le groupe 9 et plus particulièrement dans les sections :</w:t>
      </w:r>
      <w:r/>
    </w:p>
    <w:p>
      <w:pPr>
        <w:pStyle w:val="838"/>
      </w:pPr>
      <w:r>
        <w:t xml:space="preserve">60 : mécanique, génie mécanique, génie civil ;</w:t>
      </w:r>
      <w:r/>
    </w:p>
    <w:p>
      <w:pPr>
        <w:pStyle w:val="838"/>
      </w:pPr>
      <w:r>
        <w:t xml:space="preserve">62 : énergétique, génie des procédés.</w:t>
      </w:r>
      <w:r/>
    </w:p>
    <w:p>
      <w:r>
        <w:t xml:space="preserve">Le dossier de qualification se dépose au cours du quatrième trimestre de l’année civile de soutenance de la thèse sur la base </w:t>
      </w:r>
      <w:r>
        <w:rPr>
          <w:rStyle w:val="817"/>
        </w:rPr>
        <w:t xml:space="preserve">ANTARES</w:t>
      </w:r>
      <w:r>
        <w:t xml:space="preserve"> du Ministère de l’Enseignement Supérieur de la Recherche et de l’Innovation  (MESRI).</w:t>
      </w:r>
      <w:r>
        <w:t xml:space="preserve"> La</w:t>
      </w:r>
      <w:r>
        <w:t xml:space="preserve"> phase d’inscription démarre </w:t>
      </w:r>
      <w:r>
        <w:rPr>
          <w:rStyle w:val="817"/>
        </w:rPr>
        <w:t xml:space="preserve">dès septembre</w:t>
      </w:r>
      <w:r>
        <w:t xml:space="preserve">.</w:t>
      </w:r>
      <w:r/>
    </w:p>
    <w:p>
      <w:r>
        <w:t xml:space="preserve">Vous avez la possibilité de postuler dans plusieurs sections.</w:t>
      </w:r>
      <w:r/>
    </w:p>
    <w:p>
      <w:r>
        <w:t xml:space="preserve">Out</w:t>
      </w:r>
      <w:r>
        <w:t xml:space="preserve">re les pièces administratives (extrait de naissance, attestation de soutenance de la thèse avant la date limite fixée, etc.) le dossier doit comprendre une notice individuelle dans laquelle vous devez détailler vos activités d’enseignement et de recherche.</w:t>
      </w:r>
      <w:r/>
    </w:p>
    <w:p>
      <w:r>
        <w:t xml:space="preserve">Actuellement, les critères minimaux requis pour prétendre à la qualification sont au moins une publication dans une revue d’audience internationale et avoir eu une activité d’enseignement au cours de la préparation de la thèse ; </w:t>
      </w:r>
      <w:r>
        <w:t xml:space="preserve">cette dernière condition risquant d’évoluer avec la réforme des contrats doctoraux.</w:t>
      </w:r>
      <w:r/>
    </w:p>
    <w:p>
      <w:pPr>
        <w:rPr>
          <w:highlight w:val="none"/>
        </w:rPr>
      </w:pPr>
      <w:r>
        <w:t xml:space="preserve">Vous trouverez plus de détail sur le site : </w:t>
      </w:r>
      <w:hyperlink r:id="rId41" w:tooltip="http://www.cpcnu.fr/" w:history="1">
        <w:r>
          <w:rPr>
            <w:rStyle w:val="812"/>
          </w:rPr>
          <w:t xml:space="preserve">http:/</w:t>
        </w:r>
        <w:r>
          <w:rPr>
            <w:rStyle w:val="812"/>
          </w:rPr>
          <w:t xml:space="preserve">/www.cpcnu.</w:t>
        </w:r>
        <w:r>
          <w:rPr>
            <w:rStyle w:val="812"/>
          </w:rPr>
          <w:t xml:space="preserve">fr/</w:t>
        </w:r>
      </w:hyperlink>
      <w:r>
        <w:t xml:space="preserve"> </w:t>
      </w:r>
      <w:r/>
    </w:p>
    <w:p>
      <w:r>
        <w:rPr>
          <w:highlight w:val="none"/>
        </w:rPr>
      </w:r>
      <w:r>
        <w:rPr>
          <w:highlight w:val="none"/>
        </w:rPr>
      </w:r>
      <w:r/>
    </w:p>
    <w:p>
      <w:r/>
      <w:r/>
    </w:p>
    <w:p>
      <w:pPr>
        <w:pStyle w:val="790"/>
      </w:pPr>
      <w:r/>
      <w:bookmarkStart w:id="97" w:name="_Toc367812165"/>
      <w:r/>
      <w:bookmarkStart w:id="98" w:name="_Toc92377757"/>
      <w:r>
        <w:t xml:space="preserve">Faire carrière au CNRS</w:t>
      </w:r>
      <w:bookmarkEnd w:id="97"/>
      <w:r/>
      <w:bookmarkEnd w:id="98"/>
      <w:r/>
      <w:r/>
    </w:p>
    <w:p>
      <w:r>
        <w:t xml:space="preserve">Au CNRS, les chercheurs sont des fonctionnaires. Il existe deux corps de personnels de recherche : les </w:t>
      </w:r>
      <w:r>
        <w:t xml:space="preserve">chargés de recherche et les</w:t>
      </w:r>
      <w:r>
        <w:t xml:space="preserve"> directeurs de recherche. Chacun des corps</w:t>
      </w:r>
      <w:r>
        <w:t xml:space="preserve"> de che</w:t>
      </w:r>
      <w:r>
        <w:t xml:space="preserve">rcheurs est composé de grades :</w:t>
      </w:r>
      <w:r/>
    </w:p>
    <w:p>
      <w:pPr>
        <w:pStyle w:val="838"/>
      </w:pPr>
      <w:r>
        <w:t xml:space="preserve">Chargé</w:t>
      </w:r>
      <w:r>
        <w:t xml:space="preserve"> de rech</w:t>
      </w:r>
      <w:r>
        <w:t xml:space="preserve">erche : 2e classe, 1ère classe</w:t>
      </w:r>
      <w:r>
        <w:t xml:space="preserve"> </w:t>
      </w:r>
      <w:r>
        <w:t xml:space="preserve">;</w:t>
      </w:r>
      <w:r/>
    </w:p>
    <w:p>
      <w:pPr>
        <w:pStyle w:val="838"/>
      </w:pPr>
      <w:r>
        <w:t xml:space="preserve">D</w:t>
      </w:r>
      <w:r>
        <w:t xml:space="preserve">irecteur de recherche 2e classe, 1ère</w:t>
      </w:r>
      <w:r>
        <w:t xml:space="preserve"> classe, classe exceptionnelle.</w:t>
      </w:r>
      <w:r/>
    </w:p>
    <w:p>
      <w:r>
        <w:t xml:space="preserve">Les chercheurs du CNRS, chargés de recherche</w:t>
      </w:r>
      <w:r>
        <w:t xml:space="preserve"> (CR)</w:t>
      </w:r>
      <w:r>
        <w:t xml:space="preserve"> et directeurs de recherche</w:t>
      </w:r>
      <w:r>
        <w:t xml:space="preserve"> (DR)</w:t>
      </w:r>
      <w:r>
        <w:t xml:space="preserve">, sont des fonctionnaires de l'État. La voie de recrutement pour y accéder est, en France, celle du concours. Les concours de recrutement pour accéder à ces corps de fonctionnaires</w:t>
      </w:r>
      <w:r>
        <w:t xml:space="preserve"> qui travaillent pour la recherche publique sont différents du reste de la fonction publique française. La sélection des candidatures s'effectue sur dossiers. L'audition est la seule épreuve nécessitant la présence du candidat. Pour ces raisons, l'on parle</w:t>
      </w:r>
      <w:r>
        <w:t xml:space="preserve"> de " concours sur titres et travaux ". Les chercheurs des établissements publics à caractère scientifique et technologique partagent cette spécificité avec les enseignants-chercheurs, à savoir les maîtres de conférences et les professeurs des universités.</w:t>
      </w:r>
      <w:r/>
    </w:p>
    <w:p>
      <w:r>
        <w:t xml:space="preserve">L’inscription au concours est possible dès la parution des arrêtés d'ouverture au Journal </w:t>
      </w:r>
      <w:r>
        <w:t xml:space="preserve">Officiel </w:t>
      </w:r>
      <w:r>
        <w:t xml:space="preserve">de la République </w:t>
      </w:r>
      <w:r>
        <w:t xml:space="preserve">Française</w:t>
      </w:r>
      <w:r>
        <w:t xml:space="preserve">. Une date limite de clôture des inscriptions est fixée. Elle a lieu typiquement en début d’année</w:t>
      </w:r>
      <w:r>
        <w:t xml:space="preserve"> civile</w:t>
      </w:r>
      <w:r>
        <w:t xml:space="preserve">. </w:t>
      </w:r>
      <w:r/>
    </w:p>
    <w:p>
      <w:r>
        <w:t xml:space="preserve">Les dossiers sont évalué</w:t>
      </w:r>
      <w:r>
        <w:t xml:space="preserve">s</w:t>
      </w:r>
      <w:r>
        <w:t xml:space="preserve"> par le Comité national, instance d'évaluation des laboratoires et des cherche</w:t>
      </w:r>
      <w:r>
        <w:t xml:space="preserve">urs. Il est notamment composé de 40 sections et de commissions interdisciplinaires. Chacune est compétente pour une discipline ou un groupe de disciplines scientifiques. Ce sont ces sections et commissions interdisciplinaires qui examinent les candidatures</w:t>
      </w:r>
      <w:r>
        <w:t xml:space="preserve">.</w:t>
      </w:r>
      <w:r/>
    </w:p>
    <w:p>
      <w:r>
        <w:t xml:space="preserve">Les concours se déroulent en deux phases : la </w:t>
      </w:r>
      <w:r>
        <w:t xml:space="preserve">phase d'admissibilité</w:t>
      </w:r>
      <w:r>
        <w:t xml:space="preserve"> et la </w:t>
      </w:r>
      <w:r>
        <w:t xml:space="preserve">phase d'admission</w:t>
      </w:r>
      <w:r>
        <w:t xml:space="preserve">.</w:t>
      </w:r>
      <w:r/>
    </w:p>
    <w:p>
      <w:r>
        <w:t xml:space="preserve">Pour les chargés de recherche, l</w:t>
      </w:r>
      <w:r>
        <w:t xml:space="preserve">a phase d’admissibilité comporte deux étapes distinctes : une présélection des candidats sur dossier par le jury d’admissibilité compétent, puis – pour les candidats présélectionnés – une audition par le jury d’admissibilité compétent.</w:t>
      </w:r>
      <w:r/>
    </w:p>
    <w:p>
      <w:r>
        <w:t xml:space="preserve">À l’issue de chacune de ces deux étapes, les candidats sont déclarés ou non admissibles. Chacune de ces deux étapes don</w:t>
      </w:r>
      <w:r>
        <w:t xml:space="preserve">ne lieu à une décision établissant les candidats admissibles. Les candidats qui ne sont pas déclarés admissibles en reçoivent notification. La liste des candidats admissibles sera également affichée sur ce site dans la rubrique consacrée aux " résultats ".</w:t>
      </w:r>
      <w:r/>
    </w:p>
    <w:p>
      <w:r>
        <w:t xml:space="preserve">La phase d'admission consiste en l'arrêt de la liste des candidats définitivement admis sur la base de l'examen du dossier des candidats admissibles par le jury d’admission compétent.</w:t>
      </w:r>
      <w:r/>
    </w:p>
    <w:p>
      <w:r>
        <w:t xml:space="preserve">Le concours CNRS diffère du concours de recrutement universitaire sur plusieurs points : </w:t>
      </w:r>
      <w:r/>
    </w:p>
    <w:p>
      <w:pPr>
        <w:pStyle w:val="865"/>
      </w:pPr>
      <w:r>
        <w:t xml:space="preserve">Le recrutement est fait après une évaluation nationale (jury d’</w:t>
      </w:r>
      <w:r>
        <w:t xml:space="preserve">admissibilité</w:t>
      </w:r>
      <w:r>
        <w:t xml:space="preserve"> par commissions nationales). A </w:t>
      </w:r>
      <w:r>
        <w:t xml:space="preserve">l’opposé</w:t>
      </w:r>
      <w:r>
        <w:t xml:space="preserve">, le recrutement universitaire fait intervenir des commissions locales (les </w:t>
      </w:r>
      <w:r>
        <w:t xml:space="preserve">comités de sélection</w:t>
      </w:r>
      <w:r>
        <w:t xml:space="preserve">).</w:t>
      </w:r>
      <w:r/>
    </w:p>
    <w:p>
      <w:pPr>
        <w:pStyle w:val="865"/>
      </w:pPr>
      <w:r>
        <w:t xml:space="preserve">Certains postes sont </w:t>
      </w:r>
      <w:r>
        <w:t xml:space="preserve">fléchés </w:t>
      </w:r>
      <w:r>
        <w:t xml:space="preserve">soit thématiquement, soit géographiquement mais beaucoup n’ont pas de fléchage prédéfini. A l’opposé, les postes d’enseignants-chercheurs sont affectés à un établissement donné. </w:t>
      </w:r>
      <w:r/>
    </w:p>
    <w:p>
      <w:r>
        <w:t xml:space="preserve">Ces différences entraînent des usages différents. En gros, on se présente au CNRS avec le soutien d’un laboratoire. Cela signifie que vous avez contacté le laboratoire et que ce dernier est </w:t>
      </w:r>
      <w:r>
        <w:t xml:space="preserve">intéressé</w:t>
      </w:r>
      <w:r>
        <w:t xml:space="preserve"> par votre candidature</w:t>
      </w:r>
      <w:r>
        <w:t xml:space="preserve"> ; mais </w:t>
      </w:r>
      <w:r>
        <w:t xml:space="preserve">bien entendu, c’est la commission qui décide</w:t>
      </w:r>
      <w:r>
        <w:t xml:space="preserve"> </w:t>
      </w:r>
      <w:r>
        <w:t xml:space="preserve">! C’est elle qui a une vue nationale et une politique d’ensemble pour la recherche relevant de sa compétence</w:t>
      </w:r>
      <w:r>
        <w:t xml:space="preserve">.</w:t>
      </w:r>
      <w:r>
        <w:t xml:space="preserve"> </w:t>
      </w:r>
      <w:r/>
    </w:p>
    <w:p>
      <w:r>
        <w:t xml:space="preserve">La première démarche à faire pour candidater au CNRS est d’avoir le soutien d</w:t>
      </w:r>
      <w:r>
        <w:t xml:space="preserve">’</w:t>
      </w:r>
      <w:r>
        <w:t xml:space="preserve">un ou de plusieurs </w:t>
      </w:r>
      <w:r>
        <w:t xml:space="preserve">laboratoires</w:t>
      </w:r>
      <w:r>
        <w:t xml:space="preserve">. Ceci implique d</w:t>
      </w:r>
      <w:r>
        <w:t xml:space="preserve">e prendre contact de manière approfondie avec le laboratoire d’accueil. Le nombre de postes dans une section est souvent de l’ordre de la demi-douzaine dans toute la France. C’est bien moins que le nombre de laboratoires relevant de ladite section. Un labo</w:t>
      </w:r>
      <w:r>
        <w:t xml:space="preserve">ratoire</w:t>
      </w:r>
      <w:r>
        <w:t xml:space="preserve"> peut difficilement espérer plus d’un recrutement CNRS toutes les quelques années. D’</w:t>
      </w:r>
      <w:r>
        <w:t xml:space="preserve">où</w:t>
      </w:r>
      <w:r>
        <w:t xml:space="preserve"> la nécessité de contacts pris longtemps à l’avance et de manière approfondie</w:t>
      </w:r>
      <w:r>
        <w:t xml:space="preserve"> ; u</w:t>
      </w:r>
      <w:r>
        <w:t xml:space="preserve">n </w:t>
      </w:r>
      <w:r>
        <w:t xml:space="preserve">séjour </w:t>
      </w:r>
      <w:r>
        <w:t xml:space="preserve">de moyenne durée - 1 à 12 mois - et des collaborations avec le laboratoire d’accueil envisagé sont un sérieux atout, et sont</w:t>
      </w:r>
      <w:r>
        <w:t xml:space="preserve">,</w:t>
      </w:r>
      <w:r>
        <w:t xml:space="preserve"> de plus</w:t>
      </w:r>
      <w:r>
        <w:t xml:space="preserve">,</w:t>
      </w:r>
      <w:r>
        <w:t xml:space="preserve"> des éléments positifs pour la commission de recrutement.</w:t>
      </w:r>
      <w:r/>
    </w:p>
    <w:p>
      <w:r>
        <w:t xml:space="preserve">Le recrutement CNRS est un exercice spécifique qui se prépare assez longtemps à l’avance </w:t>
      </w:r>
      <w:r/>
    </w:p>
    <w:p>
      <w:pPr>
        <w:rPr>
          <w:highlight w:val="none"/>
        </w:rPr>
      </w:pPr>
      <w:r>
        <w:t xml:space="preserve">Vous trouverez plus de détail sur le site : </w:t>
      </w:r>
      <w:hyperlink r:id="rId42" w:tooltip="http://www.dgdr.cnrs.fr/" w:history="1">
        <w:r>
          <w:rPr>
            <w:rStyle w:val="812"/>
          </w:rPr>
          <w:t xml:space="preserve">http://www.dgdr.cnrs.fr/</w:t>
        </w:r>
      </w:hyperlink>
      <w:r>
        <w:t xml:space="preserve"> ou sur le site </w:t>
      </w:r>
      <w:hyperlink r:id="rId43" w:tooltip="http://guilde.jeunes-chercheurs.org/Alire/guide/apres/apresse4.html" w:history="1">
        <w:r>
          <w:rPr>
            <w:rStyle w:val="812"/>
          </w:rPr>
          <w:t xml:space="preserve">http://guilde.jeunes-chercheurs.org/Alire/guide/apres/apresse4.html</w:t>
        </w:r>
      </w:hyperlink>
      <w:r/>
      <w:r/>
    </w:p>
    <w:p>
      <w:pPr>
        <w:rPr>
          <w:rStyle w:val="812"/>
        </w:rPr>
      </w:pPr>
      <w:r>
        <w:rPr>
          <w:highlight w:val="none"/>
        </w:rPr>
      </w:r>
      <w:r>
        <w:rPr>
          <w:highlight w:val="none"/>
        </w:rPr>
      </w:r>
      <w:r/>
    </w:p>
    <w:p>
      <w:pPr>
        <w:pStyle w:val="790"/>
      </w:pPr>
      <w:r/>
      <w:bookmarkStart w:id="99" w:name="_Toc92377758"/>
      <w:r>
        <w:t xml:space="preserve">Ingénieur de recherche</w:t>
      </w:r>
      <w:bookmarkEnd w:id="99"/>
      <w:r/>
      <w:r/>
    </w:p>
    <w:p>
      <w:r>
        <w:t xml:space="preserve">L</w:t>
      </w:r>
      <w:r>
        <w:t xml:space="preserve">a thèse permet</w:t>
      </w:r>
      <w:r>
        <w:t xml:space="preserve"> également d’être </w:t>
      </w:r>
      <w:r>
        <w:t xml:space="preserve">I</w:t>
      </w:r>
      <w:r>
        <w:t xml:space="preserve">ngénieur de </w:t>
      </w:r>
      <w:r>
        <w:t xml:space="preserve">R</w:t>
      </w:r>
      <w:r>
        <w:t xml:space="preserve">echerche dans d’</w:t>
      </w:r>
      <w:r>
        <w:t xml:space="preserve">autre</w:t>
      </w:r>
      <w:r>
        <w:t xml:space="preserve">s</w:t>
      </w:r>
      <w:r>
        <w:t xml:space="preserve"> orga</w:t>
      </w:r>
      <w:r>
        <w:t xml:space="preserve">nismes de r</w:t>
      </w:r>
      <w:r>
        <w:t xml:space="preserve">echer</w:t>
      </w:r>
      <w:r>
        <w:t xml:space="preserve">c</w:t>
      </w:r>
      <w:r>
        <w:t xml:space="preserve">he ou</w:t>
      </w:r>
      <w:r>
        <w:t xml:space="preserve"> des départements de </w:t>
      </w:r>
      <w:r>
        <w:t xml:space="preserve">R</w:t>
      </w:r>
      <w:r>
        <w:t xml:space="preserve">&amp;</w:t>
      </w:r>
      <w:r>
        <w:t xml:space="preserve">D d</w:t>
      </w:r>
      <w:r>
        <w:t xml:space="preserve">ans les sociétés</w:t>
      </w:r>
      <w:r>
        <w:t xml:space="preserve"> privé</w:t>
      </w:r>
      <w:r>
        <w:t xml:space="preserve">es.</w:t>
      </w:r>
      <w:r/>
    </w:p>
    <w:p>
      <w:pPr>
        <w:pStyle w:val="789"/>
      </w:pPr>
      <w:r/>
      <w:bookmarkStart w:id="100" w:name="_Toc367812180"/>
      <w:r/>
      <w:bookmarkStart w:id="101" w:name="_Toc92377759"/>
      <w:r>
        <w:t xml:space="preserve">I</w:t>
      </w:r>
      <w:r>
        <w:t xml:space="preserve">nformations complémentaires</w:t>
      </w:r>
      <w:bookmarkEnd w:id="100"/>
      <w:r/>
      <w:bookmarkEnd w:id="101"/>
      <w:r/>
      <w:r/>
    </w:p>
    <w:p>
      <w:pPr>
        <w:pStyle w:val="790"/>
      </w:pPr>
      <w:r/>
      <w:bookmarkStart w:id="102" w:name="_Toc92377760"/>
      <w:r>
        <w:t xml:space="preserve">Formation continue</w:t>
      </w:r>
      <w:bookmarkEnd w:id="102"/>
      <w:r/>
      <w:r/>
    </w:p>
    <w:p>
      <w:r>
        <w:t xml:space="preserve">Outre les formations proposées par l’école doctorale (ADUM/ Catalogue de formation), il existe de nombreuses ressources pour monter en compétence en continue sur un sujet qui touche à son travail de recherche :</w:t>
      </w:r>
      <w:r/>
    </w:p>
    <w:p>
      <w:pPr>
        <w:rPr>
          <w:highlight w:val="none"/>
        </w:rPr>
      </w:pPr>
      <w:r>
        <w:t xml:space="preserve">Cours en ligne gratuits proposés par de grandes universités mondiales : </w:t>
      </w:r>
      <w:hyperlink r:id="rId44" w:tooltip="https://www.edx.org/" w:history="1">
        <w:r>
          <w:rPr>
            <w:rStyle w:val="812"/>
          </w:rPr>
          <w:t xml:space="preserve">https://www.edx.org/</w:t>
        </w:r>
      </w:hyperlink>
      <w:r>
        <w:t xml:space="preserve">Cours en ligne gratuits, plutôt en français : </w:t>
      </w:r>
      <w:hyperlink r:id="rId45" w:tooltip="https://openclassrooms.com/" w:history="1">
        <w:r>
          <w:rPr>
            <w:rStyle w:val="812"/>
          </w:rPr>
          <w:t xml:space="preserve">https://openclassrooms.com/</w:t>
        </w:r>
      </w:hyperlink>
      <w:r/>
      <w:r/>
    </w:p>
    <w:p>
      <w:r>
        <w:rPr>
          <w:highlight w:val="none"/>
        </w:rPr>
      </w:r>
      <w:r>
        <w:rPr>
          <w:highlight w:val="none"/>
        </w:rPr>
      </w:r>
      <w:r/>
    </w:p>
    <w:p>
      <w:r/>
      <w:r/>
    </w:p>
    <w:p>
      <w:pPr>
        <w:pStyle w:val="791"/>
      </w:pPr>
      <w:r/>
      <w:bookmarkStart w:id="105" w:name="_Toc92377762"/>
      <w:r>
        <w:t xml:space="preserve">Gérer son projet de thèse</w:t>
      </w:r>
      <w:bookmarkEnd w:id="105"/>
      <w:r/>
      <w:r/>
    </w:p>
    <w:p>
      <w:pPr>
        <w:pStyle w:val="793"/>
      </w:pPr>
      <w:r/>
      <w:bookmarkStart w:id="106" w:name="_Toc92377763"/>
      <w:r>
        <w:t xml:space="preserve">L</w:t>
      </w:r>
      <w:r>
        <w:t xml:space="preserve">ivre « l’art de la thèse »</w:t>
      </w:r>
      <w:bookmarkEnd w:id="106"/>
      <w:r/>
      <w:r/>
    </w:p>
    <w:p>
      <w:r>
        <w:t xml:space="preserve">Ce livre est un guide pratique. Il doit d</w:t>
      </w:r>
      <w:r>
        <w:t xml:space="preserve">’</w:t>
      </w:r>
      <w:r>
        <w:t xml:space="preserve">abord vous aider </w:t>
      </w:r>
      <w:r>
        <w:t xml:space="preserve">à</w:t>
      </w:r>
      <w:r>
        <w:t xml:space="preserve"> bien engager votre travail de thèse. Ensuite, il vous accompagnera tout au long de sa réalisation, pour répondre à des questions que vous vous poserez ou pour vous aider</w:t>
      </w:r>
      <w:r>
        <w:t xml:space="preserve"> à</w:t>
      </w:r>
      <w:r>
        <w:t xml:space="preserve"> surmonter des difficultés. Comme la réparation d’un moteur de voiture ou le montage de rayonnages de bibliothèque, la préparation et la rédaction d’une thèse, </w:t>
      </w:r>
      <w:r>
        <w:t xml:space="preserve">exige</w:t>
      </w:r>
      <w:r>
        <w:t xml:space="preserve"> une méthode.</w:t>
      </w:r>
      <w:r/>
    </w:p>
    <w:p>
      <w:r>
        <w:t xml:space="preserve">Ce livre suit donc les</w:t>
      </w:r>
      <w:r>
        <w:t xml:space="preserve"> </w:t>
      </w:r>
      <w:r>
        <w:t xml:space="preserve">différentes étapes</w:t>
      </w:r>
      <w:r>
        <w:t xml:space="preserve"> </w:t>
      </w:r>
      <w:r>
        <w:t xml:space="preserve">de la démarche organisée qui va de</w:t>
      </w:r>
      <w:r>
        <w:t xml:space="preserve"> </w:t>
      </w:r>
      <w:r>
        <w:t xml:space="preserve">l’intention de faire une thèse</w:t>
      </w:r>
      <w:r>
        <w:t xml:space="preserve"> </w:t>
      </w:r>
      <w:r>
        <w:t xml:space="preserve">à</w:t>
      </w:r>
      <w:r>
        <w:t xml:space="preserve"> </w:t>
      </w:r>
      <w:r>
        <w:t xml:space="preserve">la soutenance</w:t>
      </w:r>
      <w:r>
        <w:t xml:space="preserve"> </w:t>
      </w:r>
      <w:r>
        <w:t xml:space="preserve">...et même aux lendemains de</w:t>
      </w:r>
      <w:r>
        <w:t xml:space="preserve"> </w:t>
      </w:r>
      <w:r>
        <w:t xml:space="preserve">la soutenance </w:t>
      </w:r>
      <w:r/>
    </w:p>
    <w:p>
      <w:pPr>
        <w:pStyle w:val="793"/>
      </w:pPr>
      <w:r/>
      <w:bookmarkStart w:id="107" w:name="_Toc92377764"/>
      <w:r>
        <w:t xml:space="preserve">L</w:t>
      </w:r>
      <w:r>
        <w:t xml:space="preserve">ivre « </w:t>
      </w:r>
      <w:r>
        <w:t xml:space="preserve">la communication scientifique</w:t>
      </w:r>
      <w:r>
        <w:t xml:space="preserve"> </w:t>
      </w:r>
      <w:r>
        <w:t xml:space="preserve">en anglais »</w:t>
      </w:r>
      <w:bookmarkEnd w:id="107"/>
      <w:r/>
      <w:r/>
    </w:p>
    <w:p>
      <w:r>
        <w:t xml:space="preserve">Cet ouvrage est un guide bilingue s'adressant aux scientifiques, étudiants, chercheurs et ingénieurs, quel que soit leur domaine : physique, chimie, biologie, médecine, etc.</w:t>
      </w:r>
      <w:r>
        <w:t xml:space="preserve"> </w:t>
      </w:r>
      <w:r>
        <w:t xml:space="preserve">Il comporte 4 parties de 10 unités chacune :</w:t>
      </w:r>
      <w:r>
        <w:t xml:space="preserve"> </w:t>
      </w:r>
      <w:r>
        <w:t xml:space="preserve">- accueillir un visiteur ou rendre visite, présenter produ</w:t>
      </w:r>
      <w:r>
        <w:t xml:space="preserve">its et services etc.- communiquer en réseau (internet, courriel, mémo, lettre, téléphone, contrat), présenter un projet, rédiger un mémo, etc.- écrire une publication, un rapport, etc.- participer à un congrès, un séminaire, assister à une conférence, etc.</w:t>
      </w:r>
      <w:r/>
    </w:p>
    <w:p>
      <w:pPr>
        <w:pStyle w:val="791"/>
      </w:pPr>
      <w:r/>
      <w:bookmarkStart w:id="108" w:name="_Toc367812183"/>
      <w:r/>
      <w:bookmarkStart w:id="109" w:name="_Toc92377765"/>
      <w:r>
        <w:t xml:space="preserve">Logithèque</w:t>
      </w:r>
      <w:bookmarkEnd w:id="108"/>
      <w:r/>
      <w:bookmarkEnd w:id="109"/>
      <w:r/>
      <w:r/>
    </w:p>
    <w:p>
      <w:r>
        <w:t xml:space="preserve">Sélection de Logiciels libres intéressants :</w:t>
      </w:r>
      <w:r/>
    </w:p>
    <w:tbl>
      <w:tblPr>
        <w:tblStyle w:val="861"/>
        <w:tblW w:w="0" w:type="auto"/>
        <w:tblLook w:val="04A0" w:firstRow="1" w:lastRow="0" w:firstColumn="1" w:lastColumn="0" w:noHBand="0" w:noVBand="1"/>
      </w:tblPr>
      <w:tblGrid>
        <w:gridCol w:w="1426"/>
        <w:gridCol w:w="7777"/>
      </w:tblGrid>
      <w:tr>
        <w:trPr/>
        <w:tc>
          <w:tcPr>
            <w:tcW w:w="0" w:type="auto"/>
            <w:textDirection w:val="lrTb"/>
            <w:noWrap w:val="false"/>
          </w:tcPr>
          <w:p>
            <w:r>
              <w:t xml:space="preserve">Nom</w:t>
            </w:r>
            <w:r/>
          </w:p>
        </w:tc>
        <w:tc>
          <w:tcPr>
            <w:tcW w:w="0" w:type="auto"/>
            <w:textDirection w:val="lrTb"/>
            <w:noWrap w:val="false"/>
          </w:tcPr>
          <w:p>
            <w:r>
              <w:t xml:space="preserve">Description</w:t>
            </w:r>
            <w:r/>
          </w:p>
        </w:tc>
      </w:tr>
      <w:tr>
        <w:trPr/>
        <w:tc>
          <w:tcPr>
            <w:tcW w:w="0" w:type="auto"/>
            <w:textDirection w:val="lrTb"/>
            <w:noWrap w:val="false"/>
          </w:tcPr>
          <w:p>
            <w:r>
              <w:t xml:space="preserve">Sandboxie</w:t>
            </w:r>
            <w:r/>
          </w:p>
        </w:tc>
        <w:tc>
          <w:tcPr>
            <w:tcW w:w="0" w:type="auto"/>
            <w:textDirection w:val="lrTb"/>
            <w:noWrap w:val="false"/>
          </w:tcPr>
          <w:p>
            <w:r>
              <w:t xml:space="preserve">Permet de créer un environnement protégé pour tester des programmes douteux</w:t>
            </w:r>
            <w:r/>
          </w:p>
        </w:tc>
      </w:tr>
      <w:tr>
        <w:trPr/>
        <w:tc>
          <w:tcPr>
            <w:tcW w:w="0" w:type="auto"/>
            <w:textDirection w:val="lrTb"/>
            <w:noWrap w:val="false"/>
          </w:tcPr>
          <w:p>
            <w:r>
              <w:t xml:space="preserve">FreeFileSync</w:t>
            </w:r>
            <w:r/>
          </w:p>
        </w:tc>
        <w:tc>
          <w:tcPr>
            <w:tcW w:w="0" w:type="auto"/>
            <w:textDirection w:val="lrTb"/>
            <w:noWrap w:val="false"/>
          </w:tcPr>
          <w:p>
            <w:r>
              <w:t xml:space="preserve">Outil de sauvegarde et de comparaison bidirectionnelle de répertoires</w:t>
            </w:r>
            <w:r/>
          </w:p>
        </w:tc>
      </w:tr>
      <w:tr>
        <w:trPr/>
        <w:tc>
          <w:tcPr>
            <w:tcW w:w="0" w:type="auto"/>
            <w:textDirection w:val="lrTb"/>
            <w:noWrap w:val="false"/>
          </w:tcPr>
          <w:p>
            <w:r>
              <w:t xml:space="preserve">Notepad++</w:t>
            </w:r>
            <w:r/>
          </w:p>
        </w:tc>
        <w:tc>
          <w:tcPr>
            <w:tcW w:w="0" w:type="auto"/>
            <w:textDirection w:val="lrTb"/>
            <w:noWrap w:val="false"/>
          </w:tcPr>
          <w:p>
            <w:r>
              <w:t xml:space="preserve">Editeur de texte léger offrant des outils avancés pour la programmation</w:t>
            </w:r>
            <w:r/>
          </w:p>
        </w:tc>
      </w:tr>
      <w:tr>
        <w:trPr/>
        <w:tc>
          <w:tcPr>
            <w:tcW w:w="0" w:type="auto"/>
            <w:textDirection w:val="lrTb"/>
            <w:noWrap w:val="false"/>
          </w:tcPr>
          <w:p>
            <w:r>
              <w:t xml:space="preserve">MiKTeX</w:t>
            </w:r>
            <w:r/>
          </w:p>
        </w:tc>
        <w:tc>
          <w:tcPr>
            <w:tcW w:w="0" w:type="auto"/>
            <w:textDirection w:val="lrTb"/>
            <w:noWrap w:val="false"/>
          </w:tcPr>
          <w:p>
            <w:r>
              <w:t xml:space="preserve">Environnement TeX/LaTeX complet et prêt à utiliser</w:t>
            </w:r>
            <w:r>
              <w:t xml:space="preserve"> (compilateur)</w:t>
            </w:r>
            <w:r/>
          </w:p>
        </w:tc>
      </w:tr>
      <w:tr>
        <w:trPr/>
        <w:tc>
          <w:tcPr>
            <w:tcW w:w="0" w:type="auto"/>
            <w:textDirection w:val="lrTb"/>
            <w:noWrap w:val="false"/>
          </w:tcPr>
          <w:p>
            <w:r>
              <w:t xml:space="preserve">Tex</w:t>
            </w:r>
            <w:r>
              <w:t xml:space="preserve">Studio</w:t>
            </w:r>
            <w:r/>
          </w:p>
        </w:tc>
        <w:tc>
          <w:tcPr>
            <w:tcW w:w="0" w:type="auto"/>
            <w:textDirection w:val="lrTb"/>
            <w:noWrap w:val="false"/>
          </w:tcPr>
          <w:p>
            <w:r>
              <w:t xml:space="preserve">Editeur </w:t>
            </w:r>
            <w:r>
              <w:t xml:space="preserve">de texte dédié à </w:t>
            </w:r>
            <w:r>
              <w:t xml:space="preserve">LaTeX</w:t>
            </w:r>
            <w:r/>
          </w:p>
        </w:tc>
      </w:tr>
      <w:tr>
        <w:trPr/>
        <w:tc>
          <w:tcPr>
            <w:tcW w:w="0" w:type="auto"/>
            <w:textDirection w:val="lrTb"/>
            <w:noWrap w:val="false"/>
          </w:tcPr>
          <w:p>
            <w:r/>
            <w:r/>
          </w:p>
        </w:tc>
        <w:tc>
          <w:tcPr>
            <w:tcW w:w="0" w:type="auto"/>
            <w:textDirection w:val="lrTb"/>
            <w:noWrap w:val="false"/>
          </w:tcPr>
          <w:p>
            <w:r/>
            <w:r/>
          </w:p>
        </w:tc>
      </w:tr>
    </w:tbl>
    <w:p>
      <w:r/>
      <w:r/>
    </w:p>
    <w:p>
      <w:pPr>
        <w:pStyle w:val="792"/>
      </w:pPr>
      <w:r/>
      <w:bookmarkStart w:id="110" w:name="_Toc92377766"/>
      <w:r>
        <w:t xml:space="preserve">Représenter ses idées</w:t>
      </w:r>
      <w:bookmarkEnd w:id="110"/>
      <w:r/>
      <w:r/>
    </w:p>
    <w:p>
      <w:r>
        <w:t xml:space="preserve">On a parfois besoin de faire un petit schéma, à base</w:t>
      </w:r>
      <w:r>
        <w:t xml:space="preserve"> de boites, formes et flèches. Sans parler des </w:t>
      </w:r>
      <w:r>
        <w:t xml:space="preserve">Adobe</w:t>
      </w:r>
      <w:r>
        <w:t xml:space="preserve"> InDesign,</w:t>
      </w:r>
      <w:r>
        <w:t xml:space="preserve"> Photoshop</w:t>
      </w:r>
      <w:r>
        <w:t xml:space="preserve"> et</w:t>
      </w:r>
      <w:r>
        <w:t xml:space="preserve"> Corel Draw</w:t>
      </w:r>
      <w:r>
        <w:t xml:space="preserve">,</w:t>
      </w:r>
      <w:r>
        <w:t xml:space="preserve"> outils très puissants mais payants</w:t>
      </w:r>
      <w:r>
        <w:t xml:space="preserve">, p</w:t>
      </w:r>
      <w:r>
        <w:t xml:space="preserve">lusieurs logi</w:t>
      </w:r>
      <w:r>
        <w:t xml:space="preserve">ciels </w:t>
      </w:r>
      <w:r>
        <w:t xml:space="preserve">gratuits </w:t>
      </w:r>
      <w:r>
        <w:t xml:space="preserve">peuvent vous être utiles</w:t>
      </w:r>
      <w:r>
        <w:t xml:space="preserve"> :</w:t>
      </w:r>
      <w:r/>
    </w:p>
    <w:p>
      <w:pPr>
        <w:pStyle w:val="865"/>
      </w:pPr>
      <w:r>
        <w:t xml:space="preserve">Inkscape </w:t>
      </w:r>
      <w:hyperlink r:id="rId46" w:tooltip="http://inkscape.org/download/?lang=fr" w:history="1">
        <w:r>
          <w:rPr>
            <w:rStyle w:val="812"/>
            <w:rFonts w:ascii="Cambria Math" w:hAnsi="Cambria Math" w:cs="Cambria Math"/>
          </w:rPr>
          <w:t xml:space="preserve">↗</w:t>
        </w:r>
      </w:hyperlink>
      <w:r>
        <w:t xml:space="preserve"> : dessin vectoriel</w:t>
      </w:r>
      <w:r>
        <w:t xml:space="preserve">;</w:t>
      </w:r>
      <w:r/>
    </w:p>
    <w:p>
      <w:pPr>
        <w:pStyle w:val="865"/>
      </w:pPr>
      <w:r>
        <w:t xml:space="preserve">Open Office Dessin </w:t>
      </w:r>
      <w:hyperlink r:id="rId47" w:tooltip="http://www.openoffice.org/fr/" w:history="1">
        <w:r>
          <w:rPr>
            <w:rStyle w:val="812"/>
            <w:rFonts w:ascii="Cambria Math" w:hAnsi="Cambria Math" w:cs="Cambria Math"/>
          </w:rPr>
          <w:t xml:space="preserve">↗</w:t>
        </w:r>
      </w:hyperlink>
      <w:r>
        <w:t xml:space="preserve"> :</w:t>
      </w:r>
      <w:r>
        <w:t xml:space="preserve"> </w:t>
      </w:r>
      <w:r>
        <w:t xml:space="preserve">Schématisation</w:t>
      </w:r>
      <w:r>
        <w:t xml:space="preserve">;</w:t>
      </w:r>
      <w:r/>
    </w:p>
    <w:p>
      <w:pPr>
        <w:pStyle w:val="865"/>
      </w:pPr>
      <w:r>
        <w:t xml:space="preserve">The Gimp</w:t>
      </w:r>
      <w:r>
        <w:t xml:space="preserve"> </w:t>
      </w:r>
      <w:hyperlink r:id="rId48" w:tooltip="http://www.gimp.org" w:history="1">
        <w:r>
          <w:rPr>
            <w:rStyle w:val="812"/>
            <w:rFonts w:ascii="Cambria Math" w:hAnsi="Cambria Math" w:cs="Cambria Math"/>
          </w:rPr>
          <w:t xml:space="preserve">↗</w:t>
        </w:r>
      </w:hyperlink>
      <w:r>
        <w:t xml:space="preserve"> : retouches d’image</w:t>
      </w:r>
      <w:r>
        <w:t xml:space="preserve"> ;</w:t>
      </w:r>
      <w:r/>
    </w:p>
    <w:p>
      <w:pPr>
        <w:pStyle w:val="865"/>
      </w:pPr>
      <w:r>
        <w:t xml:space="preserve">Vue </w:t>
      </w:r>
      <w:hyperlink r:id="rId49" w:tooltip="http://vue.tufts.edu" w:history="1">
        <w:r>
          <w:rPr>
            <w:rStyle w:val="812"/>
            <w:rFonts w:ascii="Cambria Math" w:hAnsi="Cambria Math" w:cs="Cambria Math"/>
          </w:rPr>
          <w:t xml:space="preserve">↗</w:t>
        </w:r>
      </w:hyperlink>
      <w:r>
        <w:t xml:space="preserve"> :</w:t>
      </w:r>
      <w:r>
        <w:t xml:space="preserve"> </w:t>
      </w:r>
      <w:r>
        <w:t xml:space="preserve">C</w:t>
      </w:r>
      <w:r>
        <w:t xml:space="preserve">onstruire des arborescences</w:t>
      </w:r>
      <w:r>
        <w:t xml:space="preserve">. </w:t>
      </w:r>
      <w:r>
        <w:t xml:space="preserve">(</w:t>
      </w:r>
      <w:r>
        <w:t xml:space="preserve">Peut être utile pour structu</w:t>
      </w:r>
      <w:r>
        <w:t xml:space="preserve">rer les articles dans la biblio)</w:t>
      </w:r>
      <w:r/>
    </w:p>
    <w:p>
      <w:pPr>
        <w:pStyle w:val="865"/>
      </w:pPr>
      <w:r>
        <w:t xml:space="preserve">Outils pour construire des cartes mentales : MindMup for GoogleDrive 2.0</w:t>
      </w:r>
      <w:r/>
    </w:p>
    <w:p>
      <w:pPr>
        <w:pStyle w:val="792"/>
      </w:pPr>
      <w:r/>
      <w:bookmarkStart w:id="111" w:name="_Toc92377767"/>
      <w:r>
        <w:t xml:space="preserve">Gérer ses données</w:t>
      </w:r>
      <w:bookmarkEnd w:id="111"/>
      <w:r/>
      <w:r/>
    </w:p>
    <w:p>
      <w:r>
        <w:t xml:space="preserve">La sauvegarde </w:t>
      </w:r>
      <w:r>
        <w:t xml:space="preserve">régulière</w:t>
      </w:r>
      <w:r>
        <w:t xml:space="preserve"> de son trav</w:t>
      </w:r>
      <w:r>
        <w:t xml:space="preserve">ail est une habitude à prendre. Ci-dessous quelques solutions :</w:t>
      </w:r>
      <w:r/>
    </w:p>
    <w:p>
      <w:pPr>
        <w:pStyle w:val="793"/>
      </w:pPr>
      <w:r/>
      <w:bookmarkStart w:id="112" w:name="_Toc92377768"/>
      <w:r>
        <w:t xml:space="preserve">Le porte-documents de Windows</w:t>
      </w:r>
      <w:bookmarkEnd w:id="112"/>
      <w:r/>
      <w:r/>
    </w:p>
    <w:p>
      <w:r>
        <w:t xml:space="preserve">Solution simple de sauvegarde si vous travaillez sur un poste unique. Vous définissez un dossier comme « porte document » afin de le lier à un média amovible.</w:t>
      </w:r>
      <w:r/>
    </w:p>
    <w:p>
      <w:pPr>
        <w:pStyle w:val="793"/>
      </w:pPr>
      <w:r/>
      <w:bookmarkStart w:id="113" w:name="_Toc92377769"/>
      <w:r>
        <w:t xml:space="preserve">Dropbox</w:t>
      </w:r>
      <w:bookmarkEnd w:id="113"/>
      <w:r/>
      <w:r/>
    </w:p>
    <w:p>
      <w:r>
        <w:t xml:space="preserve">Sauvegarder automatiquement </w:t>
      </w:r>
      <w:r>
        <w:rPr>
          <w:rStyle w:val="817"/>
        </w:rPr>
        <w:t xml:space="preserve">un</w:t>
      </w:r>
      <w:r>
        <w:t xml:space="preserve"> dossier</w:t>
      </w:r>
      <w:r>
        <w:t xml:space="preserve"> sur Internet</w:t>
      </w:r>
      <w:r>
        <w:t xml:space="preserve"> via un petit programme à installer en local</w:t>
      </w:r>
      <w:r>
        <w:t xml:space="preserve">. </w:t>
      </w:r>
      <w:r>
        <w:t xml:space="preserve">Après</w:t>
      </w:r>
      <w:r>
        <w:t xml:space="preserve"> la création d’un compte, l</w:t>
      </w:r>
      <w:r>
        <w:t xml:space="preserve">e service vous donne accès gratuitement à 2Go de stockage (+500Mo par invité)</w:t>
      </w:r>
      <w:r>
        <w:t xml:space="preserve">.</w:t>
      </w:r>
      <w:r/>
    </w:p>
    <w:p>
      <w:pPr>
        <w:pStyle w:val="865"/>
      </w:pPr>
      <w:r>
        <w:t xml:space="preserve">Autorise l’utilisation sur plusieurs ordinateurs</w:t>
      </w:r>
      <w:r>
        <w:t xml:space="preserve"> (Win, Mac, Linux)</w:t>
      </w:r>
      <w:r/>
    </w:p>
    <w:p>
      <w:pPr>
        <w:pStyle w:val="865"/>
        <w:rPr>
          <w:rFonts w:eastAsia="Times New Roman"/>
        </w:rPr>
      </w:pPr>
      <w:r>
        <w:t xml:space="preserve">Permet </w:t>
      </w:r>
      <w:r>
        <w:t xml:space="preserve">un</w:t>
      </w:r>
      <w:r>
        <w:t xml:space="preserve"> accès à vos documents</w:t>
      </w:r>
      <w:r>
        <w:rPr>
          <w:rFonts w:eastAsia="Times New Roman"/>
        </w:rPr>
        <w:t xml:space="preserve"> dir</w:t>
      </w:r>
      <w:r>
        <w:rPr>
          <w:rFonts w:eastAsia="Times New Roman"/>
        </w:rPr>
        <w:t xml:space="preserve">ectement sur le site Internet et via des applications mobiles</w:t>
      </w:r>
      <w:r/>
    </w:p>
    <w:p>
      <w:pPr>
        <w:pStyle w:val="865"/>
      </w:pPr>
      <w:r>
        <w:t xml:space="preserve">G</w:t>
      </w:r>
      <w:r>
        <w:t xml:space="preserve">ère les versions</w:t>
      </w:r>
      <w:r>
        <w:t xml:space="preserve"> successives de vos documents</w:t>
      </w:r>
      <w:r>
        <w:t xml:space="preserve"> </w:t>
      </w:r>
      <w:r>
        <w:t xml:space="preserve">durant 30 jours (version gratuite)</w:t>
      </w:r>
      <w:r/>
    </w:p>
    <w:p>
      <w:pPr>
        <w:pStyle w:val="793"/>
      </w:pPr>
      <w:r/>
      <w:bookmarkStart w:id="114" w:name="_Toc92377770"/>
      <w:r>
        <w:t xml:space="preserve">FreeFileSync</w:t>
      </w:r>
      <w:bookmarkEnd w:id="114"/>
      <w:r/>
      <w:r/>
    </w:p>
    <w:p>
      <w:r>
        <w:t xml:space="preserve">Logiciel optimisé pour la comparaison et la synchronisation bidirectionnelle de fichiers. Permet de comparer plusieurs répertoires</w:t>
      </w:r>
      <w:r>
        <w:t xml:space="preserve">, de contrôler les modifications qui seront faites des deux côtés, puis de lancer la synchronisation.</w:t>
      </w:r>
      <w:r/>
    </w:p>
    <w:p>
      <w:pPr>
        <w:pStyle w:val="865"/>
      </w:pPr>
      <w:r>
        <w:t xml:space="preserve">Scénarise les taches de synchronisation</w:t>
      </w:r>
      <w:r/>
    </w:p>
    <w:p>
      <w:pPr>
        <w:pStyle w:val="865"/>
      </w:pPr>
      <w:r>
        <w:t xml:space="preserve">Identification du périphérique pas son nom</w:t>
      </w:r>
      <w:r/>
    </w:p>
    <w:p>
      <w:pPr>
        <w:pStyle w:val="865"/>
      </w:pPr>
      <w:r>
        <w:t xml:space="preserve">Filtres sur les fichiers/sous-répertoires</w:t>
      </w:r>
      <w:r/>
    </w:p>
    <w:p>
      <w:pPr>
        <w:pStyle w:val="865"/>
      </w:pPr>
      <w:r>
        <w:t xml:space="preserve">Permet </w:t>
      </w:r>
      <w:r>
        <w:t xml:space="preserve">de surveiller des</w:t>
      </w:r>
      <w:r>
        <w:t xml:space="preserve"> répertoires</w:t>
      </w:r>
      <w:r/>
    </w:p>
    <w:p>
      <w:pPr>
        <w:pStyle w:val="792"/>
      </w:pPr>
      <w:r/>
      <w:bookmarkStart w:id="115" w:name="_Ref367812011"/>
      <w:r/>
      <w:bookmarkStart w:id="116" w:name="_Toc92377771"/>
      <w:r>
        <w:t xml:space="preserve">Utilisation des logiciels alternatifs aux logiciels sous </w:t>
      </w:r>
      <w:r>
        <w:t xml:space="preserve">License</w:t>
      </w:r>
      <w:bookmarkEnd w:id="115"/>
      <w:r/>
      <w:bookmarkEnd w:id="116"/>
      <w:r/>
      <w:r/>
    </w:p>
    <w:p>
      <w:pPr>
        <w:pStyle w:val="793"/>
      </w:pPr>
      <w:r/>
      <w:bookmarkStart w:id="117" w:name="_Toc92377772"/>
      <w:r>
        <w:t xml:space="preserve">Matlab et Octave</w:t>
      </w:r>
      <w:bookmarkEnd w:id="117"/>
      <w:r>
        <w:t xml:space="preserve"> </w:t>
      </w:r>
      <w:r/>
    </w:p>
    <w:p>
      <w:r>
        <w:t xml:space="preserve">En principe une compatibilité pour passer un code en Matlab à Octave et vice-versa est possible</w:t>
      </w:r>
      <w:r>
        <w:t xml:space="preserve">.</w:t>
      </w:r>
      <w:r>
        <w:t xml:space="preserve"> </w:t>
      </w:r>
      <w:r>
        <w:t xml:space="preserve">Les fonctions des deux codes ont des notations similaires ou égales</w:t>
      </w:r>
      <w:r>
        <w:t xml:space="preserve"> </w:t>
      </w:r>
      <w:r>
        <w:t xml:space="preserve">donc les compatibilités et fonctionnalités entres les 2 logiciels sont très possibles </w:t>
      </w:r>
      <w:r>
        <w:t xml:space="preserve">si on </w:t>
      </w:r>
      <w:r>
        <w:t xml:space="preserve">respect</w:t>
      </w:r>
      <w:r>
        <w:t xml:space="preserve">e</w:t>
      </w:r>
      <w:r>
        <w:t xml:space="preserve"> les notations c</w:t>
      </w:r>
      <w:r>
        <w:t xml:space="preserve">ommunes entres ces 2 logiciels :</w:t>
      </w:r>
      <w:r/>
    </w:p>
    <w:tbl>
      <w:tblPr>
        <w:tblStyle w:val="861"/>
        <w:tblW w:w="0" w:type="auto"/>
        <w:tblLook w:val="04A0" w:firstRow="1" w:lastRow="0" w:firstColumn="1" w:lastColumn="0" w:noHBand="0" w:noVBand="1"/>
      </w:tblPr>
      <w:tblGrid>
        <w:gridCol w:w="3074"/>
        <w:gridCol w:w="3065"/>
        <w:gridCol w:w="3064"/>
      </w:tblGrid>
      <w:tr>
        <w:trPr/>
        <w:tc>
          <w:tcPr>
            <w:tcW w:w="3117" w:type="dxa"/>
            <w:textDirection w:val="lrTb"/>
            <w:noWrap w:val="false"/>
          </w:tcPr>
          <w:p>
            <w:r/>
            <w:r/>
          </w:p>
        </w:tc>
        <w:tc>
          <w:tcPr>
            <w:tcW w:w="3118" w:type="dxa"/>
            <w:textDirection w:val="lrTb"/>
            <w:noWrap w:val="false"/>
          </w:tcPr>
          <w:p>
            <w:r>
              <w:t xml:space="preserve">Octave</w:t>
            </w:r>
            <w:r/>
          </w:p>
        </w:tc>
        <w:tc>
          <w:tcPr>
            <w:tcW w:w="3118" w:type="dxa"/>
            <w:textDirection w:val="lrTb"/>
            <w:noWrap w:val="false"/>
          </w:tcPr>
          <w:p>
            <w:r>
              <w:t xml:space="preserve">MatLab</w:t>
            </w:r>
            <w:r/>
          </w:p>
        </w:tc>
      </w:tr>
      <w:tr>
        <w:trPr/>
        <w:tc>
          <w:tcPr>
            <w:tcW w:w="3117" w:type="dxa"/>
            <w:textDirection w:val="lrTb"/>
            <w:noWrap w:val="false"/>
          </w:tcPr>
          <w:p>
            <w:r>
              <w:t xml:space="preserve">Délimiteur de chaine</w:t>
            </w:r>
            <w:r/>
          </w:p>
        </w:tc>
        <w:tc>
          <w:tcPr>
            <w:tcW w:w="3118" w:type="dxa"/>
            <w:textDirection w:val="lrTb"/>
            <w:noWrap w:val="false"/>
          </w:tcPr>
          <w:p>
            <w:r>
              <w:t xml:space="preserve">' ou "</w:t>
            </w:r>
            <w:r/>
          </w:p>
        </w:tc>
        <w:tc>
          <w:tcPr>
            <w:tcW w:w="3118" w:type="dxa"/>
            <w:textDirection w:val="lrTb"/>
            <w:noWrap w:val="false"/>
          </w:tcPr>
          <w:p>
            <w:r>
              <w:t xml:space="preserve">‘</w:t>
            </w:r>
            <w:r/>
          </w:p>
        </w:tc>
      </w:tr>
      <w:tr>
        <w:trPr/>
        <w:tc>
          <w:tcPr>
            <w:tcW w:w="3117" w:type="dxa"/>
            <w:textDirection w:val="lrTb"/>
            <w:noWrap w:val="false"/>
          </w:tcPr>
          <w:p>
            <w:r>
              <w:t xml:space="preserve">Commentaire</w:t>
            </w:r>
            <w:r/>
          </w:p>
        </w:tc>
        <w:tc>
          <w:tcPr>
            <w:tcW w:w="3118" w:type="dxa"/>
            <w:textDirection w:val="lrTb"/>
            <w:noWrap w:val="false"/>
          </w:tcPr>
          <w:p>
            <w:r>
              <w:t xml:space="preserve">%</w:t>
            </w:r>
            <w:r>
              <w:t xml:space="preserve"> ou #</w:t>
            </w:r>
            <w:r/>
          </w:p>
        </w:tc>
        <w:tc>
          <w:tcPr>
            <w:tcW w:w="3118" w:type="dxa"/>
            <w:textDirection w:val="lrTb"/>
            <w:noWrap w:val="false"/>
          </w:tcPr>
          <w:p>
            <w:r>
              <w:t xml:space="preserve">%</w:t>
            </w:r>
            <w:r/>
          </w:p>
        </w:tc>
      </w:tr>
      <w:tr>
        <w:trPr/>
        <w:tc>
          <w:tcPr>
            <w:tcW w:w="3117" w:type="dxa"/>
            <w:textDirection w:val="lrTb"/>
            <w:noWrap w:val="false"/>
          </w:tcPr>
          <w:p>
            <w:r>
              <w:t xml:space="preserve">Exponentielle</w:t>
            </w:r>
            <w:r/>
          </w:p>
        </w:tc>
        <w:tc>
          <w:tcPr>
            <w:tcW w:w="3118" w:type="dxa"/>
            <w:textDirection w:val="lrTb"/>
            <w:noWrap w:val="false"/>
          </w:tcPr>
          <w:p>
            <w:r>
              <w:t xml:space="preserve">^ou **</w:t>
            </w:r>
            <w:r/>
          </w:p>
        </w:tc>
        <w:tc>
          <w:tcPr>
            <w:tcW w:w="3118" w:type="dxa"/>
            <w:textDirection w:val="lrTb"/>
            <w:noWrap w:val="false"/>
          </w:tcPr>
          <w:p>
            <w:r>
              <w:t xml:space="preserve">^</w:t>
            </w:r>
            <w:r/>
          </w:p>
        </w:tc>
      </w:tr>
      <w:tr>
        <w:trPr/>
        <w:tc>
          <w:tcPr>
            <w:tcW w:w="3117" w:type="dxa"/>
            <w:textDirection w:val="lrTb"/>
            <w:noWrap w:val="false"/>
          </w:tcPr>
          <w:p>
            <w:r>
              <w:t xml:space="preserve">Fin de block</w:t>
            </w:r>
            <w:r/>
          </w:p>
        </w:tc>
        <w:tc>
          <w:tcPr>
            <w:tcW w:w="3118" w:type="dxa"/>
            <w:textDirection w:val="lrTb"/>
            <w:noWrap w:val="false"/>
          </w:tcPr>
          <w:p>
            <w:pPr>
              <w:rPr>
                <w:lang w:val="en-US"/>
              </w:rPr>
            </w:pPr>
            <w:r>
              <w:rPr>
                <w:lang w:val="en-US"/>
              </w:rPr>
              <w:t xml:space="preserve">end ou end{if,for, ...}</w:t>
            </w:r>
            <w:r/>
          </w:p>
        </w:tc>
        <w:tc>
          <w:tcPr>
            <w:tcW w:w="3118" w:type="dxa"/>
            <w:textDirection w:val="lrTb"/>
            <w:noWrap w:val="false"/>
          </w:tcPr>
          <w:p>
            <w:pPr>
              <w:rPr>
                <w:lang w:val="en-US"/>
              </w:rPr>
            </w:pPr>
            <w:r>
              <w:rPr>
                <w:lang w:val="en-US"/>
              </w:rPr>
              <w:t xml:space="preserve">E</w:t>
            </w:r>
            <w:r>
              <w:rPr>
                <w:lang w:val="en-US"/>
              </w:rPr>
              <w:t xml:space="preserve">nd</w:t>
            </w:r>
            <w:r/>
          </w:p>
        </w:tc>
      </w:tr>
      <w:tr>
        <w:trPr/>
        <w:tc>
          <w:tcPr>
            <w:tcW w:w="3117" w:type="dxa"/>
            <w:textDirection w:val="lrTb"/>
            <w:noWrap w:val="false"/>
          </w:tcPr>
          <w:p>
            <w:r>
              <w:t xml:space="preserve">Notation </w:t>
            </w:r>
            <w:r>
              <w:t xml:space="preserve">hexadécimale</w:t>
            </w:r>
            <w:r/>
          </w:p>
        </w:tc>
        <w:tc>
          <w:tcPr>
            <w:tcW w:w="3118" w:type="dxa"/>
            <w:textDirection w:val="lrTb"/>
            <w:noWrap w:val="false"/>
          </w:tcPr>
          <w:p>
            <w:pPr>
              <w:rPr>
                <w:lang w:val="en-US"/>
              </w:rPr>
            </w:pPr>
            <w:r>
              <w:rPr>
                <w:lang w:val="en-US"/>
              </w:rPr>
              <w:t xml:space="preserve">Detection auto</w:t>
            </w:r>
            <w:r/>
          </w:p>
        </w:tc>
        <w:tc>
          <w:tcPr>
            <w:tcW w:w="3118" w:type="dxa"/>
            <w:textDirection w:val="lrTb"/>
            <w:noWrap w:val="false"/>
          </w:tcPr>
          <w:p>
            <w:pPr>
              <w:rPr>
                <w:lang w:val="en-US"/>
              </w:rPr>
            </w:pPr>
            <w:r>
              <w:t xml:space="preserve">Utiliser</w:t>
            </w:r>
            <w:r>
              <w:rPr>
                <w:lang w:val="en-US"/>
              </w:rPr>
              <w:t xml:space="preserve"> la function </w:t>
            </w:r>
            <w:r>
              <w:rPr>
                <w:lang w:val="en-US"/>
              </w:rPr>
              <w:t xml:space="preserve">hex2dec</w:t>
            </w:r>
            <w:r/>
          </w:p>
        </w:tc>
      </w:tr>
    </w:tbl>
    <w:p>
      <w:r>
        <w:t xml:space="preserve">Une façon d’éviter ces types d’incompatibilités serait d’utiliser Octave en mode « traditionnel »</w:t>
      </w:r>
      <w:r>
        <w:t xml:space="preserve"> ce</w:t>
      </w:r>
      <w:r>
        <w:t xml:space="preserve"> qui empêcherait d’utiliser des syntaxes propres/uniques d’Octave.</w:t>
      </w:r>
      <w:r/>
    </w:p>
    <w:p>
      <w:r>
        <w:t xml:space="preserve">Pas de problèmes particulier pour la résolution de systèmes d’équation non linéaires (</w:t>
      </w:r>
      <w:r>
        <w:t xml:space="preserve">fonction « fsolve » de Matlab</w:t>
      </w:r>
      <w:r>
        <w:t xml:space="preserve">)</w:t>
      </w:r>
      <w:r>
        <w:t xml:space="preserve">. </w:t>
      </w:r>
      <w:r/>
    </w:p>
    <w:p>
      <w:pPr>
        <w:pStyle w:val="793"/>
      </w:pPr>
      <w:r/>
      <w:bookmarkStart w:id="118" w:name="_Toc92377773"/>
      <w:r>
        <w:t xml:space="preserve">Matlab et Scilab</w:t>
      </w:r>
      <w:bookmarkEnd w:id="118"/>
      <w:r/>
      <w:r/>
    </w:p>
    <w:p>
      <w:r>
        <w:t xml:space="preserve">Les points similaires sont que les deux sont utilisés souvent pour faire des opérations sur des matrices.</w:t>
      </w:r>
      <w:r>
        <w:t xml:space="preserve"> Apr</w:t>
      </w:r>
      <w:r>
        <w:t xml:space="preserve">è</w:t>
      </w:r>
      <w:r>
        <w:t xml:space="preserve">s de</w:t>
      </w:r>
      <w:r>
        <w:t xml:space="preserve"> grandes différences sont présentes au niveau du l</w:t>
      </w:r>
      <w:r>
        <w:t xml:space="preserve">angage</w:t>
      </w:r>
      <w:r>
        <w:t xml:space="preserve">. Le </w:t>
      </w:r>
      <w:r>
        <w:t xml:space="preserve">nom des </w:t>
      </w:r>
      <w:r>
        <w:t xml:space="preserve">fonctions</w:t>
      </w:r>
      <w:r>
        <w:t xml:space="preserve"> et </w:t>
      </w:r>
      <w:r>
        <w:t xml:space="preserve">les arguments ne sont pas toujours identiques entre les deux codes et la syntaxe</w:t>
      </w:r>
      <w:r>
        <w:t xml:space="preserve"> </w:t>
      </w:r>
      <w:r>
        <w:t xml:space="preserve">diff</w:t>
      </w:r>
      <w:r>
        <w:t xml:space="preserve">è</w:t>
      </w:r>
      <w:r>
        <w:t xml:space="preserve">re </w:t>
      </w:r>
      <w:r>
        <w:t xml:space="preserve">(type de donné</w:t>
      </w:r>
      <w:r>
        <w:t xml:space="preserve">e</w:t>
      </w:r>
      <w:r>
        <w:t xml:space="preserve">s comme vecteurs, lists, taille de matrices, capacités de faire des graphs, etc.)</w:t>
      </w:r>
      <w:r>
        <w:t xml:space="preserve">.</w:t>
      </w:r>
      <w:r/>
    </w:p>
    <w:p>
      <w:r>
        <w:t xml:space="preserve">Scilab possède cependant un outil/traducteur pour convertir un code de Matlab à Scilab. La conversion dans le sens inverse est à voir !</w:t>
      </w:r>
      <w:r/>
    </w:p>
    <w:p>
      <w:r>
        <w:t xml:space="preserve">Donc</w:t>
      </w:r>
      <w:r>
        <w:t xml:space="preserve">,</w:t>
      </w:r>
      <w:r>
        <w:t xml:space="preserve"> </w:t>
      </w:r>
      <w:r>
        <w:t xml:space="preserve">sachant que c’est une version gratuite, Scilab peut être une bonne option </w:t>
      </w:r>
      <w:r>
        <w:t xml:space="preserve">pour des applications pas très complexes</w:t>
      </w:r>
      <w:r>
        <w:t xml:space="preserve">.</w:t>
      </w:r>
      <w:r>
        <w:t xml:space="preserve"> </w:t>
      </w:r>
      <w:r/>
    </w:p>
    <w:p>
      <w:pPr>
        <w:pStyle w:val="793"/>
      </w:pPr>
      <w:r/>
      <w:bookmarkStart w:id="119" w:name="_Toc92377774"/>
      <w:r>
        <w:t xml:space="preserve">Python</w:t>
      </w:r>
      <w:bookmarkEnd w:id="119"/>
      <w:r/>
      <w:r/>
    </w:p>
    <w:p>
      <w:r>
        <w:t xml:space="preserve">Parmi les doctorants et les enseignants-chercheurs, une forte compétence en python a été développée. De nombreuses librairies scientifiques robustes et sables ont été développées par la communauté python. De plus, les fonctionnalités de </w:t>
      </w:r>
      <w:r>
        <w:t xml:space="preserve">base des logiciels précités ont été portées en python. Il existe du reste des modules pour répondre à quasiment tous les besoins. La syntaxe, précise et efficiente, en fait un outil très accessible même pour des personnes qui n’ont pas l’habitude de coder.</w:t>
      </w:r>
      <w:r/>
    </w:p>
    <w:p>
      <w:pPr>
        <w:pStyle w:val="791"/>
      </w:pPr>
      <w:r/>
      <w:bookmarkStart w:id="120" w:name="_Toc367812184"/>
      <w:r/>
      <w:bookmarkStart w:id="121" w:name="_Toc92377775"/>
      <w:r>
        <w:t xml:space="preserve">L’expérimentation</w:t>
      </w:r>
      <w:bookmarkEnd w:id="120"/>
      <w:r/>
      <w:bookmarkEnd w:id="121"/>
      <w:r/>
      <w:r/>
    </w:p>
    <w:p>
      <w:r>
        <w:t xml:space="preserve">La mise en place d’un banc expérimental demande la mise en place d’une certaine méthodologie.</w:t>
      </w:r>
      <w:r>
        <w:t xml:space="preserve"> Le laboratoire dispose d’une cellule expérimentations permettant de gérer les besoins et les dispositifs de recherche. Elle s’appuie sur un service support technique. </w:t>
      </w:r>
      <w:r/>
    </w:p>
    <w:p>
      <w:pPr>
        <w:rPr>
          <w:color w:val="FF0000"/>
        </w:rPr>
      </w:pPr>
      <w:r>
        <w:t xml:space="preserve">Apr</w:t>
      </w:r>
      <w:r>
        <w:t xml:space="preserve">è</w:t>
      </w:r>
      <w:r>
        <w:t xml:space="preserve">s une réflexion personnelle approfondie (qui ne sera </w:t>
      </w:r>
      <w:r>
        <w:t xml:space="preserve">pas abordée dans ce livret pour l’instant) vous pouvez contacter l’équipe technique pour la préparation de la mise en œuvre. Cette discussion doit permettre de retranscrire vos objectifs initiaux en termes de moyen afin de planifier la demande de travaux. </w:t>
      </w:r>
      <w:r>
        <w:t xml:space="preserve">Le cellule expérimentation</w:t>
      </w:r>
      <w:r>
        <w:t xml:space="preserve"> vous </w:t>
      </w:r>
      <w:r>
        <w:t xml:space="preserve">demandera</w:t>
      </w:r>
      <w:r>
        <w:t xml:space="preserve"> de </w:t>
      </w:r>
      <w:r>
        <w:t xml:space="preserve">définir </w:t>
      </w:r>
      <w:r>
        <w:t xml:space="preserve">vos besoins </w:t>
      </w:r>
      <w:r>
        <w:t xml:space="preserve">avec </w:t>
      </w:r>
      <w:r>
        <w:t xml:space="preserve">le plus de précision possible et de vous inscrire pour un RDV </w:t>
      </w:r>
      <w:r>
        <w:rPr>
          <w:color w:val="FF0000"/>
        </w:rPr>
        <w:t xml:space="preserve">(lien)</w:t>
      </w:r>
      <w:r>
        <w:rPr>
          <w:color w:val="FF0000"/>
        </w:rPr>
      </w:r>
      <w:r/>
    </w:p>
    <w:p>
      <w:pPr>
        <w:pStyle w:val="865"/>
      </w:pPr>
      <w:r>
        <w:t xml:space="preserve">Le travail à réaliser ;</w:t>
      </w:r>
      <w:r/>
    </w:p>
    <w:p>
      <w:pPr>
        <w:pStyle w:val="865"/>
      </w:pPr>
      <w:r>
        <w:t xml:space="preserve">Le</w:t>
      </w:r>
      <w:r>
        <w:t xml:space="preserve"> temps nécessaire que vous estimez (après disc</w:t>
      </w:r>
      <w:r>
        <w:t xml:space="preserve">ussion avec l'équipe technique) ;</w:t>
      </w:r>
      <w:r/>
    </w:p>
    <w:p>
      <w:pPr>
        <w:pStyle w:val="865"/>
      </w:pPr>
      <w:r>
        <w:t xml:space="preserve">La</w:t>
      </w:r>
      <w:r>
        <w:t xml:space="preserve"> d</w:t>
      </w:r>
      <w:r>
        <w:t xml:space="preserve">ate souhaitée de la réalisation ;</w:t>
      </w:r>
      <w:r/>
    </w:p>
    <w:p>
      <w:pPr>
        <w:pStyle w:val="865"/>
      </w:pPr>
      <w:r>
        <w:t xml:space="preserve">L’urgence</w:t>
      </w:r>
      <w:r>
        <w:t xml:space="preserve">.</w:t>
      </w:r>
      <w:r/>
    </w:p>
    <w:p>
      <w:pPr>
        <w:pStyle w:val="791"/>
      </w:pPr>
      <w:r/>
      <w:bookmarkStart w:id="122" w:name="_Toc367812185"/>
      <w:r/>
      <w:bookmarkStart w:id="123" w:name="_Toc92377776"/>
      <w:r>
        <w:t xml:space="preserve">La rédaction</w:t>
      </w:r>
      <w:bookmarkEnd w:id="122"/>
      <w:r/>
      <w:bookmarkEnd w:id="123"/>
      <w:r/>
      <w:r/>
    </w:p>
    <w:p>
      <w:pPr>
        <w:pStyle w:val="792"/>
      </w:pPr>
      <w:r/>
      <w:bookmarkStart w:id="124" w:name="_Toc92377777"/>
      <w:r>
        <w:t xml:space="preserve">LaTeX</w:t>
      </w:r>
      <w:bookmarkEnd w:id="124"/>
      <w:r/>
      <w:r/>
    </w:p>
    <w:p>
      <w:r>
        <w:t xml:space="preserve">LaTeX est un langage informatique </w:t>
      </w:r>
      <w:r>
        <w:t xml:space="preserve">libre et gratuit</w:t>
      </w:r>
      <w:r>
        <w:t xml:space="preserve"> </w:t>
      </w:r>
      <w:r>
        <w:t xml:space="preserve">qui permet de mettre en forme un document.</w:t>
      </w:r>
      <w:r>
        <w:t xml:space="preserve"> </w:t>
      </w:r>
      <w:r>
        <w:t xml:space="preserve">Son principal intérêt est qu’il </w:t>
      </w:r>
      <w:r>
        <w:t xml:space="preserve">respecte</w:t>
      </w:r>
      <w:r>
        <w:t xml:space="preserve"> les standards typographiques internationaux</w:t>
      </w:r>
      <w:r>
        <w:t xml:space="preserve">. La représentation du document est alors uniforme, </w:t>
      </w:r>
      <w:r>
        <w:t xml:space="preserve">claire et professionnelle</w:t>
      </w:r>
      <w:r>
        <w:t xml:space="preserve">. </w:t>
      </w:r>
      <w:r>
        <w:t xml:space="preserve">Il est notamment très adapté au domaine scientifique, grâce à la facilité d'écriture des formules mathématiques.</w:t>
      </w:r>
      <w:r>
        <w:t xml:space="preserve"> </w:t>
      </w:r>
      <w:r>
        <w:t xml:space="preserve">D’ailleurs, beaucoup de revues scientifiques demandent de soumettre les articles en LaTeX.</w:t>
      </w:r>
      <w:r/>
    </w:p>
    <w:p>
      <w:r>
        <w:t xml:space="preserve">La mise en forme du document se fait par l’utilisation de balises prédéfinies. </w:t>
      </w:r>
      <w:r>
        <w:t xml:space="preserve">Elle</w:t>
      </w:r>
      <w:r>
        <w:t xml:space="preserve"> </w:t>
      </w:r>
      <w:r>
        <w:t xml:space="preserve">exige du rédacteur de se concentrer sur la structure logique de son document, son contenu, tandis que la mise en page du document (césure des mots, alinéas</w:t>
      </w:r>
      <w:r>
        <w:t xml:space="preserve">, espaces</w:t>
      </w:r>
      <w:r>
        <w:t xml:space="preserve">, numérotations, références</w:t>
      </w:r>
      <w:r>
        <w:t xml:space="preserve">) est laissée au logiciel lors d'une compilation ultérieure</w:t>
      </w:r>
      <w:r>
        <w:t xml:space="preserve">.</w:t>
      </w:r>
      <w:r>
        <w:t xml:space="preserve"> </w:t>
      </w:r>
      <w:r>
        <w:t xml:space="preserve">Coder le texte apporte d’autres avantages. La possibilité de définir des raccourcis</w:t>
      </w:r>
      <w:r>
        <w:t xml:space="preserve"> </w:t>
      </w:r>
      <w:r>
        <w:t xml:space="preserve">pour gérer des formules ou uniformiser une notation présente à plusieurs reprises dans le texte et les figures. Scinder son document en parties et sous parties</w:t>
      </w:r>
      <w:r>
        <w:t xml:space="preserve">. </w:t>
      </w:r>
      <w:r/>
    </w:p>
    <w:p>
      <w:r>
        <w:t xml:space="preserve">Même si vous n'êtes pas ce que l'on appelle un "geek", LaTeX peut vous permettre d</w:t>
      </w:r>
      <w:r>
        <w:t xml:space="preserve">e gagner énormément de temps u</w:t>
      </w:r>
      <w:r>
        <w:t xml:space="preserve">ne fois familiarisé avec les commandes de base </w:t>
      </w:r>
      <w:r>
        <w:t xml:space="preserve">(</w:t>
      </w:r>
      <w:r>
        <w:t xml:space="preserve">q</w:t>
      </w:r>
      <w:r>
        <w:t xml:space="preserve">uelques semaines tout au plus).</w:t>
      </w:r>
      <w:r>
        <w:t xml:space="preserve"> </w:t>
      </w:r>
      <w:r>
        <w:t xml:space="preserve">Soyez</w:t>
      </w:r>
      <w:r>
        <w:t xml:space="preserve"> cependant pr</w:t>
      </w:r>
      <w:r>
        <w:t xml:space="preserve">êt</w:t>
      </w:r>
      <w:r>
        <w:t xml:space="preserve">s à vous arracher quelques cheveux si vous souhaitez personnaliser votre document (placement de figure, …ect). </w:t>
      </w:r>
      <w:r>
        <w:t xml:space="preserve">Pour tenter l'aventure, voici un tutoriel très pédagogique qui vous guide pas à pas et que vous pouvez aussi acquérir en livre pour une vingtaine d'euros (sur le même site) :</w:t>
      </w:r>
      <w:r>
        <w:t xml:space="preserve"> </w:t>
      </w:r>
      <w:hyperlink r:id="rId50" w:tooltip="https://openclassrooms.com/courses/redigez-des-documents-de-qualite-avec-latex" w:history="1">
        <w:r>
          <w:rPr>
            <w:rStyle w:val="812"/>
          </w:rPr>
          <w:t xml:space="preserve">https://openclassrooms.com/courses/redigez-des-documents-de-qualite-avec-latex</w:t>
        </w:r>
      </w:hyperlink>
      <w:r/>
      <w:r/>
    </w:p>
    <w:p>
      <w:pPr>
        <w:pStyle w:val="792"/>
      </w:pPr>
      <w:r/>
      <w:bookmarkStart w:id="125" w:name="_Toc92377778"/>
      <w:r>
        <w:t xml:space="preserve">Microsoft </w:t>
      </w:r>
      <w:r>
        <w:t xml:space="preserve">Word</w:t>
      </w:r>
      <w:bookmarkEnd w:id="125"/>
      <w:r/>
      <w:r/>
    </w:p>
    <w:p>
      <w:r>
        <w:t xml:space="preserve">Word est un outil qui peut être puissant </w:t>
      </w:r>
      <w:r>
        <w:t xml:space="preserve">mais</w:t>
      </w:r>
      <w:r>
        <w:t xml:space="preserve"> qui offre beaucoup (trop) de libertés</w:t>
      </w:r>
      <w:r>
        <w:t xml:space="preserve">. </w:t>
      </w:r>
      <w:r>
        <w:t xml:space="preserve">Avec de la rigueur il est possible d’obtenir un document aussi soigné qu’avec LaTeX, tout en disposant de fonction</w:t>
      </w:r>
      <w:r>
        <w:t xml:space="preserve">s</w:t>
      </w:r>
      <w:r>
        <w:t xml:space="preserve"> en plus. </w:t>
      </w:r>
      <w:r>
        <w:t xml:space="preserve">Sachez donc qu’il faudra faire attention et vous mettre des contraintes pour pouvoir l’utiliser correctement</w:t>
      </w:r>
      <w:r>
        <w:t xml:space="preserve">.</w:t>
      </w:r>
      <w:r/>
    </w:p>
    <w:p>
      <w:r>
        <w:t xml:space="preserve">Son fonctionnement se base sur l’utilisation des « St</w:t>
      </w:r>
      <w:r>
        <w:t xml:space="preserve">yle ». Bannissez les boutons « P</w:t>
      </w:r>
      <w:r>
        <w:t xml:space="preserve">olice » ou autre et dans un premier temps n’utilisez que les styles prédéfinis. </w:t>
      </w:r>
      <w:r>
        <w:t xml:space="preserve">Si cet</w:t>
      </w:r>
      <w:r>
        <w:t xml:space="preserve">te règle est respectée vous pourr</w:t>
      </w:r>
      <w:r>
        <w:t xml:space="preserve">ez</w:t>
      </w:r>
      <w:r>
        <w:t xml:space="preserve"> changer uniformément </w:t>
      </w:r>
      <w:r>
        <w:t xml:space="preserve">l’aspect de votre document</w:t>
      </w:r>
      <w:r>
        <w:t xml:space="preserve"> en quelques clics e</w:t>
      </w:r>
      <w:r>
        <w:t xml:space="preserve">n </w:t>
      </w:r>
      <w:r>
        <w:t xml:space="preserve">modifiant</w:t>
      </w:r>
      <w:r>
        <w:t xml:space="preserve"> le « Jeu de style » (par exemple le document actuel utilisé le thème « Formel »)</w:t>
      </w:r>
      <w:r>
        <w:t xml:space="preserve">.</w:t>
      </w:r>
      <w:r/>
    </w:p>
    <w:p>
      <w:r>
        <w:t xml:space="preserve">Le principe est le même avec toutes les références (légendes des table/figures, citation, …etc), il est important de toujours utiliser la fonction Word pour </w:t>
      </w:r>
      <w:r>
        <w:t xml:space="preserve">définir de façon dynamique un élément </w:t>
      </w:r>
      <w:r>
        <w:t xml:space="preserve">ou ins</w:t>
      </w:r>
      <w:r>
        <w:t xml:space="preserve">é</w:t>
      </w:r>
      <w:r>
        <w:t xml:space="preserve">r</w:t>
      </w:r>
      <w:r>
        <w:t xml:space="preserve">er </w:t>
      </w:r>
      <w:r>
        <w:t xml:space="preserve">un renvoi</w:t>
      </w:r>
      <w:r>
        <w:t xml:space="preserve"> vers celui-ci</w:t>
      </w:r>
      <w:r>
        <w:t xml:space="preserve">. </w:t>
      </w:r>
      <w:r>
        <w:t xml:space="preserve">Au final vos sommaires, tables et légendes</w:t>
      </w:r>
      <w:r>
        <w:t xml:space="preserve"> se créeron</w:t>
      </w:r>
      <w:r>
        <w:t xml:space="preserve">t</w:t>
      </w:r>
      <w:r>
        <w:t xml:space="preserve"> sans problèmes et seron</w:t>
      </w:r>
      <w:r>
        <w:t xml:space="preserve">t</w:t>
      </w:r>
      <w:r>
        <w:t xml:space="preserve"> toujours à jours.</w:t>
      </w:r>
      <w:r>
        <w:t xml:space="preserve"> </w:t>
      </w:r>
      <w:r/>
    </w:p>
    <w:p>
      <w:r>
        <w:t xml:space="preserve">Word vous permet également de réorganiser vos chapitres et scinder vos documents avec le mode « Plan »</w:t>
      </w:r>
      <w:r>
        <w:t xml:space="preserve">. Comme pour LaTeX, pensez à regarder les tutoriels</w:t>
      </w:r>
      <w:r>
        <w:t xml:space="preserve"> et concentrez-vous sur le fond</w:t>
      </w:r>
      <w:r>
        <w:t xml:space="preserve">.</w:t>
      </w:r>
      <w:r/>
    </w:p>
    <w:p>
      <w:r>
        <w:t xml:space="preserve">L’ajout de quelques modules peut être très intéressant :</w:t>
      </w:r>
      <w:r/>
    </w:p>
    <w:p>
      <w:pPr>
        <w:pStyle w:val="865"/>
      </w:pPr>
      <w:r>
        <w:t xml:space="preserve">Matype permet une gestion avancé</w:t>
      </w:r>
      <w:r>
        <w:t xml:space="preserve">e</w:t>
      </w:r>
      <w:r>
        <w:t xml:space="preserve"> des équations. L’écriture peut se faire en format graphique ou en mode TeX, la numérotation est automatique et peut se faire en fonction des chapitres ou des sections, </w:t>
      </w:r>
      <w:r>
        <w:t xml:space="preserve">vous pouvez définir des renvoi</w:t>
      </w:r>
      <w:r>
        <w:t xml:space="preserve">s</w:t>
      </w:r>
      <w:r>
        <w:t xml:space="preserve">, exporter les équations en différents format d’image</w:t>
      </w:r>
      <w:r>
        <w:t xml:space="preserve"> et définir la police de caractère</w:t>
      </w:r>
      <w:r>
        <w:t xml:space="preserve">.</w:t>
      </w:r>
      <w:r/>
    </w:p>
    <w:p>
      <w:pPr>
        <w:pStyle w:val="865"/>
      </w:pPr>
      <w:r>
        <w:t xml:space="preserve">M</w:t>
      </w:r>
      <w:r>
        <w:t xml:space="preserve">endeley</w:t>
      </w:r>
      <w:r>
        <w:t xml:space="preserve"> (ou </w:t>
      </w:r>
      <w:r>
        <w:t xml:space="preserve">Zotero</w:t>
      </w:r>
      <w:r>
        <w:t xml:space="preserve">)</w:t>
      </w:r>
      <w:r>
        <w:t xml:space="preserve"> est un outil de gestion de </w:t>
      </w:r>
      <w:r>
        <w:t xml:space="preserve">bibliothèque qui </w:t>
      </w:r>
      <w:r>
        <w:t xml:space="preserve">permet de gérer à la fois les références bibliographiques et les fichiers .pdf associés</w:t>
      </w:r>
      <w:r>
        <w:t xml:space="preserve">. Il permet de citer des articles directement depuis Word et dispose de tous des styles de citation. </w:t>
      </w:r>
      <w:r>
        <w:t xml:space="preserve">Les options pour la </w:t>
      </w:r>
      <w:r>
        <w:t xml:space="preserve">bibliographie sont pour l’instant assez limitées, impossible de faire une bibliographie par chapitre à moins de jouer d’astuces.</w:t>
      </w:r>
      <w:r/>
    </w:p>
    <w:p>
      <w:pPr>
        <w:rPr>
          <w:highlight w:val="none"/>
        </w:rPr>
      </w:pPr>
      <w:r>
        <w:t xml:space="preserve">Dans les deux cas il vous faudra une phase d’apprentissage</w:t>
      </w:r>
      <w:r>
        <w:t xml:space="preserve">.</w:t>
      </w:r>
      <w:r/>
    </w:p>
    <w:p>
      <w:r>
        <w:rPr>
          <w:highlight w:val="none"/>
        </w:rPr>
      </w:r>
      <w:r>
        <w:rPr>
          <w:highlight w:val="none"/>
        </w:rPr>
      </w:r>
      <w:r/>
    </w:p>
    <w:p>
      <w:pPr>
        <w:pStyle w:val="790"/>
      </w:pPr>
      <w:r/>
      <w:bookmarkStart w:id="126" w:name="_Toc367812186"/>
      <w:r/>
      <w:bookmarkStart w:id="127" w:name="_Toc92377779"/>
      <w:r>
        <w:t xml:space="preserve">Restauration Universitaire</w:t>
      </w:r>
      <w:bookmarkEnd w:id="126"/>
      <w:r/>
      <w:bookmarkEnd w:id="127"/>
      <w:r/>
      <w:r/>
    </w:p>
    <w:p>
      <w:r>
        <w:t xml:space="preserve">Le prix d’un repas est d’</w:t>
      </w:r>
      <w:r>
        <w:t xml:space="preserve">environ</w:t>
      </w:r>
      <w:r>
        <w:t xml:space="preserve"> </w:t>
      </w:r>
      <w:r>
        <w:t xml:space="preserve">3</w:t>
      </w:r>
      <w:r>
        <w:t xml:space="preserve"> euros (incluant entrée + plat principal + dessert) avec la carte CROUS-</w:t>
      </w:r>
      <w:r>
        <w:t xml:space="preserve">Izly</w:t>
      </w:r>
      <w:r>
        <w:t xml:space="preserve"> Cette carte est gratuite et rechargeable. Elle est à retirer au guichet du restaurant universitaire</w:t>
      </w:r>
      <w:r>
        <w:t xml:space="preserve"> puis réactiver chaque année pour profiter du tarif étudiant</w:t>
      </w:r>
      <w:r>
        <w:t xml:space="preserve">.</w:t>
      </w:r>
      <w:r/>
    </w:p>
    <w:p>
      <w:r>
        <w:t xml:space="preserve">Il y a un restaurant universitaire sur chaque campus :</w:t>
      </w:r>
      <w:r/>
    </w:p>
    <w:p>
      <w:pPr>
        <w:pStyle w:val="865"/>
      </w:pPr>
      <w:r>
        <w:t xml:space="preserve">Jacob-Bellecombette (ouvert midi et soir du lundi et jeudi)</w:t>
      </w:r>
      <w:r/>
    </w:p>
    <w:p>
      <w:pPr>
        <w:pStyle w:val="865"/>
      </w:pPr>
      <w:r>
        <w:t xml:space="preserve">Le Bourget-du-Lac (du lundi au jeudi, 11h30-13h30 ; 18h30-19h45)</w:t>
      </w:r>
      <w:r/>
    </w:p>
    <w:p>
      <w:pPr>
        <w:pStyle w:val="865"/>
      </w:pPr>
      <w:r>
        <w:t xml:space="preserve">Annecy (ouvert midi et soir du lundi au jeudi)</w:t>
      </w:r>
      <w:r/>
    </w:p>
    <w:p>
      <w:r>
        <w:t xml:space="preserve">Et des c</w:t>
      </w:r>
      <w:r>
        <w:t xml:space="preserve">afétérias de l’Université :</w:t>
      </w:r>
      <w:r/>
    </w:p>
    <w:p>
      <w:pPr>
        <w:pStyle w:val="865"/>
      </w:pPr>
      <w:r>
        <w:t xml:space="preserve">Cafétéria de Polytech’Savoie à Annecy-le-Vieux.</w:t>
      </w:r>
      <w:r/>
    </w:p>
    <w:p>
      <w:pPr>
        <w:pStyle w:val="865"/>
      </w:pPr>
      <w:r>
        <w:t xml:space="preserve">« La Chautagne » au Bourget-du-Lac,</w:t>
      </w:r>
      <w:r/>
    </w:p>
    <w:p>
      <w:pPr>
        <w:pStyle w:val="790"/>
      </w:pPr>
      <w:r/>
      <w:bookmarkStart w:id="128" w:name="_Ref367316120"/>
      <w:r/>
      <w:bookmarkStart w:id="129" w:name="_Ref367316131"/>
      <w:r/>
      <w:bookmarkStart w:id="130" w:name="_Ref367316148"/>
      <w:r/>
      <w:bookmarkStart w:id="131" w:name="_Ref367316195"/>
      <w:r/>
      <w:bookmarkStart w:id="132" w:name="_Ref367316219"/>
      <w:r/>
      <w:bookmarkStart w:id="133" w:name="_Ref367316232"/>
      <w:r/>
      <w:bookmarkStart w:id="134" w:name="_Toc367812187"/>
      <w:r/>
      <w:bookmarkStart w:id="135" w:name="_Toc92377780"/>
      <w:r>
        <w:t xml:space="preserve">Bibliothèque</w:t>
      </w:r>
      <w:bookmarkEnd w:id="128"/>
      <w:r/>
      <w:bookmarkEnd w:id="129"/>
      <w:r/>
      <w:bookmarkEnd w:id="130"/>
      <w:r/>
      <w:bookmarkEnd w:id="131"/>
      <w:r/>
      <w:bookmarkEnd w:id="132"/>
      <w:r/>
      <w:bookmarkEnd w:id="133"/>
      <w:r/>
      <w:bookmarkEnd w:id="134"/>
      <w:r/>
      <w:bookmarkEnd w:id="135"/>
      <w:r/>
      <w:r/>
    </w:p>
    <w:p>
      <w:r>
        <w:t xml:space="preserve">L’</w:t>
      </w:r>
      <w:r>
        <w:t xml:space="preserve">Université Savoie Mont Blanc</w:t>
      </w:r>
      <w:r>
        <w:t xml:space="preserve"> </w:t>
      </w:r>
      <w:r>
        <w:t xml:space="preserve">dispose de</w:t>
      </w:r>
      <w:r>
        <w:t xml:space="preserve"> 3 bibliothèques propres</w:t>
      </w:r>
      <w:r>
        <w:t xml:space="preserve">. La BU du Bourget-du-Lac possède et enrichit des collections documentaires pluridisciplinaires à destination des étudiants et des chercheurs du site. 1500 livres et 140 titres de revues sont reçus chaque </w:t>
      </w:r>
      <w:r>
        <w:t xml:space="preserve">année</w:t>
      </w:r>
      <w:r>
        <w:t xml:space="preserve">. La BU du Bourget-du-Lac possède les microfiches de toutes les thèses soutenues en France dans les domaines scientifiques depuis les années 1980. </w:t>
      </w:r>
      <w:r>
        <w:t xml:space="preserve">Pour accéder au catalogue du service de documentation de l’</w:t>
      </w:r>
      <w:r>
        <w:t xml:space="preserve">Université Savoie Mont Blanc</w:t>
      </w:r>
      <w:r>
        <w:t xml:space="preserve">, se connecter sur le site</w:t>
      </w:r>
      <w:r>
        <w:t xml:space="preserve"> : </w:t>
      </w:r>
      <w:hyperlink r:id="rId51" w:tooltip="https://www.univ-smb.fr/bu/" w:history="1">
        <w:r>
          <w:rPr>
            <w:rStyle w:val="812"/>
          </w:rPr>
          <w:t xml:space="preserve">https://www.univ-smb.fr/bu/</w:t>
        </w:r>
      </w:hyperlink>
      <w:r>
        <w:t xml:space="preserve"> </w:t>
      </w:r>
      <w:r>
        <w:t xml:space="preserve"> </w:t>
      </w:r>
      <w:r/>
    </w:p>
    <w:p>
      <w:r>
        <w:t xml:space="preserve">Les Horaires normaux</w:t>
      </w:r>
      <w:r>
        <w:t xml:space="preserve"> :</w:t>
      </w:r>
      <w:r/>
    </w:p>
    <w:p>
      <w:pPr>
        <w:pStyle w:val="838"/>
      </w:pPr>
      <w:r>
        <w:t xml:space="preserve">lundi à mercredi</w:t>
      </w:r>
      <w:r>
        <w:tab/>
        <w:t xml:space="preserve">8h00-19h00</w:t>
      </w:r>
      <w:r/>
    </w:p>
    <w:p>
      <w:pPr>
        <w:pStyle w:val="838"/>
      </w:pPr>
      <w:r>
        <w:t xml:space="preserve">jeudi et vendredi</w:t>
      </w:r>
      <w:r>
        <w:tab/>
        <w:t xml:space="preserve">8h00-18h00</w:t>
      </w:r>
      <w:r/>
    </w:p>
    <w:p>
      <w:r>
        <w:t xml:space="preserve">Horaires réduits</w:t>
      </w:r>
      <w:r>
        <w:t xml:space="preserve"> :</w:t>
      </w:r>
      <w:r/>
    </w:p>
    <w:p>
      <w:pPr>
        <w:pStyle w:val="838"/>
      </w:pPr>
      <w:r>
        <w:t xml:space="preserve">lundi à vendredi</w:t>
      </w:r>
      <w:r>
        <w:tab/>
        <w:t xml:space="preserve">9h00-17h00</w:t>
      </w:r>
      <w:r/>
    </w:p>
    <w:p>
      <w:r>
        <w:t xml:space="preserve">La recherche d’article</w:t>
      </w:r>
      <w:r>
        <w:t xml:space="preserve">s</w:t>
      </w:r>
      <w:r>
        <w:t xml:space="preserve"> </w:t>
      </w:r>
      <w:r>
        <w:t xml:space="preserve">peut se faire facilement à partir</w:t>
      </w:r>
      <w:r>
        <w:t xml:space="preserve"> du site de la bibliothèque (« Ressources en Lignes »</w:t>
      </w:r>
      <w:r>
        <w:t xml:space="preserve"> : </w:t>
      </w:r>
      <w:hyperlink r:id="rId52" w:tooltip="https://www.univ-smb.fr/bu/toutes-les-ressources-numeriques/" w:history="1">
        <w:r>
          <w:rPr>
            <w:rStyle w:val="812"/>
          </w:rPr>
          <w:t xml:space="preserve">https://www.univ-smb.fr/bu/toutes-les-ressources-numeriques/</w:t>
        </w:r>
      </w:hyperlink>
      <w:r>
        <w:t xml:space="preserve"> </w:t>
      </w:r>
      <w:r>
        <w:t xml:space="preserve">) donnant accès à des serveurs spécialisés tels que</w:t>
      </w:r>
      <w:r>
        <w:t xml:space="preserve"> HAL, </w:t>
      </w:r>
      <w:r>
        <w:t xml:space="preserve"> Science</w:t>
      </w:r>
      <w:r>
        <w:t xml:space="preserve"> </w:t>
      </w:r>
      <w:r>
        <w:t xml:space="preserve">Direc</w:t>
      </w:r>
      <w:r>
        <w:t xml:space="preserve">t, …)</w:t>
      </w:r>
      <w:r>
        <w:t xml:space="preserve">. </w:t>
      </w:r>
      <w:r/>
    </w:p>
    <w:p>
      <w:r>
        <w:t xml:space="preserve">Ou d’autres moteurs de recherche tel que</w:t>
      </w:r>
      <w:r>
        <w:t xml:space="preserve"> </w:t>
      </w:r>
      <w:hyperlink r:id="rId53" w:tooltip="https://scholar.google.fr/" w:history="1">
        <w:r>
          <w:rPr>
            <w:rStyle w:val="812"/>
          </w:rPr>
          <w:t xml:space="preserve">google scholar</w:t>
        </w:r>
      </w:hyperlink>
      <w:r>
        <w:t xml:space="preserve">. Les articles rendus disponibles gratuitement par leurs auteurs y sont référencés. Dans le cas contraire, la recherche se fait</w:t>
      </w:r>
      <w:r>
        <w:t xml:space="preserve"> via la consultation de bases de données :</w:t>
      </w:r>
      <w:r/>
    </w:p>
    <w:p>
      <w:pPr>
        <w:pStyle w:val="838"/>
      </w:pPr>
      <w:r/>
      <w:hyperlink r:id="rId54" w:tooltip="http://www.scd.univ-savoie.fr/" w:history="1">
        <w:r>
          <w:t xml:space="preserve">http://www.scd.univ-savoie.fr/</w:t>
        </w:r>
      </w:hyperlink>
      <w:r>
        <w:t xml:space="preserve"> -&gt; </w:t>
      </w:r>
      <w:r>
        <w:t xml:space="preserve">Onglet Documentation numérique -&gt; Entrer le nom de la revue dans laquelle l’article a été publié. Si l’USMB est abonné à cette revue, un lien sera disponible.</w:t>
      </w:r>
      <w:r>
        <w:t xml:space="preserve"> Les identifiants à renseigner sont ceux de l’université.</w:t>
      </w:r>
      <w:r/>
    </w:p>
    <w:p>
      <w:r>
        <w:t xml:space="preserve">Et plus généralement :</w:t>
      </w:r>
      <w:r/>
    </w:p>
    <w:p>
      <w:pPr>
        <w:pStyle w:val="838"/>
      </w:pPr>
      <w:r>
        <w:t xml:space="preserve">Science Direct : </w:t>
      </w:r>
      <w:r>
        <w:t xml:space="preserve">http://www.sciencedirect.com/</w:t>
      </w:r>
      <w:r/>
    </w:p>
    <w:p>
      <w:pPr>
        <w:pStyle w:val="838"/>
      </w:pPr>
      <w:r>
        <w:t xml:space="preserve">Base de donnée du CNRS</w:t>
      </w:r>
      <w:r>
        <w:t xml:space="preserve"> : </w:t>
      </w:r>
      <w:hyperlink r:id="rId55" w:tooltip="http://bibliost2i.inist.fr/" w:history="1">
        <w:r>
          <w:t xml:space="preserve">http://bibliost2i.inist.fr/</w:t>
        </w:r>
      </w:hyperlink>
      <w:r>
        <w:t xml:space="preserve"> -&gt; web of science (inclus science direct, springerlink…), nom d’utilisateur et mot de passe à demander au secrétariat ;</w:t>
      </w:r>
      <w:r/>
    </w:p>
    <w:p>
      <w:pPr>
        <w:pStyle w:val="838"/>
      </w:pPr>
      <w:r/>
      <w:hyperlink r:id="rId56" w:tooltip="http://tel.archives-ouvertes.fr/" w:history="1">
        <w:r>
          <w:t xml:space="preserve">http://tel.archives-ouvertes.fr/</w:t>
        </w:r>
      </w:hyperlink>
      <w:r/>
      <w:r/>
    </w:p>
    <w:p>
      <w:pPr>
        <w:pStyle w:val="838"/>
      </w:pPr>
      <w:r/>
      <w:hyperlink r:id="rId57" w:tooltip="http://hal.archives-ouvertes.fr/" w:history="1">
        <w:r>
          <w:t xml:space="preserve">http://hal.archives-ouvertes.fr/</w:t>
        </w:r>
      </w:hyperlink>
      <w:r/>
      <w:r/>
    </w:p>
    <w:p>
      <w:pPr>
        <w:pStyle w:val="838"/>
      </w:pPr>
      <w:r>
        <w:t xml:space="preserve">http://www.techniques-ingenieur.fr</w:t>
      </w:r>
      <w:r/>
    </w:p>
    <w:p>
      <w:r>
        <w:t xml:space="preserve">Possibilités </w:t>
      </w:r>
      <w:r>
        <w:t xml:space="preserve">de commander </w:t>
      </w:r>
      <w:r>
        <w:t xml:space="preserve">directe</w:t>
      </w:r>
      <w:r>
        <w:t xml:space="preserve">ment l’article</w:t>
      </w:r>
      <w:r>
        <w:t xml:space="preserve"> par l’INIST</w:t>
      </w:r>
      <w:r>
        <w:t xml:space="preserve">,</w:t>
      </w:r>
      <w:r>
        <w:t xml:space="preserve"> s’il n’est pas disponible</w:t>
      </w:r>
      <w:r>
        <w:t xml:space="preserve"> </w:t>
      </w:r>
      <w:r>
        <w:t xml:space="preserve">gratuitement, se</w:t>
      </w:r>
      <w:r>
        <w:t xml:space="preserve"> référer au </w:t>
      </w:r>
      <w:r>
        <w:t xml:space="preserve">secrétariat pour la démarche</w:t>
      </w:r>
      <w:r>
        <w:t xml:space="preserve"> à suivre.</w:t>
      </w:r>
      <w:r/>
    </w:p>
    <w:p>
      <w:r>
        <w:t xml:space="preserve">Le laboratoire dispose également d’un espace bibliothèque. Des fiches papier disponible</w:t>
      </w:r>
      <w:r>
        <w:t xml:space="preserve">s</w:t>
      </w:r>
      <w:r>
        <w:t xml:space="preserve"> à l’accueil de la BU du Bo</w:t>
      </w:r>
      <w:r>
        <w:t xml:space="preserve">urget référencent une partie des ouvrages. Cependant étant donné le format du référencement, il est préférable de demander directement aux personnes en fonction de leurs thèmes de recherche ou bien de faire une demande par mail à l’ensemble du laboratoire.</w:t>
      </w:r>
      <w:r/>
    </w:p>
    <w:p>
      <w:pPr>
        <w:pStyle w:val="790"/>
      </w:pPr>
      <w:r/>
      <w:bookmarkStart w:id="136" w:name="_Toc367812188"/>
      <w:r/>
      <w:bookmarkStart w:id="137" w:name="_Toc92377781"/>
      <w:r>
        <w:t xml:space="preserve">Se déplacer</w:t>
      </w:r>
      <w:bookmarkEnd w:id="136"/>
      <w:r/>
      <w:bookmarkEnd w:id="137"/>
      <w:r/>
      <w:r/>
    </w:p>
    <w:p>
      <w:pPr>
        <w:pStyle w:val="791"/>
      </w:pPr>
      <w:r/>
      <w:bookmarkStart w:id="138" w:name="_Toc367812189"/>
      <w:r/>
      <w:bookmarkStart w:id="139" w:name="_Toc92377782"/>
      <w:r>
        <w:t xml:space="preserve">Réseau de transports urbains</w:t>
      </w:r>
      <w:bookmarkEnd w:id="138"/>
      <w:r/>
      <w:bookmarkEnd w:id="139"/>
      <w:r/>
      <w:r/>
    </w:p>
    <w:p>
      <w:r>
        <w:t xml:space="preserve">Le</w:t>
      </w:r>
      <w:r>
        <w:t xml:space="preserve"> </w:t>
      </w:r>
      <w:r>
        <w:t xml:space="preserve">trajet entre Chambéry et Le Bourget du Lac est assuré dans les deux sens par la ligne </w:t>
      </w:r>
      <w:r>
        <w:t xml:space="preserve">A</w:t>
      </w:r>
      <w:r>
        <w:t xml:space="preserve"> du réseau des transports urbains de l'agglomération chambérienne (STAC). </w:t>
      </w:r>
      <w:r/>
    </w:p>
    <w:p>
      <w:r>
        <w:t xml:space="preserve">Pour les horaires se connecter à </w:t>
      </w:r>
      <w:hyperlink r:id="rId58" w:tooltip="https://synchro.grandchambery.fr/" w:history="1">
        <w:r>
          <w:rPr>
            <w:rStyle w:val="812"/>
          </w:rPr>
          <w:t xml:space="preserve">https://synchro.grandchambery.fr/</w:t>
        </w:r>
      </w:hyperlink>
      <w:r/>
      <w:r/>
    </w:p>
    <w:p>
      <w:r>
        <w:t xml:space="preserve">Réseau Chambéry</w:t>
      </w:r>
      <w:r>
        <w:t xml:space="preserve"> :</w:t>
      </w:r>
      <w:r/>
    </w:p>
    <w:p>
      <w:r/>
      <w:hyperlink r:id="rId59" w:tooltip="https://www.grandchambery.fr/2816-mobilite.htm" w:history="1">
        <w:r>
          <w:rPr>
            <w:rStyle w:val="812"/>
          </w:rPr>
          <w:t xml:space="preserve">https://www.grandchambery.fr/2816-mobilite.htm</w:t>
        </w:r>
      </w:hyperlink>
      <w:r/>
      <w:r/>
    </w:p>
    <w:p>
      <w:r>
        <w:t xml:space="preserve">Réseau Aix-les-Bains</w:t>
      </w:r>
      <w:r>
        <w:t xml:space="preserve"> :</w:t>
      </w:r>
      <w:r/>
    </w:p>
    <w:p>
      <w:r/>
      <w:hyperlink r:id="rId60" w:tooltip="https://www.aixlesbains.fr/Cadre-de-vie/Transports-et-deplacements" w:history="1">
        <w:r>
          <w:rPr>
            <w:rStyle w:val="812"/>
          </w:rPr>
          <w:t xml:space="preserve">https://www.aixlesbains.fr/Cadre-de-vie/Transports-et-deplacements</w:t>
        </w:r>
      </w:hyperlink>
      <w:r/>
      <w:r/>
    </w:p>
    <w:p>
      <w:r>
        <w:rPr>
          <w:u w:val="single"/>
        </w:rPr>
        <w:t xml:space="preserve">BUS</w:t>
      </w:r>
      <w:r/>
    </w:p>
    <w:p>
      <w:r/>
      <w:bookmarkStart w:id="142" w:name="_Toc367812191"/>
      <w:r>
        <w:t xml:space="preserve">Demande de tickets de bus dans les S.</w:t>
      </w:r>
      <w:r>
        <w:t xml:space="preserve">E</w:t>
      </w:r>
      <w:r>
        <w:t xml:space="preserve">.</w:t>
      </w:r>
      <w:r>
        <w:t xml:space="preserve">P</w:t>
      </w:r>
      <w:r>
        <w:t xml:space="preserve">.</w:t>
      </w:r>
      <w:bookmarkEnd w:id="142"/>
      <w:r>
        <w:t xml:space="preserve"> </w:t>
      </w:r>
      <w:r/>
    </w:p>
    <w:p>
      <w:r>
        <w:t xml:space="preserve">Lorsque </w:t>
      </w:r>
      <w:r>
        <w:t xml:space="preserve">vous vous rendez à une réunion ou à une formation sur l'un des sites de l’US</w:t>
      </w:r>
      <w:r>
        <w:t xml:space="preserve">MB</w:t>
      </w:r>
      <w:r>
        <w:t xml:space="preserve">.</w:t>
      </w:r>
      <w:r/>
    </w:p>
    <w:p>
      <w:r>
        <w:t xml:space="preserve">Se présenter avec un courriel ou une convocation et une personne vous remettra des tickets de bus du site d'Annecy ou de Chambéry.</w:t>
      </w:r>
      <w:r/>
    </w:p>
    <w:p>
      <w:pPr>
        <w:rPr>
          <w:highlight w:val="none"/>
        </w:rPr>
      </w:pPr>
      <w:r>
        <w:t xml:space="preserve">Si vous souhaitez plus de renseignements, n'hésitez pas à contacter </w:t>
      </w:r>
      <w:r>
        <w:t xml:space="preserve">le r</w:t>
      </w:r>
      <w:r>
        <w:t xml:space="preserve">éférent plan de déplacement</w:t>
      </w:r>
      <w:r>
        <w:t xml:space="preserve"> de l’université (</w:t>
      </w:r>
      <w:r>
        <w:t xml:space="preserve">PDUS</w:t>
      </w:r>
      <w:r>
        <w:t xml:space="preserve">)</w:t>
      </w:r>
      <w:r>
        <w:t xml:space="preserve"> 04 79 75 84</w:t>
      </w:r>
      <w:r>
        <w:t xml:space="preserve"> 09</w:t>
      </w:r>
      <w:r/>
    </w:p>
    <w:p>
      <w:pPr>
        <w:rPr>
          <w:highlight w:val="none"/>
        </w:rPr>
      </w:pPr>
      <w:r>
        <w:rPr>
          <w:highlight w:val="none"/>
          <w:u w:val="single"/>
        </w:rPr>
        <w:t xml:space="preserve">A noter</w:t>
      </w:r>
      <w:r>
        <w:rPr>
          <w:highlight w:val="none"/>
        </w:rPr>
        <w:t xml:space="preserve"> : le secrétariat du laboratoire dispose de cartes utilisables ponctuellement sur le réseau de bus de </w:t>
        <w:tab/>
        <w:t xml:space="preserve">  Chambéry</w:t>
      </w:r>
      <w:r>
        <w:rPr>
          <w:highlight w:val="none"/>
        </w:rPr>
      </w:r>
      <w:r/>
    </w:p>
    <w:p>
      <w:r>
        <w:t xml:space="preserve">et aussi</w:t>
      </w:r>
      <w:r/>
    </w:p>
    <w:p>
      <w:r>
        <w:t xml:space="preserve">Le train</w:t>
      </w:r>
      <w:r>
        <w:t xml:space="preserve"> :</w:t>
      </w:r>
      <w:r>
        <w:t xml:space="preserve"> </w:t>
      </w:r>
      <w:hyperlink r:id="rId61" w:tooltip="https://www.oui.sncf/" w:history="1">
        <w:r>
          <w:rPr>
            <w:rStyle w:val="812"/>
          </w:rPr>
          <w:t xml:space="preserve">https://www.oui.sncf/</w:t>
        </w:r>
      </w:hyperlink>
      <w:r>
        <w:t xml:space="preserve"> </w:t>
      </w:r>
      <w:r/>
    </w:p>
    <w:p>
      <w:pPr>
        <w:rPr>
          <w:highlight w:val="none"/>
        </w:rPr>
      </w:pPr>
      <w:r>
        <w:t xml:space="preserve">Le covoiturage : </w:t>
      </w:r>
      <w:r>
        <w:t xml:space="preserve">Blablacar + </w:t>
      </w:r>
      <w:r>
        <w:t xml:space="preserve">nombreux sites</w:t>
      </w:r>
      <w:r>
        <w:rPr>
          <w:highlight w:val="none"/>
        </w:rPr>
      </w:r>
      <w:r/>
    </w:p>
    <w:p>
      <w:pPr>
        <w:pStyle w:val="791"/>
      </w:pPr>
      <w:r/>
      <w:bookmarkStart w:id="140" w:name="_Toc367812190"/>
      <w:r/>
      <w:bookmarkStart w:id="141" w:name="_Toc92377783"/>
      <w:r>
        <w:t xml:space="preserve">Vélo</w:t>
      </w:r>
      <w:bookmarkEnd w:id="140"/>
      <w:r/>
      <w:bookmarkEnd w:id="141"/>
      <w:r/>
      <w:r/>
    </w:p>
    <w:p>
      <w:r>
        <w:t xml:space="preserve">Les pistes cyclables sont très bien entretenues et sécurisées entre Chambéry- Le Bourget et Annecy- Le Bourget. Le LOCIE incite et accompagne fortement le recours à la mobilité douce (Contact : Noémie Prime</w:t>
      </w:r>
      <w:r>
        <w:t xml:space="preserve"> : noemie.prime@univ-smb.fr ) </w:t>
      </w:r>
      <w:r/>
    </w:p>
    <w:p>
      <w:r>
        <w:t xml:space="preserve">VeloBricolage : </w:t>
      </w:r>
      <w:r>
        <w:t xml:space="preserve">Association communautaire vous donnant les moyens de réparer ou d’entretenir votre vélo en vous apportant </w:t>
      </w:r>
      <w:r>
        <w:t xml:space="preserve">l’aide</w:t>
      </w:r>
      <w:r>
        <w:t xml:space="preserve"> de personnes compétentes ainsi que l'accès à l’outillage et aux pièces détachées nécessaires. Tous les mercredis </w:t>
      </w:r>
      <w:r>
        <w:t xml:space="preserve">après-midi à Chambéry</w:t>
      </w:r>
      <w:r>
        <w:t xml:space="preserve">. Adhésion annuelle ~10€</w:t>
      </w:r>
      <w:r>
        <w:t xml:space="preserve">. </w:t>
      </w:r>
      <w:hyperlink r:id="rId62" w:tooltip="http://rouelibre.net/" w:history="1">
        <w:r>
          <w:rPr>
            <w:rStyle w:val="812"/>
          </w:rPr>
          <w:t xml:space="preserve">http://rouelibre.net/</w:t>
        </w:r>
      </w:hyperlink>
      <w:r>
        <w:rPr>
          <w:highlight w:val="none"/>
        </w:rPr>
      </w:r>
      <w:r/>
    </w:p>
    <w:p>
      <w:pPr>
        <w:pStyle w:val="791"/>
      </w:pPr>
      <w:r/>
      <w:bookmarkStart w:id="143" w:name="_Toc92377784"/>
      <w:r>
        <w:t xml:space="preserve">Prise en charge partielle des frais de déplacement domicile/travail</w:t>
      </w:r>
      <w:bookmarkEnd w:id="143"/>
      <w:r>
        <w:t xml:space="preserve"> </w:t>
      </w:r>
      <w:r/>
    </w:p>
    <w:p>
      <w:r>
        <w:t xml:space="preserve">Les personnels titulaires, stagiaires et contractuels qui utilisent les transports en commun pour se rendre sur leur lieu de travail peuvent bénéficier de la prise en charge partielle de leurs frais de transport.</w:t>
      </w:r>
      <w:r/>
    </w:p>
    <w:p>
      <w:r>
        <w:t xml:space="preserve">Les pièces justificatives doivent être transmises au gestionnaire compétent au sein de la Direction des Ressources Humaines :</w:t>
      </w:r>
      <w:r/>
    </w:p>
    <w:p>
      <w:r>
        <w:t xml:space="preserve">• demande de remboursement (décret 2010) : original et copie</w:t>
      </w:r>
      <w:r/>
    </w:p>
    <w:p>
      <w:r>
        <w:t xml:space="preserve">• justificatif de paiement : original et copie</w:t>
      </w:r>
      <w:r/>
    </w:p>
    <w:p>
      <w:r>
        <w:t xml:space="preserve">• justificatif de transport : original et copie</w:t>
      </w:r>
      <w:r/>
    </w:p>
    <w:p>
      <w:r>
        <w:t xml:space="preserve">Vous pouvez vous faire rembourser la moitié du montant de vos abonnements</w:t>
      </w:r>
      <w:r>
        <w:t xml:space="preserve"> de</w:t>
      </w:r>
      <w:r>
        <w:t xml:space="preserve"> transport, pou</w:t>
      </w:r>
      <w:r>
        <w:t xml:space="preserve">r </w:t>
      </w:r>
      <w:r>
        <w:t xml:space="preserve">les location</w:t>
      </w:r>
      <w:r>
        <w:t xml:space="preserve">s</w:t>
      </w:r>
      <w:r>
        <w:t xml:space="preserve"> de vélo, </w:t>
      </w:r>
      <w:r>
        <w:t xml:space="preserve">le bus, le train.</w:t>
      </w:r>
      <w:r/>
    </w:p>
    <w:p>
      <w:r>
        <w:t xml:space="preserve">La règlementation permet d'accepter les titres de transport annuels, mensuels ou hebdomadaires, à voyages illimités durant la période choisie.</w:t>
      </w:r>
      <w:r/>
    </w:p>
    <w:p>
      <w:r>
        <w:t xml:space="preserve">Pour cela il faut retourner la demande de remboursement complétée, accompagnée du titre de transport original et de la copie lisible de la carte d'abonnement.</w:t>
      </w:r>
      <w:r/>
    </w:p>
    <w:p>
      <w:r>
        <w:t xml:space="preserve">L</w:t>
      </w:r>
      <w:r>
        <w:t xml:space="preserve">a part à la charge de l’employeur</w:t>
      </w:r>
      <w:r>
        <w:t xml:space="preserve"> est égale à 50% du coût du titre</w:t>
      </w:r>
      <w:r>
        <w:t xml:space="preserve"> (montant plafonné)</w:t>
      </w:r>
      <w:r>
        <w:t xml:space="preserve">.</w:t>
      </w:r>
      <w:r/>
    </w:p>
    <w:p>
      <w:r>
        <w:t xml:space="preserve">Les titres admis à la prise en charge partielle sont :</w:t>
      </w:r>
      <w:r/>
    </w:p>
    <w:p>
      <w:r>
        <w:t xml:space="preserve">1. les abonnements multimodaux à nombre de voyages illimités ainsi que les cartes et abonnements annuels, mensuels ou hebdomadaires ou à renouvellement tacite,</w:t>
      </w:r>
      <w:r/>
    </w:p>
    <w:p>
      <w:r>
        <w:t xml:space="preserve">2. les abonnements à un service public de location de vélos.</w:t>
      </w:r>
      <w:r/>
    </w:p>
    <w:p>
      <w:r>
        <w:t xml:space="preserve">La prise en charge partielle des abonnements mentionnée au 1. </w:t>
      </w:r>
      <w:r>
        <w:t xml:space="preserve">n</w:t>
      </w:r>
      <w:r>
        <w:t xml:space="preserve">’est</w:t>
      </w:r>
      <w:r>
        <w:t xml:space="preserve"> pas cumulable avec celle mentionnée au 2. </w:t>
      </w:r>
      <w:r>
        <w:t xml:space="preserve">l</w:t>
      </w:r>
      <w:r>
        <w:t xml:space="preserve">orsqu’elle</w:t>
      </w:r>
      <w:r>
        <w:t xml:space="preserve"> a pour objet de couvrir les mêmes trajets. La participation de l'employeur public se fait sur la base du tarif le plus économique pratiqué </w:t>
      </w:r>
      <w:r>
        <w:t xml:space="preserve">par les transporteurs. Cette participation couvre le coût du ou des titres de transport permettant aux agents d'effectuer le trajet dans le temps le plus court entre leur résidence habituelle la plus proche de leur lieu de travail, et leur lieu de travail.</w:t>
      </w:r>
      <w:r/>
    </w:p>
    <w:p>
      <w:r>
        <w:t xml:space="preserve">Le montant de la prise en charge partielle du prix des titres d'abonnement est versé mensuellement. Les titres dont la période de validité est annuelle font l'objet d'une prise en charge répartie mensuellement pendant la période d'utilisation.</w:t>
      </w:r>
      <w:r/>
    </w:p>
    <w:p>
      <w:pPr>
        <w:rPr>
          <w:b/>
          <w:bCs/>
        </w:rPr>
      </w:pPr>
      <w:r>
        <w:rPr>
          <w:b/>
          <w:bCs/>
        </w:rPr>
        <w:t xml:space="preserve">Quel abonnement devez-vous prendre ?</w:t>
      </w:r>
      <w:r/>
    </w:p>
    <w:p>
      <w:pPr>
        <w:rPr>
          <w:b/>
          <w:bCs/>
        </w:rPr>
      </w:pPr>
      <w:r>
        <w:rPr>
          <w:b/>
          <w:bCs/>
        </w:rPr>
        <w:t xml:space="preserve">1.1 Réseaux urbains (</w:t>
      </w:r>
      <w:r>
        <w:rPr>
          <w:b/>
          <w:bCs/>
        </w:rPr>
        <w:t xml:space="preserve">(Vélo)</w:t>
      </w:r>
      <w:r>
        <w:rPr>
          <w:b/>
          <w:bCs/>
        </w:rPr>
        <w:t xml:space="preserve"> </w:t>
      </w:r>
      <w:r>
        <w:rPr>
          <w:b/>
          <w:bCs/>
        </w:rPr>
        <w:t xml:space="preserve">Synchro</w:t>
      </w:r>
      <w:r>
        <w:rPr>
          <w:b/>
          <w:bCs/>
        </w:rPr>
        <w:t xml:space="preserve">, Ondéa ou SIBRA)</w:t>
      </w:r>
      <w:r/>
    </w:p>
    <w:p>
      <w:r>
        <w:t xml:space="preserve">L'</w:t>
      </w:r>
      <w:r>
        <w:rPr>
          <w:b/>
          <w:bCs/>
        </w:rPr>
        <w:t xml:space="preserve">abonnement annuel </w:t>
      </w:r>
      <w:r>
        <w:t xml:space="preserve">est le plus avantageux (12 mois pour le prix de 8 à 9 mois, suivant le réseau). Il peut être payé en une seule fois ou par mensualités.</w:t>
      </w:r>
      <w:r/>
    </w:p>
    <w:p>
      <w:pPr>
        <w:rPr>
          <w:b/>
          <w:bCs/>
        </w:rPr>
      </w:pPr>
      <w:r>
        <w:rPr>
          <w:b/>
          <w:bCs/>
        </w:rPr>
        <w:t xml:space="preserve">1.2 TER</w:t>
      </w:r>
      <w:r/>
    </w:p>
    <w:p>
      <w:r>
        <w:t xml:space="preserve">Vous pouvez prendre un </w:t>
      </w:r>
      <w:r>
        <w:rPr>
          <w:b/>
          <w:bCs/>
        </w:rPr>
        <w:t xml:space="preserve">abonnement de travail </w:t>
      </w:r>
      <w:r>
        <w:t xml:space="preserve">(trajets inférieurs à 75 km) </w:t>
      </w:r>
      <w:r>
        <w:rPr>
          <w:b/>
          <w:bCs/>
        </w:rPr>
        <w:t xml:space="preserve">mensuel </w:t>
      </w:r>
      <w:r>
        <w:t xml:space="preserve">ou à défaut </w:t>
      </w:r>
      <w:r>
        <w:rPr>
          <w:b/>
          <w:bCs/>
        </w:rPr>
        <w:t xml:space="preserve">hebdomadaire </w:t>
      </w:r>
      <w:r>
        <w:t xml:space="preserve">ou un abonnement </w:t>
      </w:r>
      <w:r>
        <w:rPr>
          <w:b/>
          <w:bCs/>
        </w:rPr>
        <w:t xml:space="preserve">Illico annuel </w:t>
      </w:r>
      <w:r>
        <w:t xml:space="preserve">ou à défaut </w:t>
      </w:r>
      <w:r>
        <w:rPr>
          <w:b/>
          <w:bCs/>
        </w:rPr>
        <w:t xml:space="preserve">mensuel</w:t>
      </w:r>
      <w:r>
        <w:t xml:space="preserve">.</w:t>
      </w:r>
      <w:r/>
    </w:p>
    <w:p>
      <w:pPr>
        <w:rPr>
          <w:b/>
          <w:bCs/>
        </w:rPr>
      </w:pPr>
      <w:r>
        <w:rPr>
          <w:b/>
          <w:bCs/>
        </w:rPr>
        <w:t xml:space="preserve">1.3 Belle Savoie Express (cars du département de la Savoie)</w:t>
      </w:r>
      <w:r/>
    </w:p>
    <w:p>
      <w:r>
        <w:t xml:space="preserve">Il n'existe pas d'abonnement annuel. Vous devez prendre un </w:t>
      </w:r>
      <w:r>
        <w:rPr>
          <w:b/>
          <w:bCs/>
        </w:rPr>
        <w:t xml:space="preserve">abonnement mensuel</w:t>
      </w:r>
      <w:r>
        <w:t xml:space="preserve">.</w:t>
      </w:r>
      <w:r/>
    </w:p>
    <w:p>
      <w:pPr>
        <w:rPr>
          <w:b/>
          <w:bCs/>
        </w:rPr>
      </w:pPr>
      <w:r>
        <w:rPr>
          <w:b/>
          <w:bCs/>
        </w:rPr>
        <w:t xml:space="preserve">1.4 TransIsère (cars du département de l'Isère)</w:t>
      </w:r>
      <w:r/>
    </w:p>
    <w:p>
      <w:r>
        <w:t xml:space="preserve">Le </w:t>
      </w:r>
      <w:r>
        <w:rPr>
          <w:b/>
          <w:bCs/>
        </w:rPr>
        <w:t xml:space="preserve">Pass annuel </w:t>
      </w:r>
      <w:r>
        <w:t xml:space="preserve">est plus avantageux (12 mois pour le prix de 10) que le </w:t>
      </w:r>
      <w:r>
        <w:rPr>
          <w:b/>
          <w:bCs/>
        </w:rPr>
        <w:t xml:space="preserve">Pass mensuel</w:t>
      </w:r>
      <w:r>
        <w:t xml:space="preserve">, mais il doit être payé en une seule fois. En cas de difficulté, faire une demande d'avance au Bureau Environnement social au travail de l'Université.</w:t>
      </w:r>
      <w:r/>
    </w:p>
    <w:p>
      <w:pPr>
        <w:rPr>
          <w:b/>
          <w:bCs/>
        </w:rPr>
      </w:pPr>
      <w:r>
        <w:rPr>
          <w:b/>
          <w:bCs/>
        </w:rPr>
        <w:t xml:space="preserve">1.5 LISHA (cars du département de la Haute-Savoie)</w:t>
      </w:r>
      <w:r/>
    </w:p>
    <w:p>
      <w:r>
        <w:t xml:space="preserve">Il n'existe pas d'abonnement annuel. Vous devez prendre un </w:t>
      </w:r>
      <w:r>
        <w:rPr>
          <w:b/>
          <w:bCs/>
        </w:rPr>
        <w:t xml:space="preserve">abonnement mensuel</w:t>
      </w:r>
      <w:r>
        <w:t xml:space="preserve">.</w:t>
      </w:r>
      <w:r/>
    </w:p>
    <w:p>
      <w:pPr>
        <w:rPr>
          <w:b/>
          <w:bCs/>
        </w:rPr>
      </w:pPr>
      <w:r>
        <w:rPr>
          <w:b/>
          <w:bCs/>
        </w:rPr>
        <w:t xml:space="preserve">1.6 Vous utilisez plusieurs réseaux</w:t>
      </w:r>
      <w:r/>
    </w:p>
    <w:p>
      <w:r>
        <w:t xml:space="preserve">Il existe dans certains cas des abonnements intermodaux, moins chers que deux abonnements </w:t>
      </w:r>
      <w:r>
        <w:t xml:space="preserve">séparés : </w:t>
      </w:r>
      <w:r>
        <w:rPr>
          <w:b/>
          <w:bCs/>
        </w:rPr>
        <w:t xml:space="preserve">Synchro</w:t>
      </w:r>
      <w:r>
        <w:rPr>
          <w:b/>
          <w:bCs/>
        </w:rPr>
        <w:t xml:space="preserve"> + Ondéa </w:t>
      </w:r>
      <w:r>
        <w:t xml:space="preserve">(annuel et mensuel), </w:t>
      </w:r>
      <w:r>
        <w:rPr>
          <w:b/>
          <w:bCs/>
        </w:rPr>
        <w:t xml:space="preserve">Belle Savoie Express + S</w:t>
      </w:r>
      <w:r>
        <w:rPr>
          <w:b/>
          <w:bCs/>
        </w:rPr>
        <w:t xml:space="preserve">ynchro</w:t>
      </w:r>
      <w:r>
        <w:rPr>
          <w:b/>
          <w:bCs/>
        </w:rPr>
        <w:t xml:space="preserve"> </w:t>
      </w:r>
      <w:r>
        <w:t xml:space="preserve">(mensuel),</w:t>
      </w:r>
      <w:r/>
    </w:p>
    <w:p>
      <w:r>
        <w:rPr>
          <w:b/>
          <w:bCs/>
        </w:rPr>
        <w:t xml:space="preserve">TER + S</w:t>
      </w:r>
      <w:r>
        <w:rPr>
          <w:b/>
          <w:bCs/>
        </w:rPr>
        <w:t xml:space="preserve">ynchro</w:t>
      </w:r>
      <w:r>
        <w:rPr>
          <w:b/>
          <w:bCs/>
        </w:rPr>
        <w:t xml:space="preserve"> </w:t>
      </w:r>
      <w:r>
        <w:t xml:space="preserve">(mensuel et hebdomadaire), </w:t>
      </w:r>
      <w:r>
        <w:rPr>
          <w:b/>
          <w:bCs/>
        </w:rPr>
        <w:t xml:space="preserve">TER + Ondéa </w:t>
      </w:r>
      <w:r>
        <w:t xml:space="preserve">(mensuel). Renseignez-vous auprès des transporteurs.</w:t>
      </w:r>
      <w:r/>
    </w:p>
    <w:p>
      <w:pPr>
        <w:rPr>
          <w:b/>
          <w:bCs/>
        </w:rPr>
      </w:pPr>
      <w:r>
        <w:rPr>
          <w:b/>
          <w:bCs/>
        </w:rPr>
        <w:t xml:space="preserve">Comment obtenir la prise en charge partielle ?</w:t>
      </w:r>
      <w:r/>
    </w:p>
    <w:p>
      <w:pPr>
        <w:rPr>
          <w:b/>
          <w:bCs/>
        </w:rPr>
      </w:pPr>
      <w:r>
        <w:rPr>
          <w:b/>
          <w:bCs/>
        </w:rPr>
        <w:t xml:space="preserve">2.1 Pièces à fournir</w:t>
      </w:r>
      <w:r/>
    </w:p>
    <w:p>
      <w:r>
        <w:t xml:space="preserve">La demande de remboursement fait l'objet d'une demande individuelle, comprenant :</w:t>
      </w:r>
      <w:r/>
    </w:p>
    <w:p>
      <w:r>
        <w:t xml:space="preserve">• </w:t>
      </w:r>
      <w:r>
        <w:rPr>
          <w:b/>
          <w:bCs/>
        </w:rPr>
        <w:t xml:space="preserve">demande de remboursement dûment complété </w:t>
      </w:r>
      <w:r>
        <w:t xml:space="preserve">: un original et une copie</w:t>
      </w:r>
      <w:r/>
    </w:p>
    <w:p>
      <w:r>
        <w:t xml:space="preserve">• </w:t>
      </w:r>
      <w:r>
        <w:rPr>
          <w:b/>
          <w:bCs/>
        </w:rPr>
        <w:t xml:space="preserve">justificatif de paiement </w:t>
      </w:r>
      <w:r>
        <w:t xml:space="preserve">: un original</w:t>
      </w:r>
      <w:r>
        <w:t xml:space="preserve"> et une photocopie</w:t>
      </w:r>
      <w:r>
        <w:t xml:space="preserve"> (</w:t>
      </w:r>
      <w:r>
        <w:t xml:space="preserve">ex : facture , justificatif d'achat ou ticket SNCF)</w:t>
      </w:r>
      <w:r/>
    </w:p>
    <w:p>
      <w:r>
        <w:t xml:space="preserve">• </w:t>
      </w:r>
      <w:r>
        <w:rPr>
          <w:b/>
          <w:bCs/>
        </w:rPr>
        <w:t xml:space="preserve">justificatif de transport </w:t>
      </w:r>
      <w:r>
        <w:t xml:space="preserve">:</w:t>
      </w:r>
      <w:r/>
    </w:p>
    <w:p>
      <w:pPr>
        <w:rPr>
          <w:b/>
          <w:bCs/>
        </w:rPr>
      </w:pPr>
      <w:r>
        <w:rPr>
          <w:rFonts w:ascii="Times New Roman" w:hAnsi="Times New Roman" w:cs="Times New Roman"/>
        </w:rPr>
        <w:t xml:space="preserve">◦</w:t>
      </w:r>
      <w:r>
        <w:t xml:space="preserve"> </w:t>
      </w:r>
      <w:r>
        <w:rPr>
          <w:b/>
          <w:bCs/>
        </w:rPr>
        <w:t xml:space="preserve">Pour les abonnements bus ou car</w:t>
      </w:r>
      <w:r/>
    </w:p>
    <w:p>
      <w:r>
        <w:rPr>
          <w:rFonts w:ascii="Times New Roman" w:hAnsi="Times New Roman" w:cs="Times New Roman"/>
        </w:rPr>
        <w:t xml:space="preserve">▪</w:t>
      </w:r>
      <w:r>
        <w:t xml:space="preserve"> deux copies de la carte d'abonnement au 1er paiement</w:t>
      </w:r>
      <w:r/>
    </w:p>
    <w:p>
      <w:r>
        <w:t xml:space="preserve">ou</w:t>
      </w:r>
      <w:r/>
    </w:p>
    <w:p>
      <w:r>
        <w:rPr>
          <w:rFonts w:ascii="Times New Roman" w:hAnsi="Times New Roman" w:cs="Times New Roman"/>
        </w:rPr>
        <w:t xml:space="preserve">▪</w:t>
      </w:r>
      <w:r>
        <w:t xml:space="preserve"> original + copie du ticket hebdomadaire</w:t>
      </w:r>
      <w:r/>
    </w:p>
    <w:p>
      <w:pPr>
        <w:rPr>
          <w:b/>
          <w:bCs/>
        </w:rPr>
      </w:pPr>
      <w:r>
        <w:rPr>
          <w:rFonts w:ascii="Times New Roman" w:hAnsi="Times New Roman" w:cs="Times New Roman"/>
        </w:rPr>
        <w:t xml:space="preserve">◦</w:t>
      </w:r>
      <w:r>
        <w:t xml:space="preserve"> </w:t>
      </w:r>
      <w:r>
        <w:rPr>
          <w:b/>
          <w:bCs/>
        </w:rPr>
        <w:t xml:space="preserve">Pour les abonnements SNCF</w:t>
      </w:r>
      <w:r/>
    </w:p>
    <w:p>
      <w:r>
        <w:rPr>
          <w:rFonts w:ascii="Times New Roman" w:hAnsi="Times New Roman" w:cs="Times New Roman"/>
        </w:rPr>
        <w:t xml:space="preserve">▪</w:t>
      </w:r>
      <w:r>
        <w:t xml:space="preserve"> deux copies de la carte d'abonnement au 1er paiement</w:t>
      </w:r>
      <w:r/>
    </w:p>
    <w:p>
      <w:r>
        <w:t xml:space="preserve">ou</w:t>
      </w:r>
      <w:r/>
    </w:p>
    <w:p>
      <w:r>
        <w:rPr>
          <w:rFonts w:ascii="Times New Roman" w:hAnsi="Times New Roman" w:cs="Times New Roman"/>
        </w:rPr>
        <w:t xml:space="preserve">▪</w:t>
      </w:r>
      <w:r>
        <w:t xml:space="preserve"> original + copie du billet de train</w:t>
      </w:r>
      <w:r/>
    </w:p>
    <w:p>
      <w:pPr>
        <w:rPr>
          <w:b/>
          <w:bCs/>
        </w:rPr>
      </w:pPr>
      <w:r>
        <w:rPr>
          <w:rFonts w:ascii="Times New Roman" w:hAnsi="Times New Roman" w:cs="Times New Roman"/>
        </w:rPr>
        <w:t xml:space="preserve">◦</w:t>
      </w:r>
      <w:r>
        <w:t xml:space="preserve"> </w:t>
      </w:r>
      <w:r>
        <w:rPr>
          <w:b/>
          <w:bCs/>
        </w:rPr>
        <w:t xml:space="preserve">Pour les abonnements vélo</w:t>
      </w:r>
      <w:r/>
    </w:p>
    <w:p>
      <w:r>
        <w:rPr>
          <w:rFonts w:ascii="Times New Roman" w:hAnsi="Times New Roman" w:cs="Times New Roman"/>
        </w:rPr>
        <w:t xml:space="preserve">▪</w:t>
      </w:r>
      <w:r>
        <w:t xml:space="preserve"> deux copies de la carte d'abonnement au 1er paiement</w:t>
      </w:r>
      <w:r/>
    </w:p>
    <w:p>
      <w:pPr>
        <w:rPr>
          <w:b/>
          <w:bCs/>
        </w:rPr>
      </w:pPr>
      <w:r>
        <w:rPr>
          <w:b/>
          <w:bCs/>
        </w:rPr>
        <w:t xml:space="preserve">2.2 Transmission des dossiers</w:t>
      </w:r>
      <w:r/>
    </w:p>
    <w:p>
      <w:r>
        <w:t xml:space="preserve">La transmission des dossiers pour les </w:t>
      </w:r>
      <w:r>
        <w:rPr>
          <w:b/>
          <w:bCs/>
        </w:rPr>
        <w:t xml:space="preserve">abonnements annuels, </w:t>
      </w:r>
      <w:r>
        <w:t xml:space="preserve">les </w:t>
      </w:r>
      <w:r>
        <w:rPr>
          <w:b/>
          <w:bCs/>
        </w:rPr>
        <w:t xml:space="preserve">abonnements mensuels</w:t>
      </w:r>
      <w:r>
        <w:rPr>
          <w:b/>
          <w:bCs/>
        </w:rPr>
        <w:t xml:space="preserve"> </w:t>
      </w:r>
      <w:r>
        <w:t xml:space="preserve">ou </w:t>
      </w:r>
      <w:r>
        <w:rPr>
          <w:b/>
          <w:bCs/>
        </w:rPr>
        <w:t xml:space="preserve">hebdomadaires </w:t>
      </w:r>
      <w:r>
        <w:t xml:space="preserve">doit se faire dès que possible à l'adresse suivante :</w:t>
      </w:r>
      <w:r/>
    </w:p>
    <w:p>
      <w:r>
        <w:t xml:space="preserve">Université Savoie Mont Blanc</w:t>
      </w:r>
      <w:r>
        <w:t xml:space="preserve">, STC, 27 rue Marcoz, BP 1104, 73011 CHAMBERY Cedex</w:t>
      </w:r>
      <w:r/>
    </w:p>
    <w:p>
      <w:pPr>
        <w:pStyle w:val="791"/>
      </w:pPr>
      <w:r/>
      <w:bookmarkStart w:id="144" w:name="_Toc367812192"/>
      <w:r/>
      <w:bookmarkStart w:id="145" w:name="_Toc92377785"/>
      <w:r>
        <w:t xml:space="preserve">Plan du site</w:t>
      </w:r>
      <w:bookmarkEnd w:id="144"/>
      <w:r/>
      <w:bookmarkEnd w:id="145"/>
      <w:r/>
      <w:r/>
    </w:p>
    <w:p>
      <w:pPr>
        <w:jc w:val="center"/>
      </w:pPr>
      <w:r>
        <mc:AlternateContent>
          <mc:Choice Requires="wpg">
            <w:drawing>
              <wp:inline xmlns:wp="http://schemas.openxmlformats.org/drawingml/2006/wordprocessingDrawing" distT="0" distB="0" distL="0" distR="0">
                <wp:extent cx="5850890" cy="4438197"/>
                <wp:effectExtent l="0" t="0" r="0" b="635"/>
                <wp:docPr id="13" name="Image 7"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2" name="Picture 2" hidden="0"/>
                        <pic:cNvPicPr>
                          <a:picLocks noChangeAspect="1"/>
                        </pic:cNvPicPr>
                        <pic:nvPr isPhoto="0" userDrawn="0"/>
                      </pic:nvPicPr>
                      <pic:blipFill>
                        <a:blip r:embed="rId63"/>
                        <a:stretch/>
                      </pic:blipFill>
                      <pic:spPr bwMode="auto">
                        <a:xfrm>
                          <a:off x="0" y="0"/>
                          <a:ext cx="5852447" cy="4439378"/>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mso-wrap-distance-left:0.0pt;mso-wrap-distance-top:0.0pt;mso-wrap-distance-right:0.0pt;mso-wrap-distance-bottom:0.0pt;width:460.7pt;height:349.5pt;">
                <v:path textboxrect="0,0,0,0"/>
                <v:imagedata r:id="rId63" o:title=""/>
              </v:shape>
            </w:pict>
          </mc:Fallback>
        </mc:AlternateContent>
      </w:r>
      <w:r/>
    </w:p>
    <w:p>
      <w:pPr>
        <w:pStyle w:val="790"/>
      </w:pPr>
      <w:r/>
      <w:bookmarkStart w:id="146" w:name="_Toc92377786"/>
      <w:r/>
      <w:bookmarkStart w:id="147" w:name="_Toc367812193"/>
      <w:r>
        <w:t xml:space="preserve">Se loger</w:t>
      </w:r>
      <w:bookmarkEnd w:id="146"/>
      <w:r/>
      <w:r/>
    </w:p>
    <w:p>
      <w:r>
        <w:t xml:space="preserve">De nombreuses possibilités de logement étudiant existent sur l'agglomération Chambéry / Aix-les-Bains.</w:t>
      </w:r>
      <w:r/>
    </w:p>
    <w:p>
      <w:r>
        <w:t xml:space="preserve">L'</w:t>
      </w:r>
      <w:r>
        <w:t xml:space="preserve">Université Savoie Mont Blanc</w:t>
      </w:r>
      <w:r>
        <w:t xml:space="preserve">, la Ville de Chambéry et le CLOUS ont mis</w:t>
      </w:r>
      <w:r>
        <w:t xml:space="preserve"> en place une base de données d'offres de logements chez les particuliers ainsi que la liste des Foyers et Résidences étudiantes dans le secteur public et privé. Vous pouvez contacter le Guichet Unique d'Information des Étudiants (GUIDE) au 04 79 75 94 15.</w:t>
      </w:r>
      <w:r/>
    </w:p>
    <w:p>
      <w:pPr>
        <w:pStyle w:val="791"/>
        <w:jc w:val="center"/>
        <w:rPr>
          <w:rStyle w:val="804"/>
        </w:rPr>
      </w:pPr>
      <w:r/>
      <w:bookmarkStart w:id="148" w:name="_Toc92377787"/>
      <w:r>
        <w:br w:type="page"/>
      </w:r>
      <w:r>
        <w:rPr>
          <w:rStyle w:val="804"/>
        </w:rPr>
        <w:t xml:space="preserve">CAF - </w:t>
      </w:r>
      <w:r>
        <w:rPr>
          <w:rStyle w:val="804"/>
        </w:rPr>
        <w:t xml:space="preserve">APL</w:t>
      </w:r>
      <w:bookmarkEnd w:id="148"/>
      <w:r>
        <w:rPr>
          <w:rStyle w:val="804"/>
        </w:rPr>
      </w:r>
      <w:r/>
    </w:p>
    <w:p>
      <w:r>
        <w:t xml:space="preserve">L'aide personnalisée au logement (APL) est une aide financière destinée à réduire le montant de votre loyer ou votre mensualité d'emprunt immobilier. Elle est attribuée selon la nature de votre logement et la composition de votre famille.</w:t>
      </w:r>
      <w:r/>
    </w:p>
    <w:p>
      <w:r>
        <w:t xml:space="preserve">Vous pouvez faire une demande d'APL :</w:t>
      </w:r>
      <w:r/>
    </w:p>
    <w:p>
      <w:pPr>
        <w:pStyle w:val="838"/>
        <w:numPr>
          <w:ilvl w:val="0"/>
          <w:numId w:val="29"/>
        </w:numPr>
      </w:pPr>
      <w:r>
        <w:t xml:space="preserve">si vous êtes locataire ou colocataire ou sous-locataire (déclaré au propriétaire) d'un logement conventionné (meublé ou non),</w:t>
      </w:r>
      <w:r/>
    </w:p>
    <w:p>
      <w:pPr>
        <w:pStyle w:val="838"/>
        <w:numPr>
          <w:ilvl w:val="0"/>
          <w:numId w:val="29"/>
        </w:numPr>
      </w:pPr>
      <w:r>
        <w:t xml:space="preserve">si vous êtes résident en foyer d'hébergement.</w:t>
      </w:r>
      <w:r/>
    </w:p>
    <w:p>
      <w:pPr>
        <w:spacing w:after="0"/>
      </w:pPr>
      <w:r>
        <w:t xml:space="preserve">Si vous êtes étranger, vous devez justifier d'un titre de séjour en cours de validité.</w:t>
      </w:r>
      <w:r/>
    </w:p>
    <w:p>
      <w:pPr>
        <w:spacing w:after="0"/>
      </w:pPr>
      <w:r>
        <w:t xml:space="preserve">Aucune condition d'âge minimum n'est exigée.</w:t>
      </w:r>
      <w:r/>
    </w:p>
    <w:p>
      <w:pPr>
        <w:pStyle w:val="790"/>
      </w:pPr>
      <w:r/>
      <w:bookmarkStart w:id="149" w:name="_Toc92377788"/>
      <w:r>
        <w:t xml:space="preserve">Adresses utiles</w:t>
      </w:r>
      <w:bookmarkEnd w:id="147"/>
      <w:r/>
      <w:bookmarkEnd w:id="149"/>
      <w:r/>
      <w:r/>
    </w:p>
    <w:tbl>
      <w:tblPr>
        <w:tblStyle w:val="861"/>
        <w:tblW w:w="0" w:type="auto"/>
        <w:tblLook w:val="04A0" w:firstRow="1" w:lastRow="0" w:firstColumn="1" w:lastColumn="0" w:noHBand="0" w:noVBand="1"/>
      </w:tblPr>
      <w:tblGrid>
        <w:gridCol w:w="4601"/>
        <w:gridCol w:w="4602"/>
      </w:tblGrid>
      <w:tr>
        <w:trPr/>
        <w:tc>
          <w:tcPr>
            <w:tcW w:w="4676" w:type="dxa"/>
            <w:textDirection w:val="lrTb"/>
            <w:noWrap w:val="false"/>
          </w:tcPr>
          <w:p>
            <w:r>
              <w:t xml:space="preserve">Ecole doctorale</w:t>
            </w:r>
            <w:r/>
          </w:p>
        </w:tc>
        <w:tc>
          <w:tcPr>
            <w:tcW w:w="4677" w:type="dxa"/>
            <w:textDirection w:val="lrTb"/>
            <w:noWrap w:val="false"/>
          </w:tcPr>
          <w:p>
            <w:r/>
            <w:r/>
          </w:p>
        </w:tc>
      </w:tr>
      <w:tr>
        <w:trPr/>
        <w:tc>
          <w:tcPr>
            <w:tcW w:w="4676" w:type="dxa"/>
            <w:textDirection w:val="lrTb"/>
            <w:noWrap w:val="false"/>
          </w:tcPr>
          <w:p>
            <w:r>
              <w:t xml:space="preserve">Ecole Doctorale SI</w:t>
            </w:r>
            <w:r>
              <w:t xml:space="preserve">E</w:t>
            </w:r>
            <w:r>
              <w:t xml:space="preserve"> </w:t>
            </w:r>
            <w:r/>
          </w:p>
          <w:p>
            <w:r>
              <w:t xml:space="preserve">Université Savoie Mont Blanc</w:t>
            </w:r>
            <w:r>
              <w:t xml:space="preserve"> - BP 1104 </w:t>
            </w:r>
            <w:r/>
          </w:p>
          <w:p>
            <w:r>
              <w:t xml:space="preserve">73011 Chambéry cédex</w:t>
            </w:r>
            <w:r/>
          </w:p>
        </w:tc>
        <w:tc>
          <w:tcPr>
            <w:tcW w:w="4677" w:type="dxa"/>
            <w:textDirection w:val="lrTb"/>
            <w:noWrap w:val="false"/>
          </w:tcPr>
          <w:p>
            <w:r>
              <w:rPr>
                <w:rStyle w:val="817"/>
              </w:rPr>
              <w:t xml:space="preserve">Directeur</w:t>
            </w:r>
            <w:r>
              <w:rPr>
                <w:rStyle w:val="817"/>
              </w:rPr>
              <w:t xml:space="preserve"> </w:t>
            </w:r>
            <w:r>
              <w:t xml:space="preserve">:</w:t>
            </w:r>
            <w:r>
              <w:t xml:space="preserve"> </w:t>
            </w:r>
            <w:r>
              <w:t xml:space="preserve">Jean-Christophe Clément</w:t>
            </w:r>
            <w:r>
              <w:t xml:space="preserve"> </w:t>
            </w:r>
            <w:r/>
          </w:p>
          <w:p>
            <w:r>
              <w:t xml:space="preserve">Tél. : 04 79 75 91 51 </w:t>
            </w:r>
            <w:r/>
          </w:p>
          <w:p>
            <w:r>
              <w:t xml:space="preserve">E.mail : </w:t>
            </w:r>
            <w:r>
              <w:t xml:space="preserve">dir-edsi</w:t>
            </w:r>
            <w:r>
              <w:t xml:space="preserve">e</w:t>
            </w:r>
            <w:r>
              <w:t xml:space="preserve">@univ-smb.fr</w:t>
            </w:r>
            <w:r>
              <w:t xml:space="preserve"> </w:t>
            </w:r>
            <w:r/>
          </w:p>
          <w:p>
            <w:r>
              <w:rPr>
                <w:rStyle w:val="817"/>
              </w:rPr>
              <w:t xml:space="preserve">Secrétariat</w:t>
            </w:r>
            <w:r>
              <w:rPr>
                <w:rStyle w:val="817"/>
              </w:rPr>
              <w:t xml:space="preserve"> :</w:t>
            </w:r>
            <w:r>
              <w:t xml:space="preserve"> </w:t>
            </w:r>
            <w:r>
              <w:t xml:space="preserve">Virginie Thivillon</w:t>
            </w:r>
            <w:r>
              <w:t xml:space="preserve"> </w:t>
            </w:r>
            <w:r/>
          </w:p>
          <w:p>
            <w:r>
              <w:t xml:space="preserve">Tél. : 04 79 75 91 51 </w:t>
            </w:r>
            <w:r>
              <w:t xml:space="preserve"> </w:t>
            </w:r>
            <w:r/>
          </w:p>
        </w:tc>
      </w:tr>
    </w:tbl>
    <w:p>
      <w:r/>
      <w:r/>
    </w:p>
    <w:tbl>
      <w:tblPr>
        <w:tblStyle w:val="861"/>
        <w:tblW w:w="0" w:type="auto"/>
        <w:tblLook w:val="04A0" w:firstRow="1" w:lastRow="0" w:firstColumn="1" w:lastColumn="0" w:noHBand="0" w:noVBand="1"/>
      </w:tblPr>
      <w:tblGrid>
        <w:gridCol w:w="4594"/>
        <w:gridCol w:w="4609"/>
      </w:tblGrid>
      <w:tr>
        <w:trPr/>
        <w:tc>
          <w:tcPr>
            <w:tcW w:w="4676" w:type="dxa"/>
            <w:textDirection w:val="lrTb"/>
            <w:noWrap w:val="false"/>
          </w:tcPr>
          <w:p>
            <w:r>
              <w:t xml:space="preserve">UNIVERSITE SAVOIE</w:t>
            </w:r>
            <w:r>
              <w:t xml:space="preserve"> mont blanc</w:t>
            </w:r>
            <w:r/>
          </w:p>
        </w:tc>
        <w:tc>
          <w:tcPr>
            <w:tcW w:w="4677" w:type="dxa"/>
            <w:textDirection w:val="lrTb"/>
            <w:noWrap w:val="false"/>
          </w:tcPr>
          <w:p>
            <w:r/>
            <w:r/>
          </w:p>
        </w:tc>
      </w:tr>
      <w:tr>
        <w:trPr/>
        <w:tc>
          <w:tcPr>
            <w:tcW w:w="4676" w:type="dxa"/>
            <w:textDirection w:val="lrTb"/>
            <w:noWrap w:val="false"/>
          </w:tcPr>
          <w:p>
            <w:r>
              <w:t xml:space="preserve">Université Savoie Mont Blanc</w:t>
            </w:r>
            <w:r/>
          </w:p>
          <w:p>
            <w:r>
              <w:t xml:space="preserve">27 rue Marcoz</w:t>
            </w:r>
            <w:r/>
          </w:p>
          <w:p>
            <w:r>
              <w:t xml:space="preserve">73000 CHAMBERY</w:t>
            </w:r>
            <w:r/>
          </w:p>
        </w:tc>
        <w:tc>
          <w:tcPr>
            <w:tcW w:w="4677" w:type="dxa"/>
            <w:textDirection w:val="lrTb"/>
            <w:noWrap w:val="false"/>
          </w:tcPr>
          <w:p>
            <w:r>
              <w:t xml:space="preserve">Tél. : 04.79.75.84.65</w:t>
            </w:r>
            <w:r/>
          </w:p>
          <w:p>
            <w:r>
              <w:t xml:space="preserve">Fax : 04.79.75.84.07</w:t>
            </w:r>
            <w:r/>
          </w:p>
          <w:p>
            <w:r>
              <w:t xml:space="preserve">https://www.univ-smb.fr/</w:t>
            </w:r>
            <w:r/>
          </w:p>
        </w:tc>
      </w:tr>
    </w:tbl>
    <w:p>
      <w:r/>
      <w:r/>
    </w:p>
    <w:tbl>
      <w:tblPr>
        <w:tblStyle w:val="861"/>
        <w:tblW w:w="0" w:type="auto"/>
        <w:tblLook w:val="04A0" w:firstRow="1" w:lastRow="0" w:firstColumn="1" w:lastColumn="0" w:noHBand="0" w:noVBand="1"/>
      </w:tblPr>
      <w:tblGrid>
        <w:gridCol w:w="4581"/>
        <w:gridCol w:w="4622"/>
      </w:tblGrid>
      <w:tr>
        <w:trPr/>
        <w:tc>
          <w:tcPr>
            <w:tcW w:w="4676" w:type="dxa"/>
            <w:textDirection w:val="lrTb"/>
            <w:noWrap w:val="false"/>
          </w:tcPr>
          <w:p>
            <w:r>
              <w:t xml:space="preserve">Polytech ANNECY -CHAMBERY</w:t>
            </w:r>
            <w:r/>
          </w:p>
        </w:tc>
        <w:tc>
          <w:tcPr>
            <w:tcW w:w="4677" w:type="dxa"/>
            <w:textDirection w:val="lrTb"/>
            <w:noWrap w:val="false"/>
          </w:tcPr>
          <w:p>
            <w:r/>
            <w:r/>
          </w:p>
        </w:tc>
      </w:tr>
      <w:tr>
        <w:trPr/>
        <w:tc>
          <w:tcPr>
            <w:tcW w:w="4676" w:type="dxa"/>
            <w:textDirection w:val="lrTb"/>
            <w:noWrap w:val="false"/>
          </w:tcPr>
          <w:p>
            <w:r>
              <w:t xml:space="preserve">Polytech Annecy Chambéry</w:t>
            </w:r>
            <w:r/>
          </w:p>
          <w:p>
            <w:r>
              <w:t xml:space="preserve">Université Savoie Mont Blanc</w:t>
            </w:r>
            <w:r/>
          </w:p>
          <w:p>
            <w:r>
              <w:t xml:space="preserve">Domaine Universitaire du Bourget du Lac</w:t>
            </w:r>
            <w:r/>
          </w:p>
          <w:p>
            <w:r>
              <w:t xml:space="preserve">7</w:t>
            </w:r>
            <w:r>
              <w:t xml:space="preserve">3376 Le Bourget du Lac C</w:t>
            </w:r>
            <w:r>
              <w:t xml:space="preserve">edex</w:t>
            </w:r>
            <w:r/>
          </w:p>
        </w:tc>
        <w:tc>
          <w:tcPr>
            <w:tcW w:w="4677" w:type="dxa"/>
            <w:textDirection w:val="lrTb"/>
            <w:noWrap w:val="false"/>
          </w:tcPr>
          <w:p>
            <w:r>
              <w:t xml:space="preserve">Tél. : 04 </w:t>
            </w:r>
            <w:r>
              <w:t xml:space="preserve">79 75</w:t>
            </w:r>
            <w:r>
              <w:t xml:space="preserve"> </w:t>
            </w:r>
            <w:r>
              <w:t xml:space="preserve">94</w:t>
            </w:r>
            <w:r>
              <w:t xml:space="preserve"> 00</w:t>
            </w:r>
            <w:r/>
          </w:p>
          <w:p>
            <w:r>
              <w:t xml:space="preserve">http://www.polytech.univ-smb.fr/</w:t>
            </w:r>
            <w:r/>
          </w:p>
        </w:tc>
      </w:tr>
    </w:tbl>
    <w:p>
      <w:r/>
      <w:r/>
    </w:p>
    <w:tbl>
      <w:tblPr>
        <w:tblStyle w:val="861"/>
        <w:tblW w:w="0" w:type="auto"/>
        <w:tblLook w:val="04A0" w:firstRow="1" w:lastRow="0" w:firstColumn="1" w:lastColumn="0" w:noHBand="0" w:noVBand="1"/>
      </w:tblPr>
      <w:tblGrid>
        <w:gridCol w:w="4594"/>
        <w:gridCol w:w="4609"/>
      </w:tblGrid>
      <w:tr>
        <w:trPr/>
        <w:tc>
          <w:tcPr>
            <w:tcW w:w="4676" w:type="dxa"/>
            <w:textDirection w:val="lrTb"/>
            <w:noWrap w:val="false"/>
          </w:tcPr>
          <w:p>
            <w:r>
              <w:t xml:space="preserve">LOCIE - </w:t>
            </w:r>
            <w:r/>
          </w:p>
        </w:tc>
        <w:tc>
          <w:tcPr>
            <w:tcW w:w="4677" w:type="dxa"/>
            <w:textDirection w:val="lrTb"/>
            <w:noWrap w:val="false"/>
          </w:tcPr>
          <w:p>
            <w:r/>
            <w:r/>
          </w:p>
        </w:tc>
      </w:tr>
      <w:tr>
        <w:trPr/>
        <w:tc>
          <w:tcPr>
            <w:tcW w:w="4676" w:type="dxa"/>
            <w:textDirection w:val="lrTb"/>
            <w:noWrap w:val="false"/>
          </w:tcPr>
          <w:p>
            <w:pPr>
              <w:rPr>
                <w:u w:val="single"/>
              </w:rPr>
            </w:pPr>
            <w:r>
              <w:rPr>
                <w:u w:val="single"/>
              </w:rPr>
              <w:t xml:space="preserve">Adresse postale :</w:t>
            </w:r>
            <w:r/>
          </w:p>
          <w:p>
            <w:r>
              <w:t xml:space="preserve">LOCIE - Bâtiment Hélios</w:t>
            </w:r>
            <w:r/>
          </w:p>
          <w:p>
            <w:r>
              <w:t xml:space="preserve">Université Savoie Mont Blanc</w:t>
            </w:r>
            <w:r/>
          </w:p>
          <w:p>
            <w:r>
              <w:t xml:space="preserve">Campus Scientifique du Bourget du Lac</w:t>
            </w:r>
            <w:r/>
          </w:p>
          <w:p>
            <w:r>
              <w:t xml:space="preserve">7</w:t>
            </w:r>
            <w:r>
              <w:t xml:space="preserve">3376 Le Bourget du Lac C</w:t>
            </w:r>
            <w:r>
              <w:t xml:space="preserve">edex</w:t>
            </w:r>
            <w:r/>
          </w:p>
          <w:p>
            <w:r/>
            <w:r/>
          </w:p>
          <w:p>
            <w:pPr>
              <w:rPr>
                <w:u w:val="single"/>
              </w:rPr>
            </w:pPr>
            <w:r>
              <w:rPr>
                <w:u w:val="single"/>
              </w:rPr>
              <w:t xml:space="preserve">Adresse physique :</w:t>
            </w:r>
            <w:r/>
          </w:p>
          <w:p>
            <w:r>
              <w:t xml:space="preserve">60, avenue du Lac Léman</w:t>
            </w:r>
            <w:r/>
          </w:p>
          <w:p>
            <w:r>
              <w:t xml:space="preserve">73370 Le Bourget du Lac</w:t>
            </w:r>
            <w:r/>
          </w:p>
          <w:p>
            <w:r/>
            <w:r/>
          </w:p>
        </w:tc>
        <w:tc>
          <w:tcPr>
            <w:tcW w:w="4677" w:type="dxa"/>
            <w:textDirection w:val="lrTb"/>
            <w:noWrap w:val="false"/>
          </w:tcPr>
          <w:p>
            <w:r>
              <w:t xml:space="preserve">Tél. : 04 </w:t>
            </w:r>
            <w:r>
              <w:t xml:space="preserve">79 75</w:t>
            </w:r>
            <w:r>
              <w:t xml:space="preserve"> </w:t>
            </w:r>
            <w:r>
              <w:t xml:space="preserve">88 21</w:t>
            </w:r>
            <w:r/>
          </w:p>
          <w:p>
            <w:r>
              <w:t xml:space="preserve">https://www.univ-smb.fr/locie/ </w:t>
            </w:r>
            <w:r/>
          </w:p>
        </w:tc>
      </w:tr>
    </w:tbl>
    <w:p>
      <w:r/>
      <w:r/>
    </w:p>
    <w:tbl>
      <w:tblPr>
        <w:tblStyle w:val="861"/>
        <w:tblW w:w="0" w:type="auto"/>
        <w:tblLook w:val="04A0" w:firstRow="1" w:lastRow="0" w:firstColumn="1" w:lastColumn="0" w:noHBand="0" w:noVBand="1"/>
      </w:tblPr>
      <w:tblGrid>
        <w:gridCol w:w="4586"/>
        <w:gridCol w:w="4617"/>
      </w:tblGrid>
      <w:tr>
        <w:trPr/>
        <w:tc>
          <w:tcPr>
            <w:tcW w:w="4676" w:type="dxa"/>
            <w:textDirection w:val="lrTb"/>
            <w:noWrap w:val="false"/>
          </w:tcPr>
          <w:p>
            <w:r>
              <w:t xml:space="preserve">CLOUS de CHAMBERY</w:t>
            </w:r>
            <w:r/>
          </w:p>
        </w:tc>
        <w:tc>
          <w:tcPr>
            <w:tcW w:w="4677" w:type="dxa"/>
            <w:textDirection w:val="lrTb"/>
            <w:noWrap w:val="false"/>
          </w:tcPr>
          <w:p>
            <w:r/>
            <w:r/>
          </w:p>
        </w:tc>
      </w:tr>
      <w:tr>
        <w:trPr/>
        <w:tc>
          <w:tcPr>
            <w:tcW w:w="4676" w:type="dxa"/>
            <w:textDirection w:val="lrTb"/>
            <w:noWrap w:val="false"/>
          </w:tcPr>
          <w:p>
            <w:r>
              <w:t xml:space="preserve">CLOUS de Chambéry</w:t>
            </w:r>
            <w:r/>
          </w:p>
          <w:p>
            <w:r>
              <w:t xml:space="preserve">17 rue du Chaney</w:t>
            </w:r>
            <w:r/>
          </w:p>
          <w:p>
            <w:r>
              <w:t xml:space="preserve">73000 JACOB-BELLECOMBETTE</w:t>
            </w:r>
            <w:r/>
          </w:p>
        </w:tc>
        <w:tc>
          <w:tcPr>
            <w:tcW w:w="4677" w:type="dxa"/>
            <w:textDirection w:val="lrTb"/>
            <w:noWrap w:val="false"/>
          </w:tcPr>
          <w:p>
            <w:r>
              <w:t xml:space="preserve">Tél. secrétariat résidence : 04 79 69 57 45</w:t>
            </w:r>
            <w:r/>
          </w:p>
          <w:p>
            <w:r>
              <w:t xml:space="preserve">Tél. secrétariat restaurant : 04 79 69 55 62</w:t>
            </w:r>
            <w:r/>
          </w:p>
          <w:p>
            <w:r>
              <w:t xml:space="preserve">Mail : residence.lebourget@crous-grenoble.fr</w:t>
            </w:r>
            <w:r/>
          </w:p>
        </w:tc>
      </w:tr>
      <w:tr>
        <w:trPr/>
        <w:tc>
          <w:tcPr>
            <w:tcW w:w="4676" w:type="dxa"/>
            <w:textDirection w:val="lrTb"/>
            <w:noWrap w:val="false"/>
          </w:tcPr>
          <w:p>
            <w:r>
              <w:t xml:space="preserve">CLOUS Antenne Bourget-du-Lac</w:t>
            </w:r>
            <w:r/>
          </w:p>
          <w:p>
            <w:r>
              <w:t xml:space="preserve">Route de Chambéry</w:t>
            </w:r>
            <w:r/>
          </w:p>
          <w:p>
            <w:r>
              <w:t xml:space="preserve">73370 LE BOURGET DU LAC</w:t>
            </w:r>
            <w:r/>
          </w:p>
        </w:tc>
        <w:tc>
          <w:tcPr>
            <w:tcW w:w="4677" w:type="dxa"/>
            <w:textDirection w:val="lrTb"/>
            <w:noWrap w:val="false"/>
          </w:tcPr>
          <w:p>
            <w:r>
              <w:t xml:space="preserve">Tél. secrétariat résidence : 04 79 25 23 83</w:t>
            </w:r>
            <w:r/>
          </w:p>
          <w:p>
            <w:r>
              <w:t xml:space="preserve">Tél. secrétariat restaurant : 04 79 25 33 94</w:t>
            </w:r>
            <w:r/>
          </w:p>
        </w:tc>
      </w:tr>
    </w:tbl>
    <w:p>
      <w:r/>
      <w:r/>
    </w:p>
    <w:tbl>
      <w:tblPr>
        <w:tblStyle w:val="861"/>
        <w:tblW w:w="0" w:type="auto"/>
        <w:tblLook w:val="04A0" w:firstRow="1" w:lastRow="0" w:firstColumn="1" w:lastColumn="0" w:noHBand="0" w:noVBand="1"/>
      </w:tblPr>
      <w:tblGrid>
        <w:gridCol w:w="4592"/>
        <w:gridCol w:w="4611"/>
      </w:tblGrid>
      <w:tr>
        <w:trPr/>
        <w:tc>
          <w:tcPr>
            <w:tcW w:w="4676" w:type="dxa"/>
            <w:textDirection w:val="lrTb"/>
            <w:noWrap w:val="false"/>
          </w:tcPr>
          <w:p>
            <w:r>
              <w:t xml:space="preserve">CROUS DE GRENOBLE</w:t>
            </w:r>
            <w:r/>
          </w:p>
        </w:tc>
        <w:tc>
          <w:tcPr>
            <w:tcW w:w="4677" w:type="dxa"/>
            <w:textDirection w:val="lrTb"/>
            <w:noWrap w:val="false"/>
          </w:tcPr>
          <w:p>
            <w:r/>
            <w:r/>
          </w:p>
        </w:tc>
      </w:tr>
      <w:tr>
        <w:trPr/>
        <w:tc>
          <w:tcPr>
            <w:tcW w:w="4676" w:type="dxa"/>
            <w:textDirection w:val="lrTb"/>
            <w:noWrap w:val="false"/>
          </w:tcPr>
          <w:p>
            <w:r>
              <w:t xml:space="preserve">CROUS de Grenoble</w:t>
            </w:r>
            <w:r/>
          </w:p>
          <w:p>
            <w:r>
              <w:t xml:space="preserve">5 Rue d'Arsonval – BP 187</w:t>
            </w:r>
            <w:r/>
          </w:p>
          <w:p>
            <w:r>
              <w:t xml:space="preserve">38017 </w:t>
            </w:r>
            <w:r>
              <w:t xml:space="preserve">G</w:t>
            </w:r>
            <w:r>
              <w:t xml:space="preserve">renoble cedex</w:t>
            </w:r>
            <w:r/>
          </w:p>
        </w:tc>
        <w:tc>
          <w:tcPr>
            <w:tcW w:w="4677" w:type="dxa"/>
            <w:textDirection w:val="lrTb"/>
            <w:noWrap w:val="false"/>
          </w:tcPr>
          <w:p>
            <w:r>
              <w:t xml:space="preserve">Tél. : 04 76 57 44 00</w:t>
            </w:r>
            <w:r/>
          </w:p>
          <w:p>
            <w:r>
              <w:t xml:space="preserve">Site : </w:t>
            </w:r>
            <w:r>
              <w:t xml:space="preserve">http://www.crous-grenoble.fr/</w:t>
            </w:r>
            <w:r/>
          </w:p>
        </w:tc>
      </w:tr>
    </w:tbl>
    <w:p>
      <w:r/>
      <w:r/>
    </w:p>
    <w:tbl>
      <w:tblPr>
        <w:tblStyle w:val="861"/>
        <w:tblW w:w="0" w:type="auto"/>
        <w:tblLook w:val="04A0" w:firstRow="1" w:lastRow="0" w:firstColumn="1" w:lastColumn="0" w:noHBand="0" w:noVBand="1"/>
      </w:tblPr>
      <w:tblGrid>
        <w:gridCol w:w="4610"/>
        <w:gridCol w:w="4593"/>
      </w:tblGrid>
      <w:tr>
        <w:trPr/>
        <w:tc>
          <w:tcPr>
            <w:tcW w:w="4676" w:type="dxa"/>
            <w:textDirection w:val="lrTb"/>
            <w:noWrap w:val="false"/>
          </w:tcPr>
          <w:p>
            <w:r>
              <w:t xml:space="preserve">Maison de l'Etudiant</w:t>
            </w:r>
            <w:r/>
          </w:p>
        </w:tc>
        <w:tc>
          <w:tcPr>
            <w:tcW w:w="4677" w:type="dxa"/>
            <w:textDirection w:val="lrTb"/>
            <w:noWrap w:val="false"/>
          </w:tcPr>
          <w:p>
            <w:r/>
            <w:r/>
          </w:p>
        </w:tc>
      </w:tr>
      <w:tr>
        <w:trPr/>
        <w:tc>
          <w:tcPr>
            <w:tcW w:w="4676" w:type="dxa"/>
            <w:textDirection w:val="lrTb"/>
            <w:noWrap w:val="false"/>
          </w:tcPr>
          <w:p>
            <w:r>
              <w:t xml:space="preserve">Maison de l'Etudiant</w:t>
            </w:r>
            <w:r/>
          </w:p>
          <w:p>
            <w:r>
              <w:t xml:space="preserve">378 Rue de la République</w:t>
            </w:r>
            <w:r/>
          </w:p>
          <w:p>
            <w:r>
              <w:t xml:space="preserve">73000 CHAMBERY</w:t>
            </w:r>
            <w:r/>
          </w:p>
        </w:tc>
        <w:tc>
          <w:tcPr>
            <w:tcW w:w="4677" w:type="dxa"/>
            <w:textDirection w:val="lrTb"/>
            <w:noWrap w:val="false"/>
          </w:tcPr>
          <w:p>
            <w:r>
              <w:t xml:space="preserve">Tél. : 04 79 75 38 38</w:t>
            </w:r>
            <w:r/>
          </w:p>
        </w:tc>
      </w:tr>
    </w:tbl>
    <w:p>
      <w:r/>
      <w:r/>
    </w:p>
    <w:tbl>
      <w:tblPr>
        <w:tblStyle w:val="861"/>
        <w:tblW w:w="0" w:type="auto"/>
        <w:tblLook w:val="04A0" w:firstRow="1" w:lastRow="0" w:firstColumn="1" w:lastColumn="0" w:noHBand="0" w:noVBand="1"/>
      </w:tblPr>
      <w:tblGrid>
        <w:gridCol w:w="4585"/>
        <w:gridCol w:w="4618"/>
      </w:tblGrid>
      <w:tr>
        <w:trPr/>
        <w:tc>
          <w:tcPr>
            <w:tcW w:w="4676" w:type="dxa"/>
            <w:textDirection w:val="lrTb"/>
            <w:noWrap w:val="false"/>
          </w:tcPr>
          <w:p>
            <w:r>
              <w:t xml:space="preserve">CaF</w:t>
            </w:r>
            <w:r/>
          </w:p>
        </w:tc>
        <w:tc>
          <w:tcPr>
            <w:tcW w:w="4677" w:type="dxa"/>
            <w:textDirection w:val="lrTb"/>
            <w:noWrap w:val="false"/>
          </w:tcPr>
          <w:p>
            <w:r/>
            <w:r/>
          </w:p>
        </w:tc>
      </w:tr>
      <w:tr>
        <w:trPr/>
        <w:tc>
          <w:tcPr>
            <w:tcW w:w="4676" w:type="dxa"/>
            <w:textDirection w:val="lrTb"/>
            <w:noWrap w:val="false"/>
          </w:tcPr>
          <w:p>
            <w:r>
              <w:t xml:space="preserve">Caisse d'Allocations Familiales</w:t>
            </w:r>
            <w:r/>
          </w:p>
          <w:p>
            <w:r>
              <w:t xml:space="preserve">20, Avenue Jean Jaurès</w:t>
            </w:r>
            <w:r/>
          </w:p>
          <w:p>
            <w:r>
              <w:t xml:space="preserve">73022 Chambéry cedex</w:t>
            </w:r>
            <w:r/>
          </w:p>
        </w:tc>
        <w:tc>
          <w:tcPr>
            <w:tcW w:w="4677" w:type="dxa"/>
            <w:textDirection w:val="lrTb"/>
            <w:noWrap w:val="false"/>
          </w:tcPr>
          <w:p>
            <w:r>
              <w:t xml:space="preserve">Tél.  : 0820 257 310</w:t>
            </w:r>
            <w:r/>
          </w:p>
          <w:p>
            <w:r>
              <w:t xml:space="preserve">http://www.savoie.caf.fr</w:t>
            </w:r>
            <w:r/>
          </w:p>
        </w:tc>
      </w:tr>
    </w:tbl>
    <w:p>
      <w:r/>
      <w:r/>
    </w:p>
    <w:tbl>
      <w:tblPr>
        <w:tblStyle w:val="861"/>
        <w:tblW w:w="0" w:type="auto"/>
        <w:tblLook w:val="04A0" w:firstRow="1" w:lastRow="0" w:firstColumn="1" w:lastColumn="0" w:noHBand="0" w:noVBand="1"/>
      </w:tblPr>
      <w:tblGrid>
        <w:gridCol w:w="4590"/>
        <w:gridCol w:w="4613"/>
      </w:tblGrid>
      <w:tr>
        <w:trPr/>
        <w:tc>
          <w:tcPr>
            <w:tcW w:w="4676" w:type="dxa"/>
            <w:textDirection w:val="lrTb"/>
            <w:noWrap w:val="false"/>
          </w:tcPr>
          <w:p>
            <w:r>
              <w:t xml:space="preserve">MGEN SAVOIE</w:t>
            </w:r>
            <w:r/>
          </w:p>
        </w:tc>
        <w:tc>
          <w:tcPr>
            <w:tcW w:w="4677" w:type="dxa"/>
            <w:textDirection w:val="lrTb"/>
            <w:noWrap w:val="false"/>
          </w:tcPr>
          <w:p>
            <w:r/>
            <w:r/>
          </w:p>
        </w:tc>
      </w:tr>
      <w:tr>
        <w:trPr/>
        <w:tc>
          <w:tcPr>
            <w:tcW w:w="4676" w:type="dxa"/>
            <w:textDirection w:val="lrTb"/>
            <w:noWrap w:val="false"/>
          </w:tcPr>
          <w:p>
            <w:r>
              <w:t xml:space="preserve">SECTION MGEN DE LA SAVOIE</w:t>
            </w:r>
            <w:r/>
          </w:p>
          <w:p>
            <w:r>
              <w:t xml:space="preserve">116 Rue du Grand Ariétaz Bissy</w:t>
            </w:r>
            <w:r/>
          </w:p>
          <w:p>
            <w:r>
              <w:t xml:space="preserve">73079 CHAMBERY CEDEX 9</w:t>
            </w:r>
            <w:r/>
          </w:p>
        </w:tc>
        <w:tc>
          <w:tcPr>
            <w:tcW w:w="4677" w:type="dxa"/>
            <w:textDirection w:val="lrTb"/>
            <w:noWrap w:val="false"/>
          </w:tcPr>
          <w:p>
            <w:r>
              <w:t xml:space="preserve">Tél. : 0 821 209 073</w:t>
            </w:r>
            <w:r/>
          </w:p>
          <w:p>
            <w:r>
              <w:t xml:space="preserve">Fax :  04 79 62 19 39</w:t>
            </w:r>
            <w:r/>
          </w:p>
          <w:p>
            <w:r>
              <w:t xml:space="preserve">http://www.mgen.fr</w:t>
            </w:r>
            <w:r/>
          </w:p>
        </w:tc>
      </w:tr>
    </w:tbl>
    <w:p>
      <w:r/>
      <w:r/>
    </w:p>
    <w:tbl>
      <w:tblPr>
        <w:tblStyle w:val="861"/>
        <w:tblW w:w="0" w:type="auto"/>
        <w:tblLook w:val="04A0" w:firstRow="1" w:lastRow="0" w:firstColumn="1" w:lastColumn="0" w:noHBand="0" w:noVBand="1"/>
      </w:tblPr>
      <w:tblGrid>
        <w:gridCol w:w="4588"/>
        <w:gridCol w:w="4615"/>
      </w:tblGrid>
      <w:tr>
        <w:trPr/>
        <w:tc>
          <w:tcPr>
            <w:tcW w:w="4676" w:type="dxa"/>
            <w:textDirection w:val="lrTb"/>
            <w:noWrap w:val="false"/>
          </w:tcPr>
          <w:p>
            <w:r>
              <w:t xml:space="preserve">SMERRA</w:t>
            </w:r>
            <w:r/>
          </w:p>
        </w:tc>
        <w:tc>
          <w:tcPr>
            <w:tcW w:w="4677" w:type="dxa"/>
            <w:textDirection w:val="lrTb"/>
            <w:noWrap w:val="false"/>
          </w:tcPr>
          <w:p>
            <w:r/>
            <w:r/>
          </w:p>
        </w:tc>
      </w:tr>
      <w:tr>
        <w:trPr/>
        <w:tc>
          <w:tcPr>
            <w:tcW w:w="4676" w:type="dxa"/>
            <w:textDirection w:val="lrTb"/>
            <w:noWrap w:val="false"/>
          </w:tcPr>
          <w:p>
            <w:r>
              <w:t xml:space="preserve">Agence smerra chambery</w:t>
            </w:r>
            <w:r/>
          </w:p>
          <w:p>
            <w:r>
              <w:t xml:space="preserve">123, rue Michaud</w:t>
            </w:r>
            <w:r/>
          </w:p>
          <w:p>
            <w:r>
              <w:t xml:space="preserve">73000 CHAMBERY</w:t>
            </w:r>
            <w:r/>
          </w:p>
        </w:tc>
        <w:tc>
          <w:tcPr>
            <w:tcW w:w="4677" w:type="dxa"/>
            <w:textDirection w:val="lrTb"/>
            <w:noWrap w:val="false"/>
          </w:tcPr>
          <w:p>
            <w:r>
              <w:t xml:space="preserve">Tél. : 0 810 052 000</w:t>
            </w:r>
            <w:r/>
          </w:p>
          <w:p>
            <w:r>
              <w:t xml:space="preserve">E-mail : SMERRA@uitsem.com</w:t>
            </w:r>
            <w:r/>
          </w:p>
          <w:p>
            <w:r>
              <w:t xml:space="preserve">http://www.smerra.fr</w:t>
            </w:r>
            <w:r/>
          </w:p>
        </w:tc>
      </w:tr>
    </w:tbl>
    <w:p>
      <w:r/>
      <w:r/>
    </w:p>
    <w:tbl>
      <w:tblPr>
        <w:tblStyle w:val="861"/>
        <w:tblW w:w="0" w:type="auto"/>
        <w:tblLook w:val="04A0" w:firstRow="1" w:lastRow="0" w:firstColumn="1" w:lastColumn="0" w:noHBand="0" w:noVBand="1"/>
      </w:tblPr>
      <w:tblGrid>
        <w:gridCol w:w="4587"/>
        <w:gridCol w:w="4616"/>
      </w:tblGrid>
      <w:tr>
        <w:trPr/>
        <w:tc>
          <w:tcPr>
            <w:tcW w:w="4676" w:type="dxa"/>
            <w:textDirection w:val="lrTb"/>
            <w:noWrap w:val="false"/>
          </w:tcPr>
          <w:p>
            <w:r>
              <w:t xml:space="preserve">LMDE</w:t>
            </w:r>
            <w:r/>
          </w:p>
        </w:tc>
        <w:tc>
          <w:tcPr>
            <w:tcW w:w="4677" w:type="dxa"/>
            <w:textDirection w:val="lrTb"/>
            <w:noWrap w:val="false"/>
          </w:tcPr>
          <w:p>
            <w:r/>
            <w:r/>
          </w:p>
        </w:tc>
      </w:tr>
      <w:tr>
        <w:trPr/>
        <w:tc>
          <w:tcPr>
            <w:tcW w:w="4676" w:type="dxa"/>
            <w:textDirection w:val="lrTb"/>
            <w:noWrap w:val="false"/>
          </w:tcPr>
          <w:p>
            <w:r>
              <w:t xml:space="preserve">Agence LMDE de Chambéry</w:t>
            </w:r>
            <w:r/>
          </w:p>
          <w:p>
            <w:r>
              <w:t xml:space="preserve">68 rue des Fréziers</w:t>
            </w:r>
            <w:r/>
          </w:p>
          <w:p>
            <w:r>
              <w:t xml:space="preserve">73 000 CHAMBERY</w:t>
            </w:r>
            <w:r/>
          </w:p>
        </w:tc>
        <w:tc>
          <w:tcPr>
            <w:tcW w:w="4677" w:type="dxa"/>
            <w:textDirection w:val="lrTb"/>
            <w:noWrap w:val="false"/>
          </w:tcPr>
          <w:p>
            <w:r>
              <w:t xml:space="preserve">32 60 dites "LMDE"</w:t>
            </w:r>
            <w:r/>
          </w:p>
          <w:p>
            <w:r>
              <w:t xml:space="preserve">http://www.lmde.com</w:t>
            </w:r>
            <w:r/>
          </w:p>
        </w:tc>
      </w:tr>
    </w:tbl>
    <w:p>
      <w:r/>
      <w:r/>
    </w:p>
    <w:tbl>
      <w:tblPr>
        <w:tblStyle w:val="861"/>
        <w:tblW w:w="0" w:type="auto"/>
        <w:tblLook w:val="04A0" w:firstRow="1" w:lastRow="0" w:firstColumn="1" w:lastColumn="0" w:noHBand="0" w:noVBand="1"/>
      </w:tblPr>
      <w:tblGrid>
        <w:gridCol w:w="4586"/>
        <w:gridCol w:w="4617"/>
      </w:tblGrid>
      <w:tr>
        <w:trPr/>
        <w:tc>
          <w:tcPr>
            <w:tcW w:w="4676" w:type="dxa"/>
            <w:textDirection w:val="lrTb"/>
            <w:noWrap w:val="false"/>
          </w:tcPr>
          <w:p>
            <w:r>
              <w:t xml:space="preserve">Office du tourisme de chambery</w:t>
            </w:r>
            <w:r/>
          </w:p>
        </w:tc>
        <w:tc>
          <w:tcPr>
            <w:tcW w:w="4677" w:type="dxa"/>
            <w:textDirection w:val="lrTb"/>
            <w:noWrap w:val="false"/>
          </w:tcPr>
          <w:p>
            <w:r/>
            <w:r/>
          </w:p>
        </w:tc>
      </w:tr>
      <w:tr>
        <w:trPr/>
        <w:tc>
          <w:tcPr>
            <w:tcW w:w="4676" w:type="dxa"/>
            <w:textDirection w:val="lrTb"/>
            <w:noWrap w:val="false"/>
          </w:tcPr>
          <w:p>
            <w:r>
              <w:t xml:space="preserve">Office de tourisme</w:t>
            </w:r>
            <w:r/>
          </w:p>
          <w:p>
            <w:r>
              <w:t xml:space="preserve">Boulevard de la Colonne</w:t>
            </w:r>
            <w:r/>
          </w:p>
          <w:p>
            <w:r>
              <w:t xml:space="preserve">73000 CHAMBERY</w:t>
            </w:r>
            <w:r/>
          </w:p>
        </w:tc>
        <w:tc>
          <w:tcPr>
            <w:tcW w:w="4677" w:type="dxa"/>
            <w:textDirection w:val="lrTb"/>
            <w:noWrap w:val="false"/>
          </w:tcPr>
          <w:p>
            <w:r>
              <w:t xml:space="preserve">Tél.  : 04 79 33 81 61</w:t>
            </w:r>
            <w:r/>
          </w:p>
          <w:p>
            <w:r>
              <w:t xml:space="preserve">Fax : 04 79 85 71 39</w:t>
            </w:r>
            <w:r/>
          </w:p>
          <w:p>
            <w:r>
              <w:t xml:space="preserve">http://www.chambery-tourisme.com</w:t>
            </w:r>
            <w:r/>
          </w:p>
        </w:tc>
      </w:tr>
    </w:tbl>
    <w:p>
      <w:r/>
      <w:r/>
    </w:p>
    <w:tbl>
      <w:tblPr>
        <w:tblStyle w:val="861"/>
        <w:tblW w:w="0" w:type="auto"/>
        <w:tblLook w:val="04A0" w:firstRow="1" w:lastRow="0" w:firstColumn="1" w:lastColumn="0" w:noHBand="0" w:noVBand="1"/>
      </w:tblPr>
      <w:tblGrid>
        <w:gridCol w:w="4577"/>
        <w:gridCol w:w="4626"/>
      </w:tblGrid>
      <w:tr>
        <w:trPr/>
        <w:tc>
          <w:tcPr>
            <w:tcW w:w="4676" w:type="dxa"/>
            <w:textDirection w:val="lrTb"/>
            <w:noWrap w:val="false"/>
          </w:tcPr>
          <w:p>
            <w:r>
              <w:t xml:space="preserve">Office du tourisme d'Aix-les-bains</w:t>
            </w:r>
            <w:r/>
          </w:p>
        </w:tc>
        <w:tc>
          <w:tcPr>
            <w:tcW w:w="4677" w:type="dxa"/>
            <w:textDirection w:val="lrTb"/>
            <w:noWrap w:val="false"/>
          </w:tcPr>
          <w:p>
            <w:r/>
            <w:r/>
          </w:p>
        </w:tc>
      </w:tr>
      <w:tr>
        <w:trPr/>
        <w:tc>
          <w:tcPr>
            <w:tcW w:w="4676" w:type="dxa"/>
            <w:textDirection w:val="lrTb"/>
            <w:noWrap w:val="false"/>
          </w:tcPr>
          <w:p>
            <w:r>
              <w:t xml:space="preserve">Office du Tourisme d'Aix les Bains</w:t>
            </w:r>
            <w:r/>
          </w:p>
          <w:p>
            <w:r>
              <w:t xml:space="preserve">Place Maurice Mollard BP 132</w:t>
            </w:r>
            <w:r/>
          </w:p>
          <w:p>
            <w:r>
              <w:t xml:space="preserve">73100 AIX LES BAINS</w:t>
            </w:r>
            <w:r/>
          </w:p>
        </w:tc>
        <w:tc>
          <w:tcPr>
            <w:tcW w:w="4677" w:type="dxa"/>
            <w:textDirection w:val="lrTb"/>
            <w:noWrap w:val="false"/>
          </w:tcPr>
          <w:p>
            <w:r>
              <w:t xml:space="preserve">Tél.  : 04 79 88 68 00</w:t>
            </w:r>
            <w:r/>
          </w:p>
          <w:p>
            <w:r>
              <w:t xml:space="preserve">Fax  : 04 79 88 68 01</w:t>
            </w:r>
            <w:r/>
          </w:p>
          <w:p>
            <w:r>
              <w:t xml:space="preserve">http://www.aixlesbains.com</w:t>
            </w:r>
            <w:r/>
          </w:p>
        </w:tc>
      </w:tr>
    </w:tbl>
    <w:p>
      <w:r/>
      <w:r/>
    </w:p>
    <w:tbl>
      <w:tblPr>
        <w:tblStyle w:val="861"/>
        <w:tblW w:w="0" w:type="auto"/>
        <w:tblLook w:val="04A0" w:firstRow="1" w:lastRow="0" w:firstColumn="1" w:lastColumn="0" w:noHBand="0" w:noVBand="1"/>
      </w:tblPr>
      <w:tblGrid>
        <w:gridCol w:w="4580"/>
        <w:gridCol w:w="4623"/>
      </w:tblGrid>
      <w:tr>
        <w:trPr/>
        <w:tc>
          <w:tcPr>
            <w:tcW w:w="4676" w:type="dxa"/>
            <w:textDirection w:val="lrTb"/>
            <w:noWrap w:val="false"/>
          </w:tcPr>
          <w:p>
            <w:r>
              <w:t xml:space="preserve">Préfecture de Savoie</w:t>
            </w:r>
            <w:r/>
          </w:p>
        </w:tc>
        <w:tc>
          <w:tcPr>
            <w:tcW w:w="4677" w:type="dxa"/>
            <w:textDirection w:val="lrTb"/>
            <w:noWrap w:val="false"/>
          </w:tcPr>
          <w:p>
            <w:r/>
            <w:r/>
          </w:p>
        </w:tc>
      </w:tr>
      <w:tr>
        <w:trPr/>
        <w:tc>
          <w:tcPr>
            <w:tcW w:w="4676" w:type="dxa"/>
            <w:textDirection w:val="lrTb"/>
            <w:noWrap w:val="false"/>
          </w:tcPr>
          <w:p>
            <w:r>
              <w:t xml:space="preserve">Préfecture de la Savoie</w:t>
            </w:r>
            <w:r/>
          </w:p>
          <w:p>
            <w:r>
              <w:t xml:space="preserve">Château des Ducs de Savoie BP 1801</w:t>
            </w:r>
            <w:r/>
          </w:p>
          <w:p>
            <w:r>
              <w:t xml:space="preserve">73018 CHAMBERY CEDEX</w:t>
            </w:r>
            <w:r/>
          </w:p>
        </w:tc>
        <w:tc>
          <w:tcPr>
            <w:tcW w:w="4677" w:type="dxa"/>
            <w:textDirection w:val="lrTb"/>
            <w:noWrap w:val="false"/>
          </w:tcPr>
          <w:p>
            <w:r>
              <w:t xml:space="preserve">Tél. : 04 79 75 50 00</w:t>
            </w:r>
            <w:r/>
          </w:p>
          <w:p>
            <w:r>
              <w:t xml:space="preserve">E-mail : courrier@savoie.pref.gouv.fr </w:t>
            </w:r>
            <w:r/>
          </w:p>
          <w:p>
            <w:r>
              <w:t xml:space="preserve">http:// </w:t>
            </w:r>
            <w:hyperlink r:id="rId64" w:tooltip="http://www.savoie.pref.gouv.fr" w:history="1">
              <w:r>
                <w:rPr>
                  <w:rStyle w:val="812"/>
                </w:rPr>
                <w:t xml:space="preserve">www.savoie.pref.gouv.fr</w:t>
              </w:r>
            </w:hyperlink>
            <w:r/>
            <w:r/>
          </w:p>
        </w:tc>
      </w:tr>
    </w:tbl>
    <w:p>
      <w:pPr>
        <w:sectPr>
          <w:headerReference w:type="first" r:id="rId9"/>
          <w:footerReference w:type="default" r:id="rId10"/>
          <w:footerReference w:type="first" r:id="rId11"/>
          <w:footnotePr>
            <w:numRestart w:val="eachSect"/>
          </w:footnotePr>
          <w:endnotePr/>
          <w:type w:val="continuous"/>
          <w:pgSz w:w="11906" w:h="16838" w:orient="portrait"/>
          <w:pgMar w:top="1134" w:right="1134" w:bottom="1135" w:left="1559" w:header="709" w:footer="493" w:gutter="0"/>
          <w:pgNumType w:start="1"/>
          <w:cols w:num="1" w:sep="0" w:space="708" w:equalWidth="1"/>
          <w:docGrid w:linePitch="360"/>
          <w:titlePg/>
        </w:sectPr>
      </w:pPr>
      <w:r/>
      <w:bookmarkStart w:id="150" w:name="_Toc367812194"/>
      <w:r/>
      <w:r/>
    </w:p>
    <w:p>
      <w:pPr>
        <w:jc w:val="left"/>
      </w:pPr>
      <w:r>
        <w:br w:type="page"/>
      </w:r>
      <w:r/>
    </w:p>
    <w:p>
      <w:r>
        <w:t xml:space="preserve">Fiche d’accueil nouveau doctorant</w:t>
      </w:r>
      <w:bookmarkEnd w:id="150"/>
      <w:r/>
      <w:r/>
    </w:p>
    <w:p>
      <w:r>
        <w:t xml:space="preserve">Vous trouverez ci-</w:t>
      </w:r>
      <w:r>
        <w:t xml:space="preserve">après</w:t>
      </w:r>
      <w:r>
        <w:t xml:space="preserve"> une fiche qu’il convient de détacher et faire signer à l’ensemble des personnes mentionnées. </w:t>
      </w:r>
      <w:r/>
    </w:p>
    <w:p>
      <w:r>
        <w:t xml:space="preserve">Cela vous permettra de réaliser un tour du laboratoire et de rencontrer les personnes référentes.</w:t>
      </w:r>
      <w:r/>
    </w:p>
    <w:p>
      <w:r/>
      <w:bookmarkStart w:id="151" w:name="_Toc367812195"/>
      <w:r>
        <w:t xml:space="preserve">Présentation</w:t>
      </w:r>
      <w:bookmarkEnd w:id="151"/>
      <w:r/>
      <w:r/>
    </w:p>
    <w:tbl>
      <w:tblPr>
        <w:tblW w:w="0" w:type="auto"/>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4585"/>
        <w:gridCol w:w="4618"/>
      </w:tblGrid>
      <w:tr>
        <w:trPr/>
        <w:tc>
          <w:tcPr>
            <w:shd w:val="clear" w:color="auto" w:fill="auto"/>
            <w:tcW w:w="5303" w:type="dxa"/>
            <w:textDirection w:val="lrTb"/>
            <w:noWrap w:val="false"/>
          </w:tcPr>
          <w:p>
            <w:r>
              <w:t xml:space="preserve">Prénom et nom :</w:t>
            </w:r>
            <w:r/>
          </w:p>
        </w:tc>
        <w:tc>
          <w:tcPr>
            <w:shd w:val="clear" w:color="auto" w:fill="auto"/>
            <w:tcW w:w="5303" w:type="dxa"/>
            <w:textDirection w:val="lrTb"/>
            <w:noWrap w:val="false"/>
          </w:tcPr>
          <w:p>
            <w:r>
              <w:t xml:space="preserve">Bureau n°</w:t>
            </w:r>
            <w:r/>
          </w:p>
          <w:p>
            <w:r>
              <w:t xml:space="preserve">Tel :</w:t>
            </w:r>
            <w:r/>
          </w:p>
          <w:p>
            <w:r>
              <w:t xml:space="preserve">Courriel :</w:t>
            </w:r>
            <w:r/>
          </w:p>
        </w:tc>
      </w:tr>
      <w:tr>
        <w:trPr/>
        <w:tc>
          <w:tcPr>
            <w:shd w:val="clear" w:color="auto" w:fill="auto"/>
            <w:tcW w:w="5303" w:type="dxa"/>
            <w:textDirection w:val="lrTb"/>
            <w:noWrap w:val="false"/>
          </w:tcPr>
          <w:p>
            <w:r>
              <w:t xml:space="preserve">Directeur(s) de thèse :</w:t>
            </w:r>
            <w:r/>
          </w:p>
          <w:p>
            <w:pPr>
              <w:rPr>
                <w:rFonts w:ascii="Calibri" w:hAnsi="Calibri"/>
              </w:rPr>
            </w:pPr>
            <w:r>
              <w:rPr>
                <w:rFonts w:ascii="Calibri" w:hAnsi="Calibri"/>
              </w:rPr>
            </w:r>
            <w:r/>
          </w:p>
        </w:tc>
        <w:tc>
          <w:tcPr>
            <w:shd w:val="clear" w:color="auto" w:fill="auto"/>
            <w:tcW w:w="5303" w:type="dxa"/>
            <w:textDirection w:val="lrTb"/>
            <w:noWrap w:val="false"/>
          </w:tcPr>
          <w:p>
            <w:r>
              <w:t xml:space="preserve">Encadrant(s) :</w:t>
            </w:r>
            <w:r/>
          </w:p>
        </w:tc>
      </w:tr>
      <w:tr>
        <w:trPr/>
        <w:tc>
          <w:tcPr>
            <w:gridSpan w:val="2"/>
            <w:shd w:val="clear" w:color="auto" w:fill="auto"/>
            <w:tcW w:w="10606" w:type="dxa"/>
            <w:textDirection w:val="lrTb"/>
            <w:noWrap w:val="false"/>
          </w:tcPr>
          <w:p>
            <w:r>
              <w:t xml:space="preserve">Thème de recherche :</w:t>
            </w:r>
            <w:r/>
          </w:p>
        </w:tc>
      </w:tr>
      <w:tr>
        <w:trPr/>
        <w:tc>
          <w:tcPr>
            <w:gridSpan w:val="2"/>
            <w:shd w:val="clear" w:color="auto" w:fill="auto"/>
            <w:tcW w:w="10606" w:type="dxa"/>
            <w:textDirection w:val="lrTb"/>
            <w:noWrap w:val="false"/>
          </w:tcPr>
          <w:p>
            <w:r>
              <w:t xml:space="preserve">Sujet de thèse et description rapide :</w:t>
            </w:r>
            <w:r/>
          </w:p>
          <w:p>
            <w:r/>
            <w:r/>
          </w:p>
          <w:p>
            <w:r/>
            <w:r/>
          </w:p>
          <w:p>
            <w:r/>
            <w:r/>
          </w:p>
          <w:p>
            <w:r/>
            <w:r/>
          </w:p>
          <w:p>
            <w:r/>
            <w:r/>
          </w:p>
          <w:p>
            <w:r/>
            <w:r/>
          </w:p>
          <w:p>
            <w:r/>
            <w:r/>
          </w:p>
          <w:p>
            <w:r/>
            <w:r/>
          </w:p>
          <w:p>
            <w:r/>
            <w:r/>
          </w:p>
          <w:p>
            <w:r/>
            <w:r/>
          </w:p>
          <w:p>
            <w:r/>
            <w:r/>
          </w:p>
          <w:p>
            <w:r/>
            <w:r/>
          </w:p>
          <w:p>
            <w:pPr>
              <w:rPr>
                <w:rFonts w:ascii="Calibri" w:hAnsi="Calibri"/>
              </w:rPr>
            </w:pPr>
            <w:r>
              <w:rPr>
                <w:rFonts w:ascii="Calibri" w:hAnsi="Calibri"/>
              </w:rPr>
            </w:r>
            <w:r/>
          </w:p>
        </w:tc>
      </w:tr>
    </w:tbl>
    <w:p>
      <w:r/>
      <w:bookmarkStart w:id="152" w:name="_Toc321382352"/>
      <w:r/>
      <w:bookmarkStart w:id="153" w:name="_Toc367812196"/>
      <w:r>
        <w:br w:type="page"/>
      </w:r>
      <w:r/>
    </w:p>
    <w:p>
      <w:r>
        <w:t xml:space="preserve">Installation</w:t>
      </w:r>
      <w:bookmarkEnd w:id="152"/>
      <w:r/>
      <w:bookmarkEnd w:id="153"/>
      <w:r/>
      <w:r/>
    </w:p>
    <w:tbl>
      <w:tblPr>
        <w:tblW w:w="0" w:type="auto"/>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2348"/>
        <w:gridCol w:w="2271"/>
        <w:gridCol w:w="2313"/>
        <w:gridCol w:w="2271"/>
      </w:tblGrid>
      <w:tr>
        <w:trPr/>
        <w:tc>
          <w:tcPr>
            <w:shd w:val="clear" w:color="auto" w:fill="auto"/>
            <w:tcW w:w="2396" w:type="dxa"/>
            <w:textDirection w:val="lrTb"/>
            <w:noWrap w:val="false"/>
          </w:tcPr>
          <w:p>
            <w:pPr>
              <w:rPr>
                <w:rStyle w:val="817"/>
                <w:caps/>
                <w:sz w:val="24"/>
                <w:szCs w:val="24"/>
              </w:rPr>
            </w:pPr>
            <w:r>
              <w:rPr>
                <w:rStyle w:val="817"/>
              </w:rPr>
              <w:t xml:space="preserve">Direction du laboratoire</w:t>
            </w:r>
            <w:r/>
          </w:p>
          <w:p>
            <w:r>
              <w:t xml:space="preserve">Christophe Ménézo</w:t>
            </w:r>
            <w:r/>
          </w:p>
        </w:tc>
        <w:tc>
          <w:tcPr>
            <w:shd w:val="clear" w:color="auto" w:fill="auto"/>
            <w:tcW w:w="2335" w:type="dxa"/>
            <w:textDirection w:val="lrTb"/>
            <w:noWrap w:val="false"/>
          </w:tcPr>
          <w:p>
            <w:pPr>
              <w:rPr>
                <w:rStyle w:val="817"/>
              </w:rPr>
            </w:pPr>
            <w:r>
              <w:rPr>
                <w:rStyle w:val="817"/>
              </w:rPr>
              <w:t xml:space="preserve">Signature</w:t>
            </w:r>
            <w:r/>
          </w:p>
        </w:tc>
        <w:tc>
          <w:tcPr>
            <w:shd w:val="clear" w:color="auto" w:fill="auto"/>
            <w:tcBorders>
              <w:bottom w:val="single" w:sz="4" w:space="0" w:color="auto"/>
            </w:tcBorders>
            <w:tcW w:w="2361" w:type="dxa"/>
            <w:textDirection w:val="lrTb"/>
            <w:noWrap w:val="false"/>
          </w:tcPr>
          <w:p>
            <w:pPr>
              <w:rPr>
                <w:rStyle w:val="817"/>
              </w:rPr>
            </w:pPr>
            <w:r>
              <w:rPr>
                <w:rStyle w:val="817"/>
              </w:rPr>
              <w:t xml:space="preserve">Secrétariat</w:t>
            </w:r>
            <w:r/>
          </w:p>
          <w:p>
            <w:r>
              <w:t xml:space="preserve">Odile</w:t>
            </w:r>
            <w:r>
              <w:t xml:space="preserve"> Baudin</w:t>
            </w:r>
            <w:r/>
          </w:p>
        </w:tc>
        <w:tc>
          <w:tcPr>
            <w:shd w:val="clear" w:color="auto" w:fill="auto"/>
            <w:tcBorders>
              <w:bottom w:val="single" w:sz="4" w:space="0" w:color="auto"/>
            </w:tcBorders>
            <w:tcW w:w="2336" w:type="dxa"/>
            <w:textDirection w:val="lrTb"/>
            <w:noWrap w:val="false"/>
          </w:tcPr>
          <w:p>
            <w:pPr>
              <w:rPr>
                <w:rStyle w:val="817"/>
              </w:rPr>
            </w:pPr>
            <w:r>
              <w:rPr>
                <w:rStyle w:val="817"/>
              </w:rPr>
              <w:t xml:space="preserve">Signature</w:t>
            </w:r>
            <w:r/>
          </w:p>
        </w:tc>
      </w:tr>
      <w:tr>
        <w:trPr/>
        <w:tc>
          <w:tcPr>
            <w:shd w:val="clear" w:color="auto" w:fill="auto"/>
            <w:tcW w:w="2396" w:type="dxa"/>
            <w:textDirection w:val="lrTb"/>
            <w:noWrap w:val="false"/>
          </w:tcPr>
          <w:p>
            <w:pPr>
              <w:rPr>
                <w:rStyle w:val="817"/>
              </w:rPr>
            </w:pPr>
            <w:r>
              <w:rPr>
                <w:rStyle w:val="817"/>
              </w:rPr>
              <w:t xml:space="preserve">Gestionnaire</w:t>
            </w:r>
            <w:r/>
          </w:p>
          <w:p>
            <w:r>
              <w:t xml:space="preserve">Barbara Callot</w:t>
            </w:r>
            <w:r/>
          </w:p>
          <w:p>
            <w:pPr>
              <w:rPr>
                <w:rFonts w:ascii="Calibri" w:hAnsi="Calibri"/>
              </w:rPr>
            </w:pPr>
            <w:r>
              <w:rPr>
                <w:rFonts w:ascii="Calibri" w:hAnsi="Calibri"/>
              </w:rPr>
            </w:r>
            <w:r/>
          </w:p>
        </w:tc>
        <w:tc>
          <w:tcPr>
            <w:shd w:val="clear" w:color="auto" w:fill="auto"/>
            <w:tcW w:w="2335" w:type="dxa"/>
            <w:textDirection w:val="lrTb"/>
            <w:noWrap w:val="false"/>
          </w:tcPr>
          <w:p>
            <w:pPr>
              <w:rPr>
                <w:rStyle w:val="817"/>
              </w:rPr>
            </w:pPr>
            <w:r>
              <w:rPr>
                <w:rStyle w:val="817"/>
              </w:rPr>
              <w:t xml:space="preserve">Signature</w:t>
            </w:r>
            <w:r/>
          </w:p>
        </w:tc>
        <w:tc>
          <w:tcPr>
            <w:shd w:val="clear" w:color="auto" w:fill="auto"/>
            <w:tcBorders>
              <w:right w:val="single" w:sz="4" w:space="0" w:color="auto"/>
              <w:bottom w:val="single" w:sz="4" w:space="0" w:color="auto"/>
            </w:tcBorders>
            <w:tcW w:w="2361" w:type="dxa"/>
            <w:textDirection w:val="lrTb"/>
            <w:noWrap w:val="false"/>
          </w:tcPr>
          <w:p>
            <w:pPr>
              <w:rPr>
                <w:rStyle w:val="817"/>
                <w:lang w:val="en-US"/>
              </w:rPr>
            </w:pPr>
            <w:r>
              <w:rPr>
                <w:rStyle w:val="817"/>
                <w:lang w:val="en-US"/>
              </w:rPr>
              <w:t xml:space="preserve">Techniciens, IGE</w:t>
            </w:r>
            <w:r/>
          </w:p>
          <w:p>
            <w:pPr>
              <w:rPr>
                <w:lang w:val="en-US"/>
              </w:rPr>
            </w:pPr>
            <w:r>
              <w:rPr>
                <w:lang w:val="en-US"/>
              </w:rPr>
              <w:t xml:space="preserve">David Cloet</w:t>
            </w:r>
            <w:r/>
          </w:p>
          <w:p>
            <w:pPr>
              <w:rPr>
                <w:lang w:val="en-US"/>
              </w:rPr>
            </w:pPr>
            <w:r>
              <w:rPr>
                <w:lang w:val="en-US"/>
              </w:rPr>
              <w:t xml:space="preserve">Jonathan Outin </w:t>
            </w:r>
            <w:r/>
          </w:p>
          <w:p>
            <w:pPr>
              <w:rPr>
                <w:lang w:val="en-US"/>
              </w:rPr>
            </w:pPr>
            <w:r>
              <w:rPr>
                <w:lang w:val="en-US"/>
              </w:rPr>
            </w:r>
            <w:r/>
          </w:p>
          <w:p>
            <w:r/>
            <w:r/>
          </w:p>
        </w:tc>
        <w:tc>
          <w:tcPr>
            <w:shd w:val="clear" w:color="auto" w:fill="auto"/>
            <w:tcBorders>
              <w:left w:val="single" w:sz="4" w:space="0" w:color="auto"/>
              <w:right w:val="single" w:sz="4" w:space="0" w:color="auto"/>
              <w:bottom w:val="single" w:sz="4" w:space="0" w:color="auto"/>
            </w:tcBorders>
            <w:tcW w:w="2336" w:type="dxa"/>
            <w:textDirection w:val="lrTb"/>
            <w:noWrap w:val="false"/>
          </w:tcPr>
          <w:p>
            <w:pPr>
              <w:rPr>
                <w:rStyle w:val="817"/>
              </w:rPr>
            </w:pPr>
            <w:r>
              <w:rPr>
                <w:rStyle w:val="817"/>
              </w:rPr>
              <w:t xml:space="preserve">Signature</w:t>
            </w:r>
            <w:r/>
          </w:p>
        </w:tc>
      </w:tr>
    </w:tbl>
    <w:p>
      <w:r/>
      <w:bookmarkStart w:id="154" w:name="_Toc321382353"/>
      <w:r/>
      <w:bookmarkStart w:id="155" w:name="_Toc367812197"/>
      <w:r>
        <w:t xml:space="preserve">Vie au laboratoire</w:t>
      </w:r>
      <w:bookmarkEnd w:id="154"/>
      <w:r/>
      <w:bookmarkEnd w:id="155"/>
      <w:r/>
      <w:r/>
    </w:p>
    <w:tbl>
      <w:tblPr>
        <w:tblW w:w="0" w:type="auto"/>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2378"/>
        <w:gridCol w:w="2221"/>
        <w:gridCol w:w="2382"/>
        <w:gridCol w:w="2222"/>
      </w:tblGrid>
      <w:tr>
        <w:trPr/>
        <w:tc>
          <w:tcPr>
            <w:shd w:val="clear" w:color="auto" w:fill="auto"/>
            <w:tcW w:w="2378" w:type="dxa"/>
            <w:textDirection w:val="lrTb"/>
            <w:noWrap w:val="false"/>
          </w:tcPr>
          <w:p>
            <w:pPr>
              <w:rPr>
                <w:rStyle w:val="817"/>
                <w:caps/>
                <w:sz w:val="24"/>
                <w:szCs w:val="24"/>
              </w:rPr>
            </w:pPr>
            <w:r>
              <w:rPr>
                <w:rStyle w:val="817"/>
              </w:rPr>
              <w:t xml:space="preserve">Suivi</w:t>
            </w:r>
            <w:r>
              <w:rPr>
                <w:rStyle w:val="817"/>
              </w:rPr>
              <w:t xml:space="preserve"> Doctorant</w:t>
            </w:r>
            <w:r/>
          </w:p>
          <w:p>
            <w:r>
              <w:t xml:space="preserve">Jean-Patrick Plassiard</w:t>
            </w:r>
            <w:r/>
          </w:p>
          <w:p>
            <w:r>
              <w:t xml:space="preserve">Julien Ramousse</w:t>
            </w:r>
            <w:r/>
          </w:p>
          <w:p>
            <w:r>
              <w:t xml:space="preserve">Anne-Cécile Grillet</w:t>
            </w:r>
            <w:r/>
          </w:p>
          <w:p>
            <w:pPr>
              <w:rPr>
                <w:rFonts w:ascii="Calibri" w:hAnsi="Calibri"/>
              </w:rPr>
            </w:pPr>
            <w:r>
              <w:rPr>
                <w:rFonts w:ascii="Calibri" w:hAnsi="Calibri"/>
              </w:rPr>
            </w:r>
            <w:r/>
          </w:p>
        </w:tc>
        <w:tc>
          <w:tcPr>
            <w:shd w:val="clear" w:color="auto" w:fill="auto"/>
            <w:tcW w:w="2221" w:type="dxa"/>
            <w:textDirection w:val="lrTb"/>
            <w:noWrap w:val="false"/>
          </w:tcPr>
          <w:p>
            <w:pPr>
              <w:rPr>
                <w:rStyle w:val="817"/>
              </w:rPr>
            </w:pPr>
            <w:r>
              <w:rPr>
                <w:rStyle w:val="817"/>
              </w:rPr>
              <w:t xml:space="preserve">Signature</w:t>
            </w:r>
            <w:r/>
          </w:p>
        </w:tc>
        <w:tc>
          <w:tcPr>
            <w:shd w:val="clear" w:color="auto" w:fill="auto"/>
            <w:tcW w:w="2382" w:type="dxa"/>
            <w:textDirection w:val="lrTb"/>
            <w:noWrap w:val="false"/>
          </w:tcPr>
          <w:p>
            <w:pPr>
              <w:rPr>
                <w:rStyle w:val="817"/>
              </w:rPr>
            </w:pPr>
            <w:r>
              <w:rPr>
                <w:rStyle w:val="817"/>
              </w:rPr>
              <w:t xml:space="preserve">Cellule Expérimentation</w:t>
            </w:r>
            <w:r/>
          </w:p>
          <w:p>
            <w:r>
              <w:t xml:space="preserve">Benjamin Golly</w:t>
            </w:r>
            <w:r/>
          </w:p>
          <w:p>
            <w:r>
              <w:t xml:space="preserve">Mickaël Pailha</w:t>
            </w:r>
            <w:r/>
          </w:p>
        </w:tc>
        <w:tc>
          <w:tcPr>
            <w:shd w:val="clear" w:color="auto" w:fill="auto"/>
            <w:tcW w:w="2222" w:type="dxa"/>
            <w:textDirection w:val="lrTb"/>
            <w:noWrap w:val="false"/>
          </w:tcPr>
          <w:p>
            <w:pPr>
              <w:rPr>
                <w:rStyle w:val="817"/>
              </w:rPr>
            </w:pPr>
            <w:r>
              <w:rPr>
                <w:rStyle w:val="817"/>
              </w:rPr>
              <w:t xml:space="preserve">Signature</w:t>
            </w:r>
            <w:r/>
          </w:p>
        </w:tc>
      </w:tr>
      <w:tr>
        <w:trPr/>
        <w:tc>
          <w:tcPr>
            <w:shd w:val="clear" w:color="auto" w:fill="auto"/>
            <w:tcW w:w="2378" w:type="dxa"/>
            <w:textDirection w:val="lrTb"/>
            <w:noWrap w:val="false"/>
          </w:tcPr>
          <w:p>
            <w:pPr>
              <w:rPr>
                <w:rStyle w:val="817"/>
              </w:rPr>
            </w:pPr>
            <w:r>
              <w:rPr>
                <w:rStyle w:val="817"/>
              </w:rPr>
              <w:t xml:space="preserve">Hygiène et Sécurité</w:t>
            </w:r>
            <w:r/>
          </w:p>
          <w:p>
            <w:r>
              <w:t xml:space="preserve">Jonathan Outin</w:t>
            </w:r>
            <w:r/>
          </w:p>
          <w:p>
            <w:r>
              <w:t xml:space="preserve">David Cloet</w:t>
            </w:r>
            <w:r/>
          </w:p>
          <w:p>
            <w:pPr>
              <w:rPr>
                <w:rFonts w:ascii="Calibri" w:hAnsi="Calibri"/>
              </w:rPr>
            </w:pPr>
            <w:r>
              <w:rPr>
                <w:rFonts w:ascii="Calibri" w:hAnsi="Calibri"/>
              </w:rPr>
            </w:r>
            <w:r/>
          </w:p>
        </w:tc>
        <w:tc>
          <w:tcPr>
            <w:shd w:val="clear" w:color="auto" w:fill="auto"/>
            <w:tcW w:w="2221" w:type="dxa"/>
            <w:textDirection w:val="lrTb"/>
            <w:noWrap w:val="false"/>
          </w:tcPr>
          <w:p>
            <w:pPr>
              <w:rPr>
                <w:rStyle w:val="817"/>
              </w:rPr>
            </w:pPr>
            <w:r>
              <w:rPr>
                <w:rStyle w:val="817"/>
              </w:rPr>
              <w:t xml:space="preserve">Signature</w:t>
            </w:r>
            <w:r/>
          </w:p>
        </w:tc>
        <w:tc>
          <w:tcPr>
            <w:shd w:val="clear" w:color="auto" w:fill="auto"/>
            <w:tcW w:w="2382" w:type="dxa"/>
            <w:textDirection w:val="lrTb"/>
            <w:noWrap w:val="false"/>
          </w:tcPr>
          <w:p>
            <w:pPr>
              <w:rPr>
                <w:rStyle w:val="817"/>
              </w:rPr>
            </w:pPr>
            <w:r>
              <w:rPr>
                <w:rStyle w:val="817"/>
              </w:rPr>
              <w:t xml:space="preserve">Cellule Informatique</w:t>
            </w:r>
            <w:r/>
          </w:p>
          <w:p>
            <w:r>
              <w:t xml:space="preserve">Simon Rouchier</w:t>
            </w:r>
            <w:r/>
          </w:p>
        </w:tc>
        <w:tc>
          <w:tcPr>
            <w:shd w:val="clear" w:color="auto" w:fill="auto"/>
            <w:tcW w:w="2222" w:type="dxa"/>
            <w:textDirection w:val="lrTb"/>
            <w:noWrap w:val="false"/>
          </w:tcPr>
          <w:p>
            <w:pPr>
              <w:rPr>
                <w:rStyle w:val="817"/>
              </w:rPr>
            </w:pPr>
            <w:r>
              <w:rPr>
                <w:rStyle w:val="817"/>
              </w:rPr>
              <w:t xml:space="preserve">Signature</w:t>
            </w:r>
            <w:r/>
          </w:p>
        </w:tc>
      </w:tr>
    </w:tbl>
    <w:p>
      <w:r/>
      <w:r/>
    </w:p>
    <w:p>
      <w:r/>
      <w:r/>
    </w:p>
    <w:p>
      <w:r/>
      <w:r/>
    </w:p>
    <w:p>
      <w:r/>
      <w:r/>
    </w:p>
    <w:p>
      <w:r/>
      <w:r/>
    </w:p>
    <w:p>
      <w:r/>
      <w:r/>
    </w:p>
    <w:p>
      <w:r/>
      <w:r/>
    </w:p>
    <w:p>
      <w:r/>
      <w:r/>
    </w:p>
    <w:p>
      <w:r/>
      <w:r/>
    </w:p>
    <w:p>
      <w:r/>
      <w:r/>
    </w:p>
    <w:p>
      <w:r/>
      <w:r/>
    </w:p>
    <w:p>
      <w:r/>
      <w:r/>
    </w:p>
    <w:p>
      <w:pPr>
        <w:jc w:val="right"/>
        <w:rPr>
          <w:sz w:val="72"/>
          <w:highlight w:val="none"/>
          <w:u w:val="single"/>
        </w:rPr>
      </w:pPr>
      <w:r>
        <w:rPr>
          <w:sz w:val="56"/>
          <w:u w:val="single"/>
        </w:rPr>
        <w:t xml:space="preserve">ANNEXES</w:t>
      </w:r>
      <w:r>
        <w:rPr>
          <w:sz w:val="72"/>
        </w:rPr>
      </w:r>
      <w:r/>
    </w:p>
    <w:p>
      <w:pPr>
        <w:jc w:val="right"/>
        <w:rPr>
          <w:sz w:val="72"/>
        </w:rPr>
      </w:pPr>
      <w:r>
        <w:rPr>
          <w:sz w:val="72"/>
          <w:highlight w:val="none"/>
          <w:u w:val="single"/>
        </w:rPr>
      </w:r>
      <w:r>
        <w:rPr>
          <w:sz w:val="72"/>
          <w:highlight w:val="none"/>
          <w:u w:val="single"/>
        </w:rPr>
      </w:r>
      <w:r/>
    </w:p>
    <w:p>
      <w:pPr>
        <w:jc w:val="left"/>
        <w:rPr>
          <w:sz w:val="72"/>
        </w:rPr>
      </w:pPr>
      <w:r>
        <w:rPr>
          <w:sz w:val="72"/>
        </w:rPr>
      </w:r>
      <w:r>
        <w:rPr>
          <w:sz w:val="72"/>
        </w:rPr>
      </w:r>
      <w:r/>
    </w:p>
    <w:p>
      <w:pPr>
        <w:jc w:val="left"/>
        <w:rPr>
          <w:sz w:val="48"/>
          <w:highlight w:val="none"/>
        </w:rPr>
      </w:pPr>
      <w:r>
        <w:rPr>
          <w:sz w:val="48"/>
        </w:rPr>
        <w:t xml:space="preserve">1 - Attestation Accueil - Sécurité : </w:t>
      </w:r>
      <w:r>
        <w:rPr>
          <w:sz w:val="48"/>
        </w:rPr>
      </w:r>
      <w:r/>
    </w:p>
    <w:p>
      <w:pPr>
        <w:jc w:val="left"/>
        <w:rPr>
          <w:sz w:val="36"/>
          <w:highlight w:val="none"/>
        </w:rPr>
      </w:pPr>
      <w:r>
        <w:rPr>
          <w:sz w:val="36"/>
          <w:highlight w:val="none"/>
        </w:rPr>
        <w:t xml:space="preserve">  </w:t>
      </w:r>
      <w:r>
        <w:rPr>
          <w:sz w:val="36"/>
          <w:highlight w:val="none"/>
        </w:rPr>
        <w:t xml:space="preserve">     </w:t>
      </w:r>
      <w:r>
        <w:rPr>
          <w:sz w:val="36"/>
          <w:highlight w:val="none"/>
        </w:rPr>
        <w:t xml:space="preserve">Hygiène et Sécurité / Règlement intérieur / Livret d’accueil</w:t>
      </w:r>
      <w:r>
        <w:rPr>
          <w:sz w:val="36"/>
          <w:highlight w:val="none"/>
        </w:rPr>
      </w:r>
      <w:r/>
    </w:p>
    <w:p>
      <w:pPr>
        <w:jc w:val="left"/>
        <w:rPr>
          <w:sz w:val="36"/>
          <w:highlight w:val="none"/>
        </w:rPr>
      </w:pPr>
      <w:r>
        <w:rPr>
          <w:sz w:val="36"/>
          <w:highlight w:val="none"/>
        </w:rPr>
      </w:r>
      <w:r>
        <w:rPr>
          <w:sz w:val="36"/>
          <w:highlight w:val="none"/>
        </w:rPr>
      </w:r>
      <w:r/>
    </w:p>
    <w:p>
      <w:pPr>
        <w:jc w:val="left"/>
        <w:rPr>
          <w:sz w:val="36"/>
          <w:highlight w:val="none"/>
        </w:rPr>
      </w:pPr>
      <w:r>
        <w:rPr>
          <w:sz w:val="36"/>
          <w:highlight w:val="none"/>
        </w:rPr>
      </w:r>
      <w:r>
        <w:rPr>
          <w:sz w:val="36"/>
          <w:highlight w:val="none"/>
        </w:rPr>
      </w:r>
      <w:r/>
    </w:p>
    <w:p>
      <w:pPr>
        <w:jc w:val="left"/>
        <w:rPr>
          <w:sz w:val="48"/>
          <w:highlight w:val="none"/>
        </w:rPr>
      </w:pPr>
      <w:r>
        <w:rPr>
          <w:sz w:val="48"/>
          <w:highlight w:val="none"/>
        </w:rPr>
        <w:t xml:space="preserve">2 - Fiche Arrivée / Départ</w:t>
      </w:r>
      <w:r>
        <w:rPr>
          <w:sz w:val="48"/>
          <w:highlight w:val="none"/>
        </w:rPr>
      </w:r>
      <w:r/>
    </w:p>
    <w:p>
      <w:pPr>
        <w:jc w:val="left"/>
        <w:rPr>
          <w:sz w:val="48"/>
          <w:highlight w:val="none"/>
        </w:rPr>
      </w:pPr>
      <w:r>
        <w:rPr>
          <w:sz w:val="48"/>
          <w:highlight w:val="none"/>
        </w:rPr>
      </w:r>
      <w:r>
        <w:rPr>
          <w:sz w:val="48"/>
          <w:highlight w:val="none"/>
        </w:rPr>
      </w:r>
      <w:r/>
    </w:p>
    <w:p>
      <w:pPr>
        <w:jc w:val="left"/>
        <w:rPr>
          <w:sz w:val="48"/>
          <w:highlight w:val="none"/>
        </w:rPr>
      </w:pPr>
      <w:r>
        <w:rPr>
          <w:sz w:val="48"/>
          <w:highlight w:val="none"/>
        </w:rPr>
      </w:r>
      <w:r>
        <w:rPr>
          <w:sz w:val="48"/>
          <w:highlight w:val="none"/>
        </w:rPr>
      </w:r>
      <w:r/>
    </w:p>
    <w:p>
      <w:pPr>
        <w:jc w:val="left"/>
        <w:rPr>
          <w:sz w:val="48"/>
          <w:highlight w:val="none"/>
        </w:rPr>
      </w:pPr>
      <w:r>
        <w:rPr>
          <w:sz w:val="48"/>
          <w:highlight w:val="none"/>
        </w:rPr>
        <w:t xml:space="preserve">3 - Achats / Missions</w:t>
      </w:r>
      <w:r>
        <w:rPr>
          <w:sz w:val="48"/>
          <w:highlight w:val="none"/>
        </w:rPr>
      </w:r>
      <w:r/>
    </w:p>
    <w:p>
      <w:pPr>
        <w:jc w:val="left"/>
        <w:rPr>
          <w:sz w:val="48"/>
          <w:highlight w:val="none"/>
        </w:rPr>
      </w:pPr>
      <w:r>
        <w:rPr>
          <w:sz w:val="48"/>
          <w:highlight w:val="none"/>
        </w:rPr>
      </w:r>
      <w:r>
        <w:rPr>
          <w:sz w:val="48"/>
          <w:highlight w:val="none"/>
        </w:rPr>
      </w:r>
      <w:r/>
    </w:p>
    <w:p>
      <w:pPr>
        <w:jc w:val="left"/>
        <w:rPr>
          <w:sz w:val="48"/>
          <w:highlight w:val="none"/>
        </w:rPr>
      </w:pPr>
      <w:r>
        <w:rPr>
          <w:sz w:val="48"/>
          <w:highlight w:val="none"/>
        </w:rPr>
      </w:r>
      <w:r>
        <w:rPr>
          <w:sz w:val="48"/>
          <w:highlight w:val="none"/>
        </w:rPr>
      </w:r>
      <w:r/>
    </w:p>
    <w:p>
      <w:pPr>
        <w:jc w:val="left"/>
        <w:rPr>
          <w:sz w:val="48"/>
          <w:highlight w:val="none"/>
        </w:rPr>
      </w:pPr>
      <w:r>
        <w:rPr>
          <w:sz w:val="48"/>
          <w:highlight w:val="none"/>
        </w:rPr>
        <w:t xml:space="preserve">4 - Inscriptions des doctorants</w:t>
      </w:r>
      <w:r/>
    </w:p>
    <w:p>
      <w:pPr>
        <w:jc w:val="left"/>
        <w:rPr>
          <w:sz w:val="48"/>
          <w:highlight w:val="none"/>
        </w:rPr>
      </w:pPr>
      <w:r>
        <w:rPr>
          <w:sz w:val="48"/>
          <w:highlight w:val="none"/>
        </w:rPr>
        <w:t xml:space="preserve">     en 2 ème - 3 ème et 4 ème année</w:t>
      </w:r>
      <w:r>
        <w:rPr>
          <w:sz w:val="48"/>
          <w:highlight w:val="none"/>
        </w:rPr>
      </w:r>
      <w:r/>
    </w:p>
    <w:p>
      <w:pPr>
        <w:jc w:val="left"/>
        <w:rPr>
          <w:sz w:val="48"/>
        </w:rPr>
      </w:pPr>
      <w:r>
        <w:rPr>
          <w:sz w:val="48"/>
          <w:highlight w:val="none"/>
        </w:rPr>
      </w:r>
      <w:r>
        <w:rPr>
          <w:sz w:val="48"/>
          <w:highlight w:val="none"/>
        </w:rPr>
      </w:r>
      <w:r/>
    </w:p>
    <w:p>
      <w:pPr>
        <w:jc w:val="left"/>
        <w:rPr>
          <w:sz w:val="40"/>
          <w:u w:val="single"/>
        </w:rPr>
      </w:pPr>
      <w:r>
        <w:rPr>
          <w:sz w:val="40"/>
          <w:u w:val="single"/>
        </w:rPr>
      </w:r>
      <w:r/>
    </w:p>
    <w:p>
      <w:pPr>
        <w:jc w:val="right"/>
        <w:rPr>
          <w:sz w:val="40"/>
          <w:highlight w:val="none"/>
          <w:u w:val="single"/>
        </w:rPr>
      </w:pPr>
      <w:r>
        <w:rPr>
          <w:sz w:val="40"/>
          <w:u w:val="single"/>
        </w:rPr>
        <w:t xml:space="preserve">Annexe 1</w:t>
      </w:r>
      <w:r>
        <w:rPr>
          <w:sz w:val="56"/>
          <w:highlight w:val="none"/>
        </w:rPr>
      </w:r>
      <w:r/>
    </w:p>
    <w:p>
      <w:pPr>
        <w:pBdr>
          <w:left w:val="none" w:color="000000" w:sz="4" w:space="0"/>
          <w:top w:val="none" w:color="000000" w:sz="4" w:space="0"/>
          <w:right w:val="none" w:color="000000" w:sz="4" w:space="0"/>
          <w:bottom w:val="none" w:color="000000" w:sz="4" w:space="0"/>
        </w:pBdr>
      </w:pPr>
      <w:r>
        <w:t xml:space="preserve"> </w:t>
      </w:r>
      <w:r/>
    </w:p>
    <w:p>
      <w:pPr>
        <w:contextualSpacing w:val="false"/>
        <w:jc w:val="right"/>
        <w:rPr>
          <w:sz w:val="40"/>
          <w:highlight w:val="none"/>
        </w:rPr>
        <w:suppressLineNumbers w:val="0"/>
      </w:pPr>
      <w:r>
        <w:rPr>
          <w:sz w:val="40"/>
          <w:highlight w:val="none"/>
        </w:rPr>
      </w: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jc w:val="right"/>
        <w:rPr>
          <w:sz w:val="40"/>
          <w:highlight w:val="none"/>
        </w:rPr>
        <w:suppressLineNumbers w:val="0"/>
      </w:pPr>
      <w:r>
        <w:rPr>
          <w:sz w:val="40"/>
          <w:highlight w:val="none"/>
        </w:rPr>
      </w:r>
      <w:r/>
    </w:p>
    <w:p>
      <w:pPr>
        <w:contextualSpacing w:val="false"/>
        <w:ind w:left="2832" w:firstLine="708"/>
        <w:jc w:val="right"/>
        <w:rPr>
          <w:sz w:val="40"/>
          <w:highlight w:val="none"/>
        </w:rPr>
        <w:suppressLineNumbers w:val="0"/>
      </w:pPr>
      <w:r>
        <w:rPr>
          <w:sz w:val="40"/>
          <w:highlight w:val="none"/>
        </w:rPr>
      </w:r>
      <w:r>
        <w:rPr>
          <w:sz w:val="40"/>
          <w:u w:val="single"/>
        </w:rPr>
        <w:t xml:space="preserve">Annexe 2</w:t>
      </w:r>
      <w:r>
        <w:rPr>
          <w:sz w:val="40"/>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56"/>
          <w:highlight w:val="none"/>
        </w:rPr>
      </w:pPr>
      <w:r>
        <w:rPr>
          <w:sz w:val="56"/>
          <w:highlight w:val="none"/>
        </w:rPr>
      </w:r>
      <w:r>
        <w:rPr>
          <w:sz w:val="56"/>
          <w:highlight w:val="none"/>
        </w:rPr>
      </w:r>
      <w:r/>
    </w:p>
    <w:p>
      <w:pPr>
        <w:jc w:val="right"/>
        <w:rPr>
          <w:sz w:val="40"/>
          <w:highlight w:val="none"/>
          <w:u w:val="single"/>
        </w:rPr>
      </w:pPr>
      <w:r>
        <w:rPr>
          <w:sz w:val="56"/>
          <w:highlight w:val="none"/>
        </w:rPr>
      </w:r>
      <w:r>
        <w:rPr>
          <w:sz w:val="40"/>
          <w:u w:val="single"/>
        </w:rPr>
        <w:t xml:space="preserve">An</w:t>
      </w:r>
      <w:r>
        <w:rPr>
          <w:sz w:val="40"/>
          <w:u w:val="single"/>
        </w:rPr>
        <w:t xml:space="preserve">nexe 3</w:t>
      </w:r>
      <w:r>
        <w:rPr>
          <w:sz w:val="56"/>
          <w:highlight w:val="none"/>
        </w:rPr>
      </w:r>
      <w:r/>
    </w:p>
    <w:p>
      <w:pPr>
        <w:jc w:val="right"/>
        <w:rPr>
          <w:sz w:val="40"/>
          <w:highlight w:val="none"/>
          <w:u w:val="single"/>
        </w:rPr>
      </w:pPr>
      <w:r>
        <w:rPr>
          <w:sz w:val="40"/>
          <w:highlight w:val="none"/>
          <w:u w:val="single"/>
        </w:rPr>
      </w:r>
      <w:r>
        <w:rPr>
          <w:sz w:val="40"/>
          <w:highlight w:val="none"/>
          <w:u w:val="single"/>
        </w:rPr>
      </w:r>
      <w:r/>
    </w:p>
    <w:p>
      <w:pPr>
        <w:jc w:val="center"/>
        <w:rPr>
          <w:sz w:val="40"/>
          <w:u w:val="single"/>
        </w:rPr>
      </w:pPr>
      <w:r>
        <w:rPr>
          <w:sz w:val="40"/>
          <w:highlight w:val="none"/>
          <w:u w:val="single"/>
        </w:rPr>
      </w:r>
      <w:r>
        <mc:AlternateContent>
          <mc:Choice Requires="wpg">
            <w:drawing>
              <wp:inline xmlns:wp="http://schemas.openxmlformats.org/drawingml/2006/wordprocessingDrawing" distT="0" distB="0" distL="0" distR="0">
                <wp:extent cx="4572000" cy="3429000"/>
                <wp:effectExtent l="0" t="0" r="0" b="0"/>
                <wp:docPr id="14" name=""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3" name="" hidden="0"/>
                        <pic:cNvPicPr>
                          <a:picLocks noChangeAspect="1"/>
                        </pic:cNvPicPr>
                        <pic:nvPr isPhoto="0" userDrawn="0"/>
                      </pic:nvPicPr>
                      <pic:blipFill>
                        <a:blip r:embed="rId65"/>
                        <a:stretch/>
                      </pic:blipFill>
                      <pic:spPr bwMode="auto">
                        <a:xfrm>
                          <a:off x="0" y="0"/>
                          <a:ext cx="4572000" cy="34290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mso-wrap-distance-left:0.0pt;mso-wrap-distance-top:0.0pt;mso-wrap-distance-right:0.0pt;mso-wrap-distance-bottom:0.0pt;width:360.0pt;height:270.0pt;" stroked="false">
                <v:path textboxrect="0,0,0,0"/>
                <v:imagedata r:id="rId65" o:title=""/>
              </v:shape>
            </w:pict>
          </mc:Fallback>
        </mc:AlternateContent>
      </w:r>
      <w:r>
        <w:rPr>
          <w:sz w:val="40"/>
          <w:highlight w:val="none"/>
          <w:u w:val="single"/>
        </w:rPr>
      </w:r>
      <w:r/>
    </w:p>
    <w:p>
      <w:pPr>
        <w:jc w:val="left"/>
        <w:rPr>
          <w:highlight w:val="none"/>
        </w:rPr>
      </w:pPr>
      <w:r>
        <w:rPr>
          <w:sz w:val="40"/>
          <w:u w:val="single"/>
        </w:rPr>
      </w:r>
      <w:r>
        <w:rPr>
          <w:sz w:val="40"/>
          <w:u w:val="single"/>
        </w:rPr>
      </w:r>
      <w:r/>
    </w:p>
    <w:p>
      <w:pPr>
        <w:jc w:val="left"/>
        <w:rPr>
          <w:highlight w:val="none"/>
        </w:rPr>
      </w:pPr>
      <w:r>
        <w:rPr>
          <w:highlight w:val="none"/>
        </w:rPr>
      </w:r>
      <w:r>
        <w:rPr>
          <w:highlight w:val="none"/>
        </w:rPr>
      </w:r>
      <w:r/>
    </w:p>
    <w:p>
      <w:pPr>
        <w:jc w:val="center"/>
        <w:rPr>
          <w:sz w:val="40"/>
          <w:u w:val="single"/>
        </w:rPr>
      </w:pPr>
      <w:r>
        <w:rPr>
          <w:highlight w:val="none"/>
        </w:rPr>
      </w:r>
      <w:r>
        <mc:AlternateContent>
          <mc:Choice Requires="wpg">
            <w:drawing>
              <wp:inline xmlns:wp="http://schemas.openxmlformats.org/drawingml/2006/wordprocessingDrawing" distT="0" distB="0" distL="0" distR="0">
                <wp:extent cx="4572000" cy="3429000"/>
                <wp:effectExtent l="0" t="0" r="0" b="0"/>
                <wp:docPr id="15" name=""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4" name="" hidden="0"/>
                        <pic:cNvPicPr>
                          <a:picLocks noChangeAspect="1"/>
                        </pic:cNvPicPr>
                        <pic:nvPr isPhoto="0" userDrawn="0"/>
                      </pic:nvPicPr>
                      <pic:blipFill>
                        <a:blip r:embed="rId66"/>
                        <a:stretch/>
                      </pic:blipFill>
                      <pic:spPr bwMode="auto">
                        <a:xfrm>
                          <a:off x="0" y="0"/>
                          <a:ext cx="4572000" cy="34290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mso-wrap-distance-left:0.0pt;mso-wrap-distance-top:0.0pt;mso-wrap-distance-right:0.0pt;mso-wrap-distance-bottom:0.0pt;width:360.0pt;height:270.0pt;" stroked="false">
                <v:path textboxrect="0,0,0,0"/>
                <v:imagedata r:id="rId66" o:title=""/>
              </v:shape>
            </w:pict>
          </mc:Fallback>
        </mc:AlternateContent>
      </w:r>
      <w:r>
        <w:rPr>
          <w:highlight w:val="none"/>
        </w:rPr>
      </w:r>
      <w:r/>
    </w:p>
    <w:p>
      <w:pPr>
        <w:jc w:val="left"/>
        <w:rPr>
          <w:sz w:val="40"/>
          <w:u w:val="single"/>
        </w:rPr>
      </w:pPr>
      <w:r>
        <w:rPr>
          <w:sz w:val="40"/>
          <w:u w:val="single"/>
        </w:rPr>
      </w:r>
      <w:r>
        <w:rPr>
          <w:sz w:val="40"/>
          <w:u w:val="single"/>
        </w:rPr>
      </w:r>
      <w:r/>
    </w:p>
    <w:p>
      <w:pPr>
        <w:jc w:val="right"/>
        <w:rPr>
          <w:sz w:val="40"/>
          <w:u w:val="single"/>
        </w:rPr>
      </w:pPr>
      <w:r>
        <w:rPr>
          <w:sz w:val="40"/>
          <w:u w:val="single"/>
        </w:rPr>
      </w:r>
      <w:r>
        <w:rPr>
          <w:sz w:val="40"/>
          <w:u w:val="single"/>
        </w:rPr>
      </w:r>
      <w:r/>
    </w:p>
    <w:p>
      <w:pPr>
        <w:jc w:val="center"/>
        <w:rPr>
          <w:sz w:val="40"/>
          <w:u w:val="single"/>
        </w:rPr>
      </w:pPr>
      <w:r>
        <w:rPr>
          <w:sz w:val="40"/>
          <w:u w:val="single"/>
        </w:rPr>
      </w:r>
      <w:r>
        <mc:AlternateContent>
          <mc:Choice Requires="wpg">
            <w:drawing>
              <wp:inline xmlns:wp="http://schemas.openxmlformats.org/drawingml/2006/wordprocessingDrawing" distT="0" distB="0" distL="0" distR="0">
                <wp:extent cx="4572000" cy="3429000"/>
                <wp:effectExtent l="0" t="0" r="0" b="0"/>
                <wp:docPr id="16" name=""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5" name="" hidden="0"/>
                        <pic:cNvPicPr>
                          <a:picLocks noChangeAspect="1"/>
                        </pic:cNvPicPr>
                        <pic:nvPr isPhoto="0" userDrawn="0"/>
                      </pic:nvPicPr>
                      <pic:blipFill>
                        <a:blip r:embed="rId67"/>
                        <a:stretch/>
                      </pic:blipFill>
                      <pic:spPr bwMode="auto">
                        <a:xfrm>
                          <a:off x="0" y="0"/>
                          <a:ext cx="4572000" cy="34290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mso-wrap-distance-left:0.0pt;mso-wrap-distance-top:0.0pt;mso-wrap-distance-right:0.0pt;mso-wrap-distance-bottom:0.0pt;width:360.0pt;height:270.0pt;" stroked="false">
                <v:path textboxrect="0,0,0,0"/>
                <v:imagedata r:id="rId67" o:title=""/>
              </v:shape>
            </w:pict>
          </mc:Fallback>
        </mc:AlternateContent>
      </w:r>
      <w:r>
        <w:rPr>
          <w:sz w:val="40"/>
          <w:u w:val="single"/>
        </w:rPr>
      </w:r>
      <w:r/>
    </w:p>
    <w:p>
      <w:pPr>
        <w:jc w:val="left"/>
        <w:rPr>
          <w:sz w:val="40"/>
          <w:u w:val="single"/>
        </w:rPr>
      </w:pPr>
      <w:r>
        <w:rPr>
          <w:sz w:val="40"/>
          <w:u w:val="single"/>
        </w:rPr>
      </w:r>
      <w:r>
        <w:rPr>
          <w:sz w:val="40"/>
          <w:u w:val="single"/>
        </w:rPr>
      </w:r>
      <w:r/>
    </w:p>
    <w:p>
      <w:pPr>
        <w:jc w:val="right"/>
        <w:rPr>
          <w:sz w:val="40"/>
          <w:u w:val="single"/>
        </w:rPr>
      </w:pPr>
      <w:r>
        <w:rPr>
          <w:sz w:val="40"/>
          <w:u w:val="single"/>
        </w:rPr>
      </w:r>
      <w:r>
        <w:rPr>
          <w:sz w:val="40"/>
          <w:u w:val="single"/>
        </w:rPr>
      </w:r>
      <w:r/>
    </w:p>
    <w:p>
      <w:pPr>
        <w:jc w:val="center"/>
        <w:rPr>
          <w:sz w:val="40"/>
          <w:u w:val="single"/>
        </w:rPr>
      </w:pPr>
      <w:r>
        <w:rPr>
          <w:sz w:val="40"/>
          <w:u w:val="single"/>
        </w:rPr>
      </w:r>
      <w:r>
        <mc:AlternateContent>
          <mc:Choice Requires="wpg">
            <w:drawing>
              <wp:inline xmlns:wp="http://schemas.openxmlformats.org/drawingml/2006/wordprocessingDrawing" distT="0" distB="0" distL="0" distR="0">
                <wp:extent cx="4572000" cy="3429000"/>
                <wp:effectExtent l="0" t="0" r="0" b="0"/>
                <wp:docPr id="17" name=""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6" name="" hidden="0"/>
                        <pic:cNvPicPr>
                          <a:picLocks noChangeAspect="1"/>
                        </pic:cNvPicPr>
                        <pic:nvPr isPhoto="0" userDrawn="0"/>
                      </pic:nvPicPr>
                      <pic:blipFill>
                        <a:blip r:embed="rId68"/>
                        <a:stretch/>
                      </pic:blipFill>
                      <pic:spPr bwMode="auto">
                        <a:xfrm>
                          <a:off x="0" y="0"/>
                          <a:ext cx="4572000" cy="34290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mso-wrap-distance-left:0.0pt;mso-wrap-distance-top:0.0pt;mso-wrap-distance-right:0.0pt;mso-wrap-distance-bottom:0.0pt;width:360.0pt;height:270.0pt;" stroked="false">
                <v:path textboxrect="0,0,0,0"/>
                <v:imagedata r:id="rId68" o:title=""/>
              </v:shape>
            </w:pict>
          </mc:Fallback>
        </mc:AlternateContent>
      </w:r>
      <w:r>
        <w:rPr>
          <w:sz w:val="40"/>
          <w:u w:val="single"/>
        </w:rPr>
      </w:r>
      <w:r/>
    </w:p>
    <w:p>
      <w:pPr>
        <w:jc w:val="left"/>
        <w:rPr>
          <w:sz w:val="40"/>
          <w:u w:val="single"/>
        </w:rPr>
      </w:pPr>
      <w:r>
        <w:rPr>
          <w:sz w:val="40"/>
          <w:u w:val="single"/>
        </w:rPr>
      </w:r>
      <w:r/>
    </w:p>
    <w:p>
      <w:pPr>
        <w:jc w:val="right"/>
        <w:rPr>
          <w:sz w:val="40"/>
          <w:highlight w:val="none"/>
          <w:u w:val="single"/>
        </w:rPr>
      </w:pPr>
      <w:r>
        <w:rPr>
          <w:sz w:val="40"/>
          <w:u w:val="single"/>
        </w:rPr>
        <w:t xml:space="preserve">Annexe 4</w:t>
      </w:r>
      <w:r>
        <w:rPr>
          <w:sz w:val="40"/>
          <w:u w:val="single"/>
        </w:rPr>
      </w:r>
      <w:r/>
    </w:p>
    <w:p>
      <w:pPr>
        <w:ind w:left="0" w:right="0" w:firstLine="0"/>
        <w:jc w:val="left"/>
        <w:spacing w:after="160" w:before="0"/>
        <w:rPr>
          <w:rFonts w:ascii="Cambria" w:hAnsi="Cambria" w:cs="Cambria" w:eastAsia="Cambria"/>
          <w:sz w:val="32"/>
        </w:rPr>
        <w:pBdr>
          <w:left w:val="none" w:color="000000" w:sz="4" w:space="0"/>
          <w:top w:val="none" w:color="000000" w:sz="4" w:space="0"/>
          <w:right w:val="none" w:color="000000" w:sz="4" w:space="0"/>
          <w:bottom w:val="none" w:color="000000" w:sz="4" w:space="0"/>
        </w:pBdr>
      </w:pPr>
      <w:r>
        <w:rPr>
          <w:rFonts w:ascii="Cambria" w:hAnsi="Cambria" w:cs="Cambria" w:eastAsia="Cambria"/>
          <w:b/>
          <w:color w:val="000000"/>
          <w:sz w:val="32"/>
          <w:u w:val="single"/>
        </w:rPr>
        <w:t xml:space="preserve">RE-INSCRIPTION EN THESE</w:t>
      </w:r>
      <w:r>
        <w:rPr>
          <w:rFonts w:ascii="Cambria" w:hAnsi="Cambria" w:cs="Cambria" w:eastAsia="Cambria"/>
          <w:sz w:val="3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w:t>
      </w:r>
      <w:r>
        <w:rPr>
          <w:rFonts w:ascii="Cambria" w:hAnsi="Cambria" w:cs="Cambria" w:eastAsia="Cambria"/>
          <w:sz w:val="2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b/>
          <w:color w:val="FF0000"/>
          <w:sz w:val="22"/>
        </w:rPr>
        <w:t xml:space="preserve">Pour les doctorants qui vont procéder à leur 2ème ou 3ème inscription</w:t>
      </w:r>
      <w:r>
        <w:rPr>
          <w:rFonts w:ascii="Cambria" w:hAnsi="Cambria" w:cs="Cambria" w:eastAsia="Cambria"/>
          <w:b/>
          <w:color w:val="000000"/>
          <w:sz w:val="22"/>
        </w:rPr>
        <w:t xml:space="preserve"> pour l'année 2021-2022. </w:t>
      </w:r>
      <w:r>
        <w:rPr>
          <w:rFonts w:ascii="Cambria" w:hAnsi="Cambria" w:cs="Cambria" w:eastAsia="Cambria"/>
          <w:sz w:val="2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u w:val="single"/>
        </w:rPr>
        <w:t xml:space="preserve">PROCÉDURE DE RÉINSCRIPTION EN 2ème OU 3ème ANNÉE</w:t>
      </w:r>
      <w:r>
        <w:rPr>
          <w:rFonts w:ascii="Cambria" w:hAnsi="Cambria" w:cs="Cambria" w:eastAsia="Cambria"/>
          <w:color w:val="000000"/>
          <w:sz w:val="22"/>
        </w:rPr>
        <w:t xml:space="preserve"> pour 2021-2022</w:t>
        <w:br/>
      </w:r>
      <w:r>
        <w:rPr>
          <w:rFonts w:ascii="Cambria" w:hAnsi="Cambria" w:cs="Cambria" w:eastAsia="Cambria"/>
          <w:sz w:val="2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a) Vous devez </w:t>
      </w:r>
      <w:r>
        <w:rPr>
          <w:rFonts w:ascii="Cambria" w:hAnsi="Cambria" w:cs="Cambria" w:eastAsia="Cambria"/>
          <w:b/>
          <w:color w:val="000000"/>
          <w:sz w:val="22"/>
        </w:rPr>
        <w:t xml:space="preserve">vous connecter</w:t>
      </w:r>
      <w:r>
        <w:rPr>
          <w:rFonts w:ascii="Cambria" w:hAnsi="Cambria" w:cs="Cambria" w:eastAsia="Cambria"/>
          <w:color w:val="000000"/>
          <w:sz w:val="22"/>
        </w:rPr>
        <w:t xml:space="preserve"> à votre compte personnel sur le site de l'</w:t>
      </w:r>
      <w:r>
        <w:rPr>
          <w:rFonts w:ascii="Cambria" w:hAnsi="Cambria" w:cs="Cambria" w:eastAsia="Cambria"/>
          <w:b/>
          <w:color w:val="000000"/>
          <w:sz w:val="22"/>
        </w:rPr>
        <w:t xml:space="preserve">ADUM</w:t>
      </w:r>
      <w:r>
        <w:rPr>
          <w:rFonts w:ascii="Cambria" w:hAnsi="Cambria" w:cs="Cambria" w:eastAsia="Cambria"/>
          <w:color w:val="000000"/>
          <w:sz w:val="22"/>
        </w:rPr>
        <w:t xml:space="preserve"> (</w:t>
      </w:r>
      <w:hyperlink r:id="rId69" w:tooltip="https://www.adum.fr/index.pl" w:history="1">
        <w:r>
          <w:rPr>
            <w:rStyle w:val="812"/>
            <w:rFonts w:ascii="Cambria" w:hAnsi="Cambria" w:cs="Cambria" w:eastAsia="Cambria"/>
            <w:color w:val="0000FF"/>
            <w:sz w:val="22"/>
            <w:u w:val="single"/>
          </w:rPr>
          <w:t xml:space="preserve">https://www.adum.fr/index.pl</w:t>
        </w:r>
      </w:hyperlink>
      <w:r>
        <w:rPr>
          <w:rFonts w:ascii="Cambria" w:hAnsi="Cambria" w:cs="Cambria" w:eastAsia="Cambria"/>
          <w:color w:val="000000"/>
          <w:sz w:val="22"/>
        </w:rPr>
        <w:t xml:space="preserve">) </w:t>
      </w:r>
      <w:r>
        <w:rPr>
          <w:rFonts w:ascii="Cambria" w:hAnsi="Cambria" w:cs="Cambria" w:eastAsia="Cambria"/>
          <w:sz w:val="2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b) </w:t>
      </w:r>
      <w:r>
        <w:rPr>
          <w:rFonts w:ascii="Cambria" w:hAnsi="Cambria" w:cs="Cambria" w:eastAsia="Cambria"/>
          <w:b/>
          <w:color w:val="000000"/>
          <w:sz w:val="22"/>
        </w:rPr>
        <w:t xml:space="preserve">Mettre à jour et/ou compléter</w:t>
      </w:r>
      <w:r>
        <w:rPr>
          <w:rFonts w:ascii="Cambria" w:hAnsi="Cambria" w:cs="Cambria" w:eastAsia="Cambria"/>
          <w:color w:val="000000"/>
          <w:sz w:val="22"/>
        </w:rPr>
        <w:t xml:space="preserve"> attentivement et en détail les onglets : - Déroulement de la thèse - Suivi de thèse - Publications - et les autres onglets </w:t>
      </w:r>
      <w:r>
        <w:rPr>
          <w:rFonts w:ascii="Cambria" w:hAnsi="Cambria" w:cs="Cambria" w:eastAsia="Cambria"/>
          <w:sz w:val="2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c) Valider et éditer le </w:t>
      </w:r>
      <w:r>
        <w:rPr>
          <w:rFonts w:ascii="Cambria" w:hAnsi="Cambria" w:cs="Cambria" w:eastAsia="Cambria"/>
          <w:b/>
          <w:color w:val="000000"/>
          <w:sz w:val="22"/>
        </w:rPr>
        <w:t xml:space="preserve">RAPPORT DE SUIVI DE THÈSE</w:t>
        <w:br/>
      </w:r>
      <w:r>
        <w:rPr>
          <w:rFonts w:ascii="Cambria" w:hAnsi="Cambria" w:cs="Cambria" w:eastAsia="Cambria"/>
          <w:color w:val="000000"/>
          <w:sz w:val="22"/>
        </w:rPr>
        <w:t xml:space="preserve">Le rapport de suivi de thèse est un document important et à remplir avec soin </w:t>
        <w:br/>
        <w:t xml:space="preserve">- Si des rubriques ne sont pas remplies ou trop succinctes, le Directeur de l’École doctorale ne le signera pas.</w:t>
        <w:br/>
        <w:t xml:space="preserve">Pensez à bien remplir la partie description de l'avancée de thès</w:t>
      </w:r>
      <w:r>
        <w:rPr>
          <w:rFonts w:ascii="Cambria" w:hAnsi="Cambria" w:cs="Cambria" w:eastAsia="Cambria"/>
          <w:color w:val="000000"/>
          <w:sz w:val="22"/>
        </w:rPr>
        <w:t xml:space="preserve">e. </w:t>
        <w:br/>
        <w:t xml:space="preserve">- Toute modification, ajout ou suppression concernant votre encadrement devra être motivé par votre directeur de thèse dans la partie "commentaire du directeur de thèse". </w:t>
      </w:r>
      <w:r>
        <w:rPr>
          <w:rFonts w:ascii="Cambria" w:hAnsi="Cambria" w:cs="Cambria" w:eastAsia="Cambria"/>
          <w:sz w:val="2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d)</w:t>
      </w:r>
      <w:r>
        <w:rPr>
          <w:rFonts w:ascii="Cambria" w:hAnsi="Cambria" w:cs="Cambria" w:eastAsia="Cambria"/>
          <w:b/>
          <w:color w:val="000000"/>
          <w:sz w:val="22"/>
        </w:rPr>
        <w:t xml:space="preserve"> Pour les doctorants "USMB - ED SIE / -ED CST" </w:t>
        <w:br/>
      </w:r>
      <w:r>
        <w:rPr>
          <w:rFonts w:ascii="Cambria" w:hAnsi="Cambria" w:cs="Cambria" w:eastAsia="Cambria"/>
          <w:color w:val="000000"/>
          <w:sz w:val="22"/>
        </w:rPr>
        <w:t xml:space="preserve">         Transmettre à la gestionnaire de votre ED SIE ou CST, </w:t>
      </w:r>
      <w:r>
        <w:rPr>
          <w:rFonts w:ascii="Cambria" w:hAnsi="Cambria" w:cs="Cambria" w:eastAsia="Cambria"/>
          <w:color w:val="000000"/>
          <w:sz w:val="22"/>
          <w:u w:val="single"/>
        </w:rPr>
        <w:t xml:space="preserve">par l’intermédiaire de votre laboratoire:</w:t>
        <w:br/>
      </w:r>
      <w:r>
        <w:rPr>
          <w:rFonts w:ascii="Cambria" w:hAnsi="Cambria" w:cs="Cambria" w:eastAsia="Cambria"/>
          <w:color w:val="000000"/>
          <w:sz w:val="22"/>
        </w:rPr>
        <w:t xml:space="preserve">          ( </w:t>
      </w:r>
      <w:hyperlink r:id="rId70" w:tooltip="mailto:gestionnaire-edsie.ddrv@univ-smb.fr" w:history="1">
        <w:r>
          <w:rPr>
            <w:rStyle w:val="812"/>
            <w:rFonts w:ascii="Cambria" w:hAnsi="Cambria" w:cs="Cambria" w:eastAsia="Cambria"/>
            <w:color w:val="0000FF"/>
            <w:sz w:val="22"/>
            <w:u w:val="single"/>
          </w:rPr>
          <w:t xml:space="preserve">gestionnaire-edsie.ddrv@univ-smb.fr</w:t>
        </w:r>
      </w:hyperlink>
      <w:r>
        <w:rPr>
          <w:rFonts w:ascii="Cambria" w:hAnsi="Cambria" w:cs="Cambria" w:eastAsia="Cambria"/>
          <w:color w:val="000000"/>
          <w:sz w:val="22"/>
        </w:rPr>
        <w:t xml:space="preserve"> / </w:t>
      </w:r>
      <w:hyperlink r:id="rId71" w:tooltip="mailto:gestionnaire-edcst.ddrv@univ-smb.fr" w:history="1">
        <w:r>
          <w:rPr>
            <w:rStyle w:val="812"/>
            <w:rFonts w:ascii="Cambria" w:hAnsi="Cambria" w:cs="Cambria" w:eastAsia="Cambria"/>
            <w:color w:val="0000FF"/>
            <w:sz w:val="22"/>
            <w:u w:val="single"/>
          </w:rPr>
          <w:t xml:space="preserve">gestionnaire-edcst.ddrv@univ-smb.fr</w:t>
        </w:r>
      </w:hyperlink>
      <w:r>
        <w:rPr>
          <w:rFonts w:ascii="Cambria" w:hAnsi="Cambria" w:cs="Cambria" w:eastAsia="Cambria"/>
          <w:color w:val="000000"/>
          <w:sz w:val="22"/>
        </w:rPr>
        <w:t xml:space="preserve">)</w:t>
        <w:br/>
        <w:t xml:space="preserve">         - votre RST signé </w:t>
        <w:br/>
        <w:t xml:space="preserve">         - le procès-verbal du Comité de Suivi Individuel du Doctorant (CSID) </w:t>
        <w:br/>
        <w:t xml:space="preserve">Après réception d’une réponse favorable de votre École Doctorale  (et/ou du Collège doctoral USMB),</w:t>
        <w:br/>
        <w:t xml:space="preserve">      vous pourrez vous </w:t>
      </w:r>
      <w:r>
        <w:rPr>
          <w:rFonts w:ascii="Cambria" w:hAnsi="Cambria" w:cs="Cambria" w:eastAsia="Cambria"/>
          <w:color w:val="000000"/>
          <w:sz w:val="22"/>
          <w:u w:val="single"/>
        </w:rPr>
        <w:t xml:space="preserve">réinscrire administrativement</w:t>
      </w:r>
      <w:r>
        <w:rPr>
          <w:rFonts w:ascii="Cambria" w:hAnsi="Cambria" w:cs="Cambria" w:eastAsia="Cambria"/>
          <w:color w:val="000000"/>
          <w:sz w:val="22"/>
        </w:rPr>
        <w:t xml:space="preserve"> auprès de votre scolarité de site à compter </w:t>
      </w:r>
      <w:r>
        <w:rPr>
          <w:rFonts w:ascii="Cambria" w:hAnsi="Cambria" w:cs="Cambria" w:eastAsia="Cambria"/>
          <w:b/>
          <w:color w:val="000000"/>
          <w:sz w:val="22"/>
        </w:rPr>
        <w:t xml:space="preserve">début Septembre</w:t>
      </w:r>
      <w:r>
        <w:rPr>
          <w:rFonts w:ascii="Cambria" w:hAnsi="Cambria" w:cs="Cambria" w:eastAsia="Cambria"/>
          <w:color w:val="000000"/>
          <w:sz w:val="22"/>
        </w:rPr>
        <w:t xml:space="preserve"> (date à venir).</w:t>
        <w:br/>
        <w:t xml:space="preserve">      Une procédure vous sera alors communiquée par mail. </w:t>
      </w:r>
      <w:r>
        <w:rPr>
          <w:rFonts w:ascii="Cambria" w:hAnsi="Cambria" w:cs="Cambria" w:eastAsia="Cambria"/>
          <w:sz w:val="22"/>
        </w:rPr>
      </w:r>
      <w:r/>
    </w:p>
    <w:p>
      <w:pPr>
        <w:ind w:left="0" w:right="0" w:hanging="36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w:t>
      </w:r>
      <w:r>
        <w:rPr>
          <w:rFonts w:ascii="Cambria" w:hAnsi="Cambria" w:cs="Cambria" w:eastAsia="Cambria"/>
          <w:sz w:val="2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w:t>
      </w:r>
      <w:r>
        <w:rPr>
          <w:rFonts w:ascii="Cambria" w:hAnsi="Cambria" w:cs="Cambria" w:eastAsia="Cambria"/>
          <w:sz w:val="22"/>
        </w:rPr>
      </w:r>
      <w:r/>
    </w:p>
    <w:p>
      <w:pPr>
        <w:ind w:left="0" w:right="0" w:firstLine="0"/>
        <w:jc w:val="left"/>
        <w:spacing w:after="0" w:before="0"/>
        <w:rPr>
          <w:rFonts w:ascii="Cambria" w:hAnsi="Cambria" w:cs="Cambria" w:eastAsia="Cambria"/>
          <w:color w:val="FF0000"/>
          <w:sz w:val="22"/>
        </w:rPr>
        <w:pBdr>
          <w:left w:val="none" w:color="000000" w:sz="4" w:space="0"/>
          <w:top w:val="none" w:color="000000" w:sz="4" w:space="0"/>
          <w:right w:val="none" w:color="000000" w:sz="4" w:space="0"/>
          <w:bottom w:val="none" w:color="000000" w:sz="4" w:space="0"/>
        </w:pBdr>
      </w:pPr>
      <w:r>
        <w:rPr>
          <w:rFonts w:ascii="Cambria" w:hAnsi="Cambria" w:cs="Cambria" w:eastAsia="Cambria"/>
          <w:b/>
          <w:color w:val="FF0000"/>
          <w:sz w:val="22"/>
        </w:rPr>
        <w:t xml:space="preserve">Concerne uniquement les doctorants envisageant une 4ème année et +</w:t>
      </w:r>
      <w:r>
        <w:rPr>
          <w:rFonts w:ascii="Cambria" w:hAnsi="Cambria" w:cs="Cambria" w:eastAsia="Cambria"/>
          <w:color w:val="FF0000"/>
          <w:sz w:val="2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u w:val="single"/>
        </w:rPr>
        <w:t xml:space="preserve">PROCÉDURE DE RÉINSCRIPTION en 4ème année et +</w:t>
      </w:r>
      <w:r>
        <w:rPr>
          <w:rFonts w:ascii="Cambria" w:hAnsi="Cambria" w:cs="Cambria" w:eastAsia="Cambria"/>
          <w:color w:val="000000"/>
          <w:sz w:val="22"/>
          <w:u w:val="none"/>
        </w:rPr>
        <w:t xml:space="preserve"> </w:t>
      </w:r>
      <w:r>
        <w:rPr>
          <w:rFonts w:ascii="Cambria" w:hAnsi="Cambria" w:cs="Cambria" w:eastAsia="Cambria"/>
          <w:color w:val="000000"/>
          <w:sz w:val="22"/>
        </w:rPr>
        <w:t xml:space="preserve">pour 2021-2022</w:t>
      </w:r>
      <w:r>
        <w:rPr>
          <w:rFonts w:ascii="Cambria" w:hAnsi="Cambria" w:cs="Cambria" w:eastAsia="Cambria"/>
          <w:sz w:val="2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r>
      <w:r>
        <w:rPr>
          <w:rFonts w:ascii="Cambria" w:hAnsi="Cambria" w:cs="Cambria" w:eastAsia="Cambria"/>
          <w:sz w:val="22"/>
        </w:rPr>
      </w:r>
      <w:r/>
    </w:p>
    <w:p>
      <w:pPr>
        <w:ind w:left="0" w:right="0" w:firstLine="0"/>
        <w:jc w:val="left"/>
        <w:spacing w:after="0" w:before="0"/>
        <w:rPr>
          <w:rFonts w:ascii="Cambria" w:hAnsi="Cambria" w:cs="Cambria" w:eastAsia="Cambria"/>
          <w:color w:val="000000"/>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a) </w:t>
      </w:r>
      <w:r>
        <w:rPr>
          <w:rFonts w:ascii="Cambria" w:hAnsi="Cambria" w:cs="Cambria" w:eastAsia="Cambria"/>
          <w:b/>
          <w:color w:val="000000"/>
          <w:sz w:val="22"/>
        </w:rPr>
        <w:t xml:space="preserve">vous devez vous connecter</w:t>
      </w:r>
      <w:r>
        <w:rPr>
          <w:rFonts w:ascii="Cambria" w:hAnsi="Cambria" w:cs="Cambria" w:eastAsia="Cambria"/>
          <w:color w:val="000000"/>
          <w:sz w:val="22"/>
        </w:rPr>
        <w:t xml:space="preserve"> à votre compte personnel sur le site de l'ADUM (</w:t>
      </w:r>
      <w:hyperlink r:id="rId72" w:tooltip="https://www.adum.fr/index.pl" w:history="1">
        <w:r>
          <w:rPr>
            <w:rStyle w:val="812"/>
            <w:rFonts w:ascii="Cambria" w:hAnsi="Cambria" w:cs="Cambria" w:eastAsia="Cambria"/>
            <w:color w:val="0000FF"/>
            <w:sz w:val="22"/>
            <w:u w:val="single"/>
          </w:rPr>
          <w:t xml:space="preserve">https://www.adum.fr/index.pl</w:t>
        </w:r>
      </w:hyperlink>
      <w:r>
        <w:rPr>
          <w:rFonts w:ascii="Cambria" w:hAnsi="Cambria" w:cs="Cambria" w:eastAsia="Cambria"/>
          <w:color w:val="000000"/>
          <w:sz w:val="22"/>
        </w:rPr>
        <w:t xml:space="preserve">) </w:t>
        <w:br/>
        <w:t xml:space="preserve">b) </w:t>
      </w:r>
      <w:r>
        <w:rPr>
          <w:rFonts w:ascii="Cambria" w:hAnsi="Cambria" w:cs="Cambria" w:eastAsia="Cambria"/>
          <w:b/>
          <w:color w:val="000000"/>
          <w:sz w:val="22"/>
        </w:rPr>
        <w:t xml:space="preserve">Mettre à jour et/ou compléter</w:t>
      </w:r>
      <w:r>
        <w:rPr>
          <w:rFonts w:ascii="Cambria" w:hAnsi="Cambria" w:cs="Cambria" w:eastAsia="Cambria"/>
          <w:color w:val="000000"/>
          <w:sz w:val="22"/>
        </w:rPr>
        <w:t xml:space="preserve"> attentivement et en détail les onglets :</w:t>
        <w:br/>
        <w:t xml:space="preserve">- Déroulement de la thèse </w:t>
        <w:br/>
        <w:t xml:space="preserve">- Financement </w:t>
        <w:br/>
        <w:t xml:space="preserve">- Suivi de thèse </w:t>
        <w:br/>
        <w:t xml:space="preserve">- Publications </w:t>
        <w:br/>
        <w:t xml:space="preserve">- et les autres onglets.</w:t>
        <w:br/>
        <w:t xml:space="preserve">c) Valider et éditer le</w:t>
      </w:r>
      <w:r>
        <w:rPr>
          <w:rFonts w:ascii="Cambria" w:hAnsi="Cambria" w:cs="Cambria" w:eastAsia="Cambria"/>
          <w:b/>
          <w:color w:val="000000"/>
          <w:sz w:val="22"/>
        </w:rPr>
        <w:t xml:space="preserve"> RAPPORT DE SUIVI DE THÈSE</w:t>
      </w:r>
      <w:r>
        <w:rPr>
          <w:rFonts w:ascii="Cambria" w:hAnsi="Cambria" w:cs="Cambria" w:eastAsia="Cambria"/>
          <w:color w:val="000000"/>
          <w:sz w:val="22"/>
        </w:rPr>
        <w:t xml:space="preserve"> et la demande de dérogation incluse.</w:t>
        <w:br/>
        <w:t xml:space="preserve">Le rapport de suivi de thèse est un document important et à remplir avec soin </w:t>
        <w:br/>
        <w:t xml:space="preserve">- Si des rubriques ne sont pas remplies ou trop succinctes, le Directeur de l’École doctorale ne le signera pas.</w:t>
        <w:br/>
        <w:t xml:space="preserve">Pensez à bien remplir la p</w:t>
      </w:r>
      <w:r>
        <w:rPr>
          <w:rFonts w:ascii="Cambria" w:hAnsi="Cambria" w:cs="Cambria" w:eastAsia="Cambria"/>
          <w:color w:val="000000"/>
          <w:sz w:val="22"/>
        </w:rPr>
        <w:t xml:space="preserve">artie description de l'avancée de thèse. </w:t>
        <w:br/>
        <w:t xml:space="preserve">- Toute modification, ajout ou suppression concernant votre encadrement devra être motivé par votre directeur de thèse dans la partie "commentaire du directeur de thèse". </w:t>
        <w:br/>
        <w:t xml:space="preserve">=&gt;Faire signer par les directeurs de thèse</w:t>
      </w:r>
      <w:r>
        <w:rPr>
          <w:rFonts w:ascii="Cambria" w:hAnsi="Cambria" w:cs="Cambria" w:eastAsia="Cambria"/>
          <w:color w:val="000000"/>
          <w:sz w:val="22"/>
        </w:rPr>
        <w:t xml:space="preserve"> et de laboratoire </w:t>
        <w:br/>
      </w:r>
      <w:r/>
    </w:p>
    <w:p>
      <w:pPr>
        <w:ind w:left="0" w:right="0" w:firstLine="0"/>
        <w:jc w:val="left"/>
        <w:spacing w:after="0" w:before="0"/>
        <w:rPr>
          <w:rFonts w:ascii="Cambria" w:hAnsi="Cambria" w:cs="Cambria" w:eastAsia="Cambria"/>
          <w:color w:val="000000"/>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r>
      <w:r/>
    </w:p>
    <w:p>
      <w:pPr>
        <w:ind w:left="0" w:right="0" w:firstLine="0"/>
        <w:jc w:val="left"/>
        <w:spacing w:after="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d) </w:t>
      </w:r>
      <w:r>
        <w:rPr>
          <w:rFonts w:ascii="Cambria" w:hAnsi="Cambria" w:cs="Cambria" w:eastAsia="Cambria"/>
          <w:b/>
          <w:color w:val="000000"/>
          <w:sz w:val="22"/>
        </w:rPr>
        <w:t xml:space="preserve">Pour les doctorants "USMB - ED SIE / - ED CST" </w:t>
        <w:br/>
      </w:r>
      <w:r>
        <w:rPr>
          <w:rFonts w:ascii="Cambria" w:hAnsi="Cambria" w:cs="Cambria" w:eastAsia="Cambria"/>
          <w:color w:val="000000"/>
          <w:sz w:val="22"/>
        </w:rPr>
        <w:t xml:space="preserve">Avant mi-octobre</w:t>
      </w:r>
      <w:r>
        <w:rPr>
          <w:rFonts w:ascii="Cambria" w:hAnsi="Cambria" w:cs="Cambria" w:eastAsia="Cambria"/>
          <w:b/>
          <w:color w:val="000000"/>
          <w:sz w:val="22"/>
        </w:rPr>
        <w:t xml:space="preserve">,</w:t>
      </w:r>
      <w:r>
        <w:rPr>
          <w:rFonts w:ascii="Cambria" w:hAnsi="Cambria" w:cs="Cambria" w:eastAsia="Cambria"/>
          <w:color w:val="000000"/>
          <w:sz w:val="22"/>
        </w:rPr>
        <w:t xml:space="preserve"> transmettre à la gestionnaire de votre ED SIE ou CST, </w:t>
      </w:r>
      <w:r>
        <w:rPr>
          <w:rFonts w:ascii="Cambria" w:hAnsi="Cambria" w:cs="Cambria" w:eastAsia="Cambria"/>
          <w:color w:val="000000"/>
          <w:sz w:val="22"/>
          <w:u w:val="single"/>
        </w:rPr>
        <w:t xml:space="preserve">par l’intermédiaire du secrétariat du laboratoire</w:t>
      </w:r>
      <w:r>
        <w:rPr>
          <w:rFonts w:ascii="Cambria" w:hAnsi="Cambria" w:cs="Cambria" w:eastAsia="Cambria"/>
          <w:color w:val="000000"/>
          <w:sz w:val="22"/>
          <w:u w:val="none"/>
        </w:rPr>
        <w:t xml:space="preserve"> :</w:t>
      </w:r>
      <w:r>
        <w:rPr>
          <w:rFonts w:ascii="Cambria" w:hAnsi="Cambria" w:cs="Cambria" w:eastAsia="Cambria"/>
          <w:color w:val="000000"/>
          <w:sz w:val="22"/>
          <w:u w:val="single"/>
        </w:rPr>
        <w:br/>
      </w:r>
      <w:r>
        <w:rPr>
          <w:rFonts w:ascii="Cambria" w:hAnsi="Cambria" w:cs="Cambria" w:eastAsia="Cambria"/>
          <w:color w:val="000000"/>
          <w:sz w:val="22"/>
        </w:rPr>
        <w:t xml:space="preserve">( </w:t>
      </w:r>
      <w:hyperlink r:id="rId73" w:tooltip="mailto:gestionnaire-edsie.ddrv@univ-smb.fr" w:history="1">
        <w:r>
          <w:rPr>
            <w:rStyle w:val="812"/>
            <w:rFonts w:ascii="Cambria" w:hAnsi="Cambria" w:cs="Cambria" w:eastAsia="Cambria"/>
            <w:color w:val="0000FF"/>
            <w:sz w:val="22"/>
            <w:u w:val="single"/>
          </w:rPr>
          <w:t xml:space="preserve">gestionnaire-edsie.ddrv@univ-smb.fr</w:t>
        </w:r>
      </w:hyperlink>
      <w:r>
        <w:rPr>
          <w:rFonts w:ascii="Cambria" w:hAnsi="Cambria" w:cs="Cambria" w:eastAsia="Cambria"/>
          <w:color w:val="000000"/>
          <w:sz w:val="22"/>
        </w:rPr>
        <w:t xml:space="preserve"> / </w:t>
      </w:r>
      <w:hyperlink r:id="rId74" w:tooltip="mailto:gestionnaire-edcst.ddrv@univ-smb.fr" w:history="1">
        <w:r>
          <w:rPr>
            <w:rStyle w:val="812"/>
            <w:rFonts w:ascii="Cambria" w:hAnsi="Cambria" w:cs="Cambria" w:eastAsia="Cambria"/>
            <w:color w:val="0000FF"/>
            <w:sz w:val="22"/>
            <w:u w:val="single"/>
          </w:rPr>
          <w:t xml:space="preserve">gestionnaire-edcst.ddrv@univ-smb.fr</w:t>
        </w:r>
      </w:hyperlink>
      <w:r>
        <w:rPr>
          <w:rFonts w:ascii="Cambria" w:hAnsi="Cambria" w:cs="Cambria" w:eastAsia="Cambria"/>
          <w:color w:val="000000"/>
          <w:sz w:val="22"/>
        </w:rPr>
        <w:t xml:space="preserve">)</w:t>
        <w:br/>
        <w:t xml:space="preserve">         - votre RST signé </w:t>
        <w:br/>
        <w:t xml:space="preserve">         - le procès-verbal du Comité de Suivi Individuel du Doctorant (CSID) </w:t>
        <w:br/>
        <w:t xml:space="preserve">         Les dossiers seront ensuite examinés en Conseil d'ED à l'automne</w:t>
        <w:br/>
        <w:t xml:space="preserve"> Après réception d’une réponse favorable de votre École Doctorale  (et/ou</w:t>
      </w:r>
      <w:r>
        <w:rPr>
          <w:rFonts w:ascii="Cambria" w:hAnsi="Cambria" w:cs="Cambria" w:eastAsia="Cambria"/>
          <w:color w:val="000000"/>
          <w:sz w:val="22"/>
        </w:rPr>
        <w:t xml:space="preserve"> du Collège doctoral USMB),</w:t>
        <w:br/>
        <w:t xml:space="preserve">      vous pourrez vous </w:t>
      </w:r>
      <w:r>
        <w:rPr>
          <w:rFonts w:ascii="Cambria" w:hAnsi="Cambria" w:cs="Cambria" w:eastAsia="Cambria"/>
          <w:color w:val="000000"/>
          <w:sz w:val="22"/>
          <w:u w:val="single"/>
        </w:rPr>
        <w:t xml:space="preserve">réinscrire administrativement</w:t>
      </w:r>
      <w:r>
        <w:rPr>
          <w:rFonts w:ascii="Cambria" w:hAnsi="Cambria" w:cs="Cambria" w:eastAsia="Cambria"/>
          <w:color w:val="000000"/>
          <w:sz w:val="22"/>
        </w:rPr>
        <w:t xml:space="preserve"> auprès de votre scolarité de site.</w:t>
        <w:br/>
        <w:t xml:space="preserve">      Une procédure vous sera alors communiquée par mail. </w:t>
      </w:r>
      <w:r>
        <w:rPr>
          <w:rFonts w:ascii="Cambria" w:hAnsi="Cambria" w:cs="Cambria" w:eastAsia="Cambria"/>
          <w:sz w:val="22"/>
        </w:rPr>
      </w:r>
      <w:r/>
    </w:p>
    <w:p>
      <w:pPr>
        <w:ind w:left="0" w:right="0" w:firstLine="0"/>
        <w:jc w:val="left"/>
        <w:spacing w:lineRule="atLeast" w:line="235" w:after="160" w:before="0"/>
        <w:rPr>
          <w:rFonts w:ascii="Cambria" w:hAnsi="Cambria" w:cs="Cambria" w:eastAsia="Cambria"/>
          <w:sz w:val="22"/>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w:t>
      </w:r>
      <w:r>
        <w:rPr>
          <w:sz w:val="40"/>
          <w:highlight w:val="none"/>
          <w:u w:val="single"/>
        </w:rPr>
      </w:r>
      <w:r/>
    </w:p>
    <w:p>
      <w:pPr>
        <w:ind w:left="0" w:right="0" w:firstLine="0"/>
        <w:spacing w:after="16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8"/>
        </w:rPr>
        <w:t xml:space="preserve"> </w:t>
      </w:r>
      <w:r>
        <w:rPr>
          <w:rFonts w:ascii="Cambria" w:hAnsi="Cambria" w:cs="Cambria" w:eastAsia="Cambria"/>
          <w:b/>
          <w:color w:val="000000"/>
          <w:sz w:val="28"/>
          <w:u w:val="single"/>
        </w:rPr>
        <w:t xml:space="preserve">CSID</w:t>
      </w:r>
      <w:r>
        <w:rPr>
          <w:rFonts w:ascii="Cambria" w:hAnsi="Cambria" w:cs="Cambria" w:eastAsia="Cambria"/>
          <w:sz w:val="22"/>
        </w:rPr>
      </w:r>
      <w:r/>
    </w:p>
    <w:p>
      <w:pPr>
        <w:ind w:left="0" w:right="0" w:firstLine="0"/>
        <w:jc w:val="left"/>
        <w:spacing w:after="160" w:before="0"/>
        <w:rPr>
          <w:rFonts w:ascii="Cambria" w:hAnsi="Cambria" w:cs="Cambria" w:eastAsia="Cambria"/>
          <w:color w:val="000000"/>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le </w:t>
      </w:r>
      <w:r>
        <w:rPr>
          <w:rFonts w:ascii="Cambria" w:hAnsi="Cambria" w:cs="Cambria" w:eastAsia="Cambria"/>
          <w:b/>
          <w:color w:val="0000FF"/>
          <w:sz w:val="22"/>
        </w:rPr>
        <w:t xml:space="preserve">CSID </w:t>
      </w:r>
      <w:r>
        <w:rPr>
          <w:rFonts w:ascii="Cambria" w:hAnsi="Cambria" w:cs="Cambria" w:eastAsia="Cambria"/>
          <w:color w:val="000000"/>
          <w:sz w:val="22"/>
        </w:rPr>
        <w:t xml:space="preserve">est obligatoire </w:t>
      </w:r>
      <w:r>
        <w:rPr>
          <w:rFonts w:ascii="Cambria" w:hAnsi="Cambria" w:cs="Cambria" w:eastAsia="Cambria"/>
          <w:b/>
          <w:color w:val="000000"/>
          <w:sz w:val="22"/>
        </w:rPr>
        <w:t xml:space="preserve">chaque année</w:t>
      </w:r>
      <w:r>
        <w:rPr>
          <w:rFonts w:ascii="Cambria" w:hAnsi="Cambria" w:cs="Cambria" w:eastAsia="Cambria"/>
          <w:color w:val="000000"/>
          <w:sz w:val="22"/>
        </w:rPr>
        <w:t xml:space="preserve"> (ie pour réinscription en 2ème et 3ème année selon la demande de l'ED - et 4ème année le cas échéant) --&gt; le CSID est mené en interne au LOCIE par la </w:t>
      </w:r>
      <w:hyperlink r:id="rId75" w:tooltip="https://www.univ-smb.fr/locie/organigramme/" w:history="1">
        <w:r>
          <w:rPr>
            <w:rStyle w:val="812"/>
            <w:rFonts w:ascii="Cambria" w:hAnsi="Cambria" w:cs="Cambria" w:eastAsia="Cambria"/>
            <w:color w:val="0000FF"/>
            <w:sz w:val="22"/>
            <w:u w:val="single"/>
          </w:rPr>
          <w:t xml:space="preserve">cellule doctorants</w:t>
        </w:r>
      </w:hyperlink>
      <w:r>
        <w:rPr>
          <w:rFonts w:ascii="Cambria" w:hAnsi="Cambria" w:cs="Cambria" w:eastAsia="Cambria"/>
          <w:color w:val="000000"/>
          <w:sz w:val="22"/>
        </w:rPr>
        <w:t xml:space="preserve"> : Jean-Patrick Plassiard, Anne-Cécile Grillet et Julien Ramousse vous contacteront rapidement pour proposer des dates d'entretien</w:t>
      </w:r>
      <w:r>
        <w:rPr>
          <w:rFonts w:ascii="Cambria" w:hAnsi="Cambria" w:cs="Cambria" w:eastAsia="Cambria"/>
          <w:color w:val="000000"/>
          <w:sz w:val="22"/>
        </w:rPr>
      </w:r>
      <w:r/>
    </w:p>
    <w:p>
      <w:pPr>
        <w:ind w:left="0" w:right="0" w:firstLine="0"/>
        <w:jc w:val="left"/>
        <w:spacing w:after="160" w:before="0"/>
        <w:rPr>
          <w:rFonts w:ascii="Cambria" w:hAnsi="Cambria" w:cs="Cambria" w:eastAsia="Cambria"/>
          <w:color w:val="000000"/>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r>
      <w:r>
        <w:rPr>
          <w:rFonts w:ascii="Cambria" w:hAnsi="Cambria" w:cs="Cambria" w:eastAsia="Cambria"/>
          <w:color w:val="000000"/>
          <w:sz w:val="22"/>
        </w:rPr>
      </w:r>
      <w:r/>
    </w:p>
    <w:p>
      <w:pPr>
        <w:ind w:left="0" w:right="0" w:firstLine="0"/>
        <w:jc w:val="left"/>
        <w:spacing w:after="160" w:before="0"/>
        <w:rPr>
          <w:rFonts w:ascii="Cambria" w:hAnsi="Cambria" w:cs="Cambria" w:eastAsia="Cambria"/>
          <w:color w:val="000000"/>
        </w:rPr>
        <w:pBdr>
          <w:left w:val="none" w:color="000000" w:sz="4" w:space="0"/>
          <w:top w:val="none" w:color="000000" w:sz="4" w:space="0"/>
          <w:right w:val="none" w:color="000000" w:sz="4" w:space="0"/>
          <w:bottom w:val="none" w:color="000000" w:sz="4" w:space="0"/>
        </w:pBdr>
      </w:pPr>
      <w:r>
        <w:rPr>
          <w:rFonts w:ascii="Cambria" w:hAnsi="Cambria" w:cs="Cambria" w:eastAsia="Cambria"/>
          <w:b/>
          <w:color w:val="000000"/>
          <w:sz w:val="28"/>
          <w:u w:val="single"/>
        </w:rPr>
        <w:t xml:space="preserve">COMITE DE THESE  SCIENTIFIQU</w:t>
      </w:r>
      <w:r>
        <w:rPr>
          <w:rFonts w:ascii="Cambria" w:hAnsi="Cambria" w:cs="Cambria" w:eastAsia="Cambria"/>
          <w:b/>
          <w:color w:val="000000"/>
          <w:sz w:val="28"/>
          <w:u w:val="single"/>
        </w:rPr>
        <w:t xml:space="preserve">E</w:t>
      </w:r>
      <w:r>
        <w:rPr>
          <w:rFonts w:ascii="Cambria" w:hAnsi="Cambria" w:cs="Cambria" w:eastAsia="Cambria"/>
          <w:color w:val="000000"/>
          <w:sz w:val="22"/>
        </w:rPr>
      </w:r>
      <w:r/>
    </w:p>
    <w:p>
      <w:pPr>
        <w:ind w:left="0" w:right="0" w:firstLine="0"/>
        <w:jc w:val="left"/>
        <w:spacing w:after="16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r>
      <w:r>
        <w:rPr>
          <w:rFonts w:ascii="Cambria" w:hAnsi="Cambria" w:cs="Cambria" w:eastAsia="Cambria"/>
          <w:color w:val="000000"/>
          <w:sz w:val="22"/>
        </w:rPr>
        <w:t xml:space="preserve">- le </w:t>
      </w:r>
      <w:r>
        <w:rPr>
          <w:rFonts w:ascii="Cambria" w:hAnsi="Cambria" w:cs="Cambria" w:eastAsia="Cambria"/>
          <w:b/>
          <w:color w:val="0000FF"/>
          <w:sz w:val="22"/>
        </w:rPr>
        <w:t xml:space="preserve">comité de thèse scientifique</w:t>
      </w:r>
      <w:r>
        <w:rPr>
          <w:rFonts w:ascii="Cambria" w:hAnsi="Cambria" w:cs="Cambria" w:eastAsia="Cambria"/>
          <w:color w:val="000000"/>
          <w:sz w:val="22"/>
        </w:rPr>
        <w:t xml:space="preserve"> est obligatoire au LOCIE pour l</w:t>
      </w:r>
      <w:r>
        <w:rPr>
          <w:rFonts w:ascii="Cambria" w:hAnsi="Cambria" w:cs="Cambria" w:eastAsia="Cambria"/>
          <w:b/>
          <w:color w:val="000000"/>
          <w:sz w:val="22"/>
        </w:rPr>
        <w:t xml:space="preserve">'inscription en 2ème année</w:t>
      </w:r>
      <w:r>
        <w:rPr>
          <w:rFonts w:ascii="Cambria" w:hAnsi="Cambria" w:cs="Cambria" w:eastAsia="Cambria"/>
          <w:color w:val="000000"/>
          <w:sz w:val="22"/>
        </w:rPr>
        <w:t xml:space="preserve"> de thèse : pour ce comité de thèse scientifique, il est demandé au doctorant de :</w:t>
      </w:r>
      <w:r>
        <w:rPr>
          <w:rFonts w:ascii="Cambria" w:hAnsi="Cambria" w:cs="Cambria" w:eastAsia="Cambria"/>
          <w:sz w:val="22"/>
        </w:rPr>
      </w:r>
      <w:r/>
    </w:p>
    <w:p>
      <w:pPr>
        <w:ind w:left="0" w:right="0" w:firstLine="0"/>
        <w:jc w:val="left"/>
        <w:spacing w:after="16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 rédiger un 1 rapport bibliographique et d'avancement d'au moins 10 pages, </w:t>
      </w:r>
      <w:r>
        <w:rPr>
          <w:rFonts w:ascii="Cambria" w:hAnsi="Cambria" w:cs="Cambria" w:eastAsia="Cambria"/>
          <w:sz w:val="22"/>
        </w:rPr>
      </w:r>
      <w:r/>
    </w:p>
    <w:p>
      <w:pPr>
        <w:ind w:left="0" w:right="0" w:firstLine="0"/>
        <w:jc w:val="left"/>
        <w:spacing w:after="16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 définir en accord avec se(s) directeur(s) de thèse la composition du comité (avec au moins </w:t>
      </w:r>
      <w:r>
        <w:rPr>
          <w:rFonts w:ascii="Cambria" w:hAnsi="Cambria" w:cs="Cambria" w:eastAsia="Cambria"/>
          <w:b/>
          <w:color w:val="000000"/>
          <w:sz w:val="22"/>
        </w:rPr>
        <w:t xml:space="preserve">1 HDR extérieur à l'USMB et à l'équipe encadrante</w:t>
      </w:r>
      <w:r>
        <w:rPr>
          <w:rFonts w:ascii="Cambria" w:hAnsi="Cambria" w:cs="Cambria" w:eastAsia="Cambria"/>
          <w:color w:val="000000"/>
          <w:sz w:val="22"/>
        </w:rPr>
        <w:t xml:space="preserve">), </w:t>
      </w:r>
      <w:r>
        <w:rPr>
          <w:rFonts w:ascii="Cambria" w:hAnsi="Cambria" w:cs="Cambria" w:eastAsia="Cambria"/>
          <w:sz w:val="22"/>
        </w:rPr>
      </w:r>
      <w:r/>
    </w:p>
    <w:p>
      <w:pPr>
        <w:ind w:left="0" w:right="0" w:firstLine="0"/>
        <w:jc w:val="left"/>
        <w:spacing w:after="16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 transmettre le rapport bibliographique/d'avancement aux membres du comité avec un délai suffisant avant la rencontre du comité, </w:t>
      </w:r>
      <w:r>
        <w:rPr>
          <w:rFonts w:ascii="Cambria" w:hAnsi="Cambria" w:cs="Cambria" w:eastAsia="Cambria"/>
          <w:sz w:val="22"/>
        </w:rPr>
      </w:r>
      <w:r/>
    </w:p>
    <w:p>
      <w:pPr>
        <w:ind w:left="0" w:right="0" w:firstLine="0"/>
        <w:jc w:val="left"/>
        <w:spacing w:after="16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puis le comité de thèse doit se réunir (en présentiel si l'occasion se présente, ou sinon en visio) avec une présentation de 20 à 30 minutes du doctorant + 1 discussion avec les membres du comité, </w:t>
      </w:r>
      <w:r>
        <w:rPr>
          <w:rFonts w:ascii="Cambria" w:hAnsi="Cambria" w:cs="Cambria" w:eastAsia="Cambria"/>
          <w:sz w:val="22"/>
        </w:rPr>
      </w:r>
      <w:r/>
    </w:p>
    <w:p>
      <w:pPr>
        <w:ind w:left="0" w:right="0" w:firstLine="0"/>
        <w:jc w:val="left"/>
        <w:spacing w:after="16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color w:val="000000"/>
          <w:sz w:val="22"/>
        </w:rPr>
        <w:t xml:space="preserve">    le rapport du comité de thèse est à compléter</w:t>
      </w:r>
      <w:r>
        <w:rPr>
          <w:rFonts w:ascii="Cambria" w:hAnsi="Cambria" w:cs="Cambria" w:eastAsia="Cambria"/>
          <w:color w:val="000000"/>
          <w:sz w:val="22"/>
        </w:rPr>
        <w:t xml:space="preserve">. Ce rapport complété et signé devra obligatoirement être transmis au Secrétariat  avec le rapport de suivi de thèse ADUM complété et le rapport du CSID pour signature des documents de réinscription par le Directeur du laboratoire.</w:t>
      </w:r>
      <w:r>
        <w:rPr>
          <w:rFonts w:ascii="Cambria" w:hAnsi="Cambria" w:cs="Cambria" w:eastAsia="Cambria"/>
          <w:sz w:val="22"/>
        </w:rPr>
      </w:r>
      <w:r/>
    </w:p>
    <w:p>
      <w:pPr>
        <w:ind w:left="0" w:right="0" w:firstLine="0"/>
        <w:jc w:val="left"/>
        <w:spacing w:after="0" w:before="0"/>
        <w:rPr>
          <w:rFonts w:ascii="Cambria" w:hAnsi="Cambria" w:cs="Cambria" w:eastAsia="Cambria"/>
        </w:rPr>
        <w:pBdr>
          <w:left w:val="none" w:color="000000" w:sz="4" w:space="0"/>
          <w:top w:val="none" w:color="000000" w:sz="4" w:space="0"/>
          <w:right w:val="none" w:color="000000" w:sz="4" w:space="0"/>
          <w:bottom w:val="none" w:color="000000" w:sz="4" w:space="0"/>
        </w:pBdr>
      </w:pPr>
      <w:r>
        <w:rPr>
          <w:rFonts w:ascii="Cambria" w:hAnsi="Cambria" w:cs="Cambria" w:eastAsia="Cambria"/>
          <w:sz w:val="22"/>
        </w:rPr>
      </w:r>
      <w:r>
        <w:rPr>
          <w:rFonts w:ascii="Cambria" w:hAnsi="Cambria" w:cs="Cambria" w:eastAsia="Cambria"/>
          <w:sz w:val="22"/>
        </w:rPr>
      </w:r>
      <w:r/>
    </w:p>
    <w:p>
      <w:pPr>
        <w:jc w:val="right"/>
        <w:rPr>
          <w:sz w:val="40"/>
          <w:u w:val="single"/>
        </w:rPr>
      </w:pPr>
      <w:r>
        <w:rPr>
          <w:sz w:val="40"/>
          <w:u w:val="single"/>
        </w:rPr>
      </w:r>
      <w:r>
        <w:rPr>
          <w:sz w:val="40"/>
          <w:u w:val="single"/>
        </w:rPr>
      </w:r>
      <w:r/>
    </w:p>
    <w:p>
      <w:pPr>
        <w:jc w:val="left"/>
        <w:rPr>
          <w:sz w:val="40"/>
          <w:u w:val="single"/>
        </w:rPr>
      </w:pPr>
      <w:r>
        <w:rPr>
          <w:sz w:val="40"/>
          <w:u w:val="single"/>
        </w:rPr>
      </w:r>
      <w:r>
        <w:rPr>
          <w:sz w:val="40"/>
          <w:u w:val="single"/>
        </w:rPr>
      </w:r>
      <w:r/>
    </w:p>
    <w:sectPr>
      <w:footnotePr>
        <w:numRestart w:val="eachSect"/>
      </w:footnotePr>
      <w:endnotePr/>
      <w:type w:val="continuous"/>
      <w:pgSz w:w="11906" w:h="16838" w:orient="portrait"/>
      <w:pgMar w:top="1134" w:right="1134" w:bottom="1134" w:left="1559" w:header="709" w:footer="709" w:gutter="0"/>
      <w:pgNumType w:start="1"/>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 w:type="continuationNotice" w:id="1">
    <w:p>
      <w:pPr>
        <w:spacing w:lineRule="auto" w:line="240" w:after="0"/>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titres cs)">
    <w:panose1 w:val="02020603050405020304"/>
  </w:font>
  <w:font w:name="Symbol">
    <w:panose1 w:val="05010000000000000000"/>
  </w:font>
  <w:font w:name="Wingdings">
    <w:panose1 w:val="05010000000000000000"/>
  </w:font>
  <w:font w:name="Courier New">
    <w:panose1 w:val="02070309020205020404"/>
  </w:font>
  <w:font w:name="Calibri">
    <w:panose1 w:val="020F0502020204030204"/>
  </w:font>
  <w:font w:name="Tahoma">
    <w:panose1 w:val="020B0604030504040204"/>
  </w:font>
  <w:font w:name="Times New Roman">
    <w:panose1 w:val="02020603050405020304"/>
  </w:font>
  <w:font w:name="Arial Unicode MS">
    <w:panose1 w:val="020B0604020202020204"/>
  </w:font>
  <w:font w:name="Arial">
    <w:panose1 w:val="020B0604020202020204"/>
  </w:font>
  <w:font w:name="Cambria">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9"/>
    </w:pPr>
    <w:r/>
    <w:r/>
  </w:p>
  <w:p>
    <w:pPr>
      <w:pStyle w:val="829"/>
    </w:pPr>
    <w:r/>
    <w:sdt>
      <w:sdtPr>
        <w:alias w:val="Titre "/>
        <w15:appearance w15:val="boundingBox"/>
        <w:id w:val="-258764181"/>
        <w:placeholder>
          <w:docPart w:val="04D0DAD94DF0492E86BA1609E6356D95"/>
        </w:placeholder>
        <w:tag w:val=""/>
        <w:text/>
        <w:rPr/>
      </w:sdtPr>
      <w:sdtContent>
        <w:r>
          <w:t xml:space="preserve">Livret d’Accueil du LOCIE</w:t>
        </w:r>
      </w:sdtContent>
    </w:sdt>
    <w:r>
      <w:t xml:space="preserve"> – </w:t>
    </w:r>
    <w:sdt>
      <w:sdtPr>
        <w:alias w:val="Version "/>
        <w15:appearance w15:val="boundingBox"/>
        <w:id w:val="1818766677"/>
        <w:placeholder>
          <w:docPart w:val="3BE4D7C961574006897A29EC2658131C"/>
        </w:placeholder>
        <w:tag w:val=""/>
        <w:text/>
        <w:rPr/>
      </w:sdtPr>
      <w:sdtContent>
        <w:r>
          <w:t xml:space="preserve">Version : 1.0</w:t>
        </w:r>
      </w:sdtContent>
    </w:sdt>
    <w:r>
      <w:t xml:space="preserve"> –</w:t>
    </w:r>
    <w:r>
      <w:tab/>
    </w:r>
    <w:r>
      <w:fldChar w:fldCharType="begin"/>
    </w:r>
    <w:r>
      <w:instrText xml:space="preserve">PAGE   \* MERGEFORMAT</w:instrText>
    </w:r>
    <w:r>
      <w:fldChar w:fldCharType="separate"/>
    </w:r>
    <w:r>
      <w:t xml:space="preserve">2</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tabs>
        <w:tab w:val="right" w:pos="9214" w:leader="none"/>
      </w:tabs>
      <w:rPr>
        <w:rStyle w:val="817"/>
      </w:rPr>
    </w:pPr>
    <w:r>
      <w:rPr>
        <w:rStyle w:val="817"/>
      </w:rPr>
      <mc:AlternateContent>
        <mc:Choice Requires="wpg">
          <w:drawing>
            <wp:inline xmlns:wp="http://schemas.openxmlformats.org/drawingml/2006/wordprocessingDrawing" distT="0" distB="0" distL="0" distR="0">
              <wp:extent cx="766800" cy="766800"/>
              <wp:effectExtent l="0" t="0" r="0" b="0"/>
              <wp:docPr id="3" name="Picture 5" descr="Description : C:\Documents and Settings\catherine\Mes documents\tous les logos\Logos CNRS\cnrs ecrit.jpg"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9" name="Picture 5" descr="Description : C:\Documents and Settings\catherine\Mes documents\tous les logos\Logos CNRS\cnrs ecrit.jpg" hidden="0"/>
                      <pic:cNvPicPr>
                        <a:picLocks noChangeAspect="1"/>
                      </pic:cNvPicPr>
                      <pic:nvPr isPhoto="0" userDrawn="0"/>
                    </pic:nvPicPr>
                    <pic:blipFill>
                      <a:blip r:embed="rId1"/>
                      <a:stretch/>
                    </pic:blipFill>
                    <pic:spPr bwMode="auto">
                      <a:xfrm>
                        <a:off x="0" y="0"/>
                        <a:ext cx="766800" cy="76680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mso-wrap-distance-left:0.0pt;mso-wrap-distance-top:0.0pt;mso-wrap-distance-right:0.0pt;mso-wrap-distance-bottom:0.0pt;width:60.4pt;height:60.4pt;">
              <v:path textboxrect="0,0,0,0"/>
              <v:imagedata r:id="rId1" o:title=""/>
            </v:shape>
          </w:pict>
        </mc:Fallback>
      </mc:AlternateContent>
    </w:r>
    <w:r>
      <w:rPr>
        <w:rStyle w:val="817"/>
      </w:rPr>
      <w:tab/>
    </w:r>
    <w:r>
      <mc:AlternateContent>
        <mc:Choice Requires="wpg">
          <w:drawing>
            <wp:inline xmlns:wp="http://schemas.openxmlformats.org/drawingml/2006/wordprocessingDrawing" distT="0" distB="0" distL="0" distR="0">
              <wp:extent cx="2239200" cy="738000"/>
              <wp:effectExtent l="0" t="0" r="8890" b="5080"/>
              <wp:docPr id="4" name="Picture 8" descr="Description : C:\Documents and Settings\catherine\Mes documents\tous les logos\ines.jpg"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0" name="Picture 8" descr="Description : C:\Documents and Settings\catherine\Mes documents\tous les logos\ines.jpg" hidden="0"/>
                      <pic:cNvPicPr>
                        <a:picLocks noChangeAspect="1"/>
                      </pic:cNvPicPr>
                      <pic:nvPr isPhoto="0" userDrawn="0"/>
                    </pic:nvPicPr>
                    <pic:blipFill>
                      <a:blip r:embed="rId2"/>
                      <a:stretch/>
                    </pic:blipFill>
                    <pic:spPr bwMode="auto">
                      <a:xfrm>
                        <a:off x="0" y="0"/>
                        <a:ext cx="2239200" cy="73800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mso-wrap-distance-left:0.0pt;mso-wrap-distance-top:0.0pt;mso-wrap-distance-right:0.0pt;mso-wrap-distance-bottom:0.0pt;width:176.3pt;height:58.1pt;">
              <v:path textboxrect="0,0,0,0"/>
              <v:imagedata r:id="rId2" o:title=""/>
            </v:shape>
          </w:pict>
        </mc:Fallback>
      </mc:AlternateContent>
    </w:r>
    <w:r/>
  </w:p>
  <w:p>
    <w:pPr>
      <w:pStyle w:val="829"/>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 w:type="continuationNotice" w:id="1">
    <w:p>
      <w:pPr>
        <w:spacing w:lineRule="auto" w:line="240" w:after="0"/>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tabs>
        <w:tab w:val="right" w:pos="9214" w:leader="none"/>
      </w:tabs>
    </w:pPr>
    <w:r/>
    <w:r/>
  </w:p>
  <w:p>
    <w:pPr>
      <w:tabs>
        <w:tab w:val="right" w:pos="9214" w:leader="none"/>
      </w:tabs>
    </w:pPr>
    <w:r>
      <mc:AlternateContent>
        <mc:Choice Requires="wpg">
          <w:drawing>
            <wp:inline xmlns:wp="http://schemas.openxmlformats.org/drawingml/2006/wordprocessingDrawing" distT="0" distB="0" distL="0" distR="0">
              <wp:extent cx="2147977" cy="901810"/>
              <wp:effectExtent l="0" t="0" r="5080" b="0"/>
              <wp:docPr id="1" name="Image 29"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7" name="Logo_USMB_impression_CMJN.jpg" hidden="0"/>
                      <pic:cNvPicPr>
                        <a:picLocks noChangeAspect="1"/>
                      </pic:cNvPicPr>
                      <pic:nvPr isPhoto="0" userDrawn="0"/>
                    </pic:nvPicPr>
                    <pic:blipFill>
                      <a:blip r:embed="rId1"/>
                      <a:stretch/>
                    </pic:blipFill>
                    <pic:spPr bwMode="auto">
                      <a:xfrm>
                        <a:off x="0" y="0"/>
                        <a:ext cx="2148545" cy="90204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mso-wrap-distance-left:0.0pt;mso-wrap-distance-top:0.0pt;mso-wrap-distance-right:0.0pt;mso-wrap-distance-bottom:0.0pt;width:169.1pt;height:71.0pt;" stroked="false">
              <v:path textboxrect="0,0,0,0"/>
              <v:imagedata r:id="rId1" o:title=""/>
            </v:shape>
          </w:pict>
        </mc:Fallback>
      </mc:AlternateContent>
    </w:r>
    <w:r>
      <w:tab/>
    </w:r>
    <w:r>
      <mc:AlternateContent>
        <mc:Choice Requires="wpg">
          <w:drawing>
            <wp:inline xmlns:wp="http://schemas.openxmlformats.org/drawingml/2006/wordprocessingDrawing" distT="0" distB="0" distL="0" distR="0">
              <wp:extent cx="2296795" cy="680720"/>
              <wp:effectExtent l="0" t="0" r="8255" b="5080"/>
              <wp:docPr id="2" name="Picture 7" descr="Description : C:\Documents and Settings\catherine\Mes documents\tous les logos\politeck.jpg"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8" name="Picture 7" descr="Description : C:\Documents and Settings\catherine\Mes documents\tous les logos\politeck.jpg" hidden="0"/>
                      <pic:cNvPicPr>
                        <a:picLocks noChangeAspect="1"/>
                      </pic:cNvPicPr>
                      <pic:nvPr isPhoto="0" userDrawn="0"/>
                    </pic:nvPicPr>
                    <pic:blipFill>
                      <a:blip r:embed="rId2"/>
                      <a:stretch/>
                    </pic:blipFill>
                    <pic:spPr bwMode="auto">
                      <a:xfrm>
                        <a:off x="0" y="0"/>
                        <a:ext cx="2296795" cy="6807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mso-wrap-distance-left:0.0pt;mso-wrap-distance-top:0.0pt;mso-wrap-distance-right:0.0pt;mso-wrap-distance-bottom:0.0pt;width:180.8pt;height:53.6pt;">
              <v:path textboxrect="0,0,0,0"/>
              <v:imagedata r:id="rId2" o:title=""/>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492" w:hanging="360"/>
        <w:tabs>
          <w:tab w:val="num" w:pos="1492"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1"/>
      <w:numFmt w:val="decimal"/>
      <w:isLgl w:val="false"/>
      <w:suff w:val="tab"/>
      <w:lvlText w:val="%1."/>
      <w:lvlJc w:val="left"/>
      <w:pPr>
        <w:ind w:left="1209" w:hanging="360"/>
        <w:tabs>
          <w:tab w:val="num" w:pos="1209"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
    <w:multiLevelType w:val="hybridMultilevel"/>
    <w:lvl w:ilvl="0">
      <w:start w:val="1"/>
      <w:numFmt w:val="decimal"/>
      <w:isLgl w:val="false"/>
      <w:suff w:val="tab"/>
      <w:lvlText w:val="%1."/>
      <w:lvlJc w:val="left"/>
      <w:pPr>
        <w:ind w:left="926" w:hanging="360"/>
        <w:tabs>
          <w:tab w:val="num" w:pos="926"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3">
    <w:multiLevelType w:val="hybridMultilevel"/>
    <w:lvl w:ilvl="0">
      <w:start w:val="1"/>
      <w:numFmt w:val="decimal"/>
      <w:isLgl w:val="false"/>
      <w:suff w:val="tab"/>
      <w:lvlText w:val="%1."/>
      <w:lvlJc w:val="left"/>
      <w:pPr>
        <w:ind w:left="643" w:hanging="360"/>
        <w:tabs>
          <w:tab w:val="num" w:pos="643"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4">
    <w:multiLevelType w:val="hybridMultilevel"/>
    <w:lvl w:ilvl="0">
      <w:start w:val="1"/>
      <w:numFmt w:val="bullet"/>
      <w:isLgl w:val="false"/>
      <w:suff w:val="tab"/>
      <w:lvlText w:val=""/>
      <w:lvlJc w:val="left"/>
      <w:pPr>
        <w:ind w:left="1492" w:hanging="360"/>
        <w:tabs>
          <w:tab w:val="num" w:pos="1492"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5">
    <w:multiLevelType w:val="hybridMultilevel"/>
    <w:lvl w:ilvl="0">
      <w:start w:val="1"/>
      <w:numFmt w:val="bullet"/>
      <w:isLgl w:val="false"/>
      <w:suff w:val="tab"/>
      <w:lvlText w:val=""/>
      <w:lvlJc w:val="left"/>
      <w:pPr>
        <w:ind w:left="1209" w:hanging="360"/>
        <w:tabs>
          <w:tab w:val="num" w:pos="1209"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6">
    <w:multiLevelType w:val="hybridMultilevel"/>
    <w:lvl w:ilvl="0">
      <w:start w:val="1"/>
      <w:numFmt w:val="bullet"/>
      <w:isLgl w:val="false"/>
      <w:suff w:val="tab"/>
      <w:lvlText w:val=""/>
      <w:lvlJc w:val="left"/>
      <w:pPr>
        <w:ind w:left="926" w:hanging="360"/>
        <w:tabs>
          <w:tab w:val="num" w:pos="926"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7">
    <w:multiLevelType w:val="hybridMultilevel"/>
    <w:lvl w:ilvl="0">
      <w:start w:val="1"/>
      <w:numFmt w:val="bullet"/>
      <w:pStyle w:val="866"/>
      <w:isLgl w:val="false"/>
      <w:suff w:val="tab"/>
      <w:lvlText w:val=""/>
      <w:lvlJc w:val="left"/>
      <w:pPr>
        <w:ind w:left="643" w:hanging="360"/>
        <w:tabs>
          <w:tab w:val="num" w:pos="643"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8">
    <w:multiLevelType w:val="hybridMultilevel"/>
    <w:lvl w:ilvl="0">
      <w:start w:val="1"/>
      <w:numFmt w:val="decimal"/>
      <w:isLgl w:val="false"/>
      <w:suff w:val="tab"/>
      <w:lvlText w:val="%1."/>
      <w:lvlJc w:val="left"/>
      <w:pPr>
        <w:ind w:left="360" w:hanging="360"/>
        <w:tabs>
          <w:tab w:val="num" w:pos="36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9">
    <w:multiLevelType w:val="hybridMultilevel"/>
    <w:lvl w:ilvl="0">
      <w:start w:val="1"/>
      <w:numFmt w:val="bullet"/>
      <w:pStyle w:val="865"/>
      <w:isLgl w:val="false"/>
      <w:suff w:val="tab"/>
      <w:lvlText w:val=""/>
      <w:lvlJc w:val="left"/>
      <w:pPr>
        <w:ind w:left="360" w:hanging="360"/>
        <w:tabs>
          <w:tab w:val="num"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0">
    <w:multiLevelType w:val="hybridMultilevel"/>
    <w:lvl w:ilvl="0">
      <w:start w:val="1"/>
      <w:numFmt w:val="decimal"/>
      <w:isLgl w:val="false"/>
      <w:suff w:val="tab"/>
      <w:lvlText w:val="%1."/>
      <w:lvlJc w:val="left"/>
      <w:pPr>
        <w:ind w:left="360" w:hanging="360"/>
      </w:pPr>
      <w:rPr>
        <w:rFonts w:hint="default"/>
        <w:b w:val="false"/>
      </w:rPr>
    </w:lvl>
    <w:lvl w:ilvl="1">
      <w:start w:val="1"/>
      <w:numFmt w:val="lowerLetter"/>
      <w:isLgl w:val="false"/>
      <w:suff w:val="tab"/>
      <w:lvlText w:val="%2."/>
      <w:lvlJc w:val="left"/>
      <w:pPr>
        <w:ind w:left="1080" w:hanging="360"/>
      </w:pPr>
    </w:lvl>
    <w:lvl w:ilvl="2">
      <w:start w:val="1"/>
      <w:numFmt w:val="lowerRoman"/>
      <w:isLgl w:val="false"/>
      <w:suff w:val="tab"/>
      <w:lvlText w:val="%3."/>
      <w:lvlJc w:val="right"/>
      <w:pPr>
        <w:ind w:left="1800" w:hanging="180"/>
      </w:pPr>
    </w:lvl>
    <w:lvl w:ilvl="3">
      <w:start w:val="1"/>
      <w:numFmt w:val="decimal"/>
      <w:isLgl w:val="false"/>
      <w:suff w:val="tab"/>
      <w:lvlText w:val="%4."/>
      <w:lvlJc w:val="left"/>
      <w:pPr>
        <w:ind w:left="2520" w:hanging="360"/>
      </w:pPr>
    </w:lvl>
    <w:lvl w:ilvl="4">
      <w:start w:val="1"/>
      <w:numFmt w:val="lowerLetter"/>
      <w:isLgl w:val="false"/>
      <w:suff w:val="tab"/>
      <w:lvlText w:val="%5."/>
      <w:lvlJc w:val="left"/>
      <w:pPr>
        <w:ind w:left="3240" w:hanging="360"/>
      </w:pPr>
    </w:lvl>
    <w:lvl w:ilvl="5">
      <w:start w:val="1"/>
      <w:numFmt w:val="lowerRoman"/>
      <w:isLgl w:val="false"/>
      <w:suff w:val="tab"/>
      <w:lvlText w:val="%6."/>
      <w:lvlJc w:val="right"/>
      <w:pPr>
        <w:ind w:left="3960" w:hanging="180"/>
      </w:pPr>
    </w:lvl>
    <w:lvl w:ilvl="6">
      <w:start w:val="1"/>
      <w:numFmt w:val="decimal"/>
      <w:isLgl w:val="false"/>
      <w:suff w:val="tab"/>
      <w:lvlText w:val="%7."/>
      <w:lvlJc w:val="left"/>
      <w:pPr>
        <w:ind w:left="4680" w:hanging="360"/>
      </w:pPr>
    </w:lvl>
    <w:lvl w:ilvl="7">
      <w:start w:val="1"/>
      <w:numFmt w:val="lowerLetter"/>
      <w:isLgl w:val="false"/>
      <w:suff w:val="tab"/>
      <w:lvlText w:val="%8."/>
      <w:lvlJc w:val="left"/>
      <w:pPr>
        <w:ind w:left="5400" w:hanging="360"/>
      </w:pPr>
    </w:lvl>
    <w:lvl w:ilvl="8">
      <w:start w:val="1"/>
      <w:numFmt w:val="lowerRoman"/>
      <w:isLgl w:val="false"/>
      <w:suff w:val="tab"/>
      <w:lvlText w:val="%9."/>
      <w:lvlJc w:val="right"/>
      <w:pPr>
        <w:ind w:left="6120" w:hanging="180"/>
      </w:pPr>
    </w:lvl>
  </w:abstractNum>
  <w:abstractNum w:abstractNumId="11">
    <w:multiLevelType w:val="hybridMultilevel"/>
    <w:lvl w:ilvl="0">
      <w:start w:val="1"/>
      <w:numFmt w:val="bullet"/>
      <w:isLgl w:val="false"/>
      <w:suff w:val="tab"/>
      <w:lvlText w:val=""/>
      <w:lvlJc w:val="left"/>
      <w:pPr>
        <w:ind w:left="720" w:hanging="360"/>
      </w:pPr>
      <w:rPr>
        <w:rFonts w:ascii="Wingdings" w:hAnsi="Wingdings" w:hint="default"/>
      </w:rPr>
    </w:lvl>
    <w:lvl w:ilvl="1">
      <w:start w:val="1"/>
      <w:numFmt w:val="bullet"/>
      <w:isLgl w:val="false"/>
      <w:suff w:val="tab"/>
      <w:lvlText w:val="o"/>
      <w:lvlJc w:val="left"/>
      <w:pPr>
        <w:ind w:left="1440" w:hanging="360"/>
      </w:pPr>
      <w:rPr>
        <w:rFonts w:ascii="Courier New" w:hAnsi="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2">
    <w:multiLevelType w:val="hybridMultilevel"/>
    <w:lvl w:ilvl="0">
      <w:start w:val="1"/>
      <w:numFmt w:val="bullet"/>
      <w:isLgl w:val="false"/>
      <w:suff w:val="tab"/>
      <w:lvlText w:val="•"/>
      <w:lvlJc w:val="left"/>
      <w:pPr>
        <w:ind w:left="720" w:hanging="360"/>
      </w:pPr>
      <w:rPr>
        <w:rFonts w:ascii="Calibri" w:hAnsi="Calibri" w:cs="Calibri" w:eastAsia="Calibri"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3">
    <w:multiLevelType w:val="hybridMultilevel"/>
    <w:lvl w:ilvl="0">
      <w:start w:val="1"/>
      <w:numFmt w:val="decimal"/>
      <w:isLgl w:val="false"/>
      <w:suff w:val="tab"/>
      <w:lvlText w:val="%1."/>
      <w:lvlJc w:val="left"/>
      <w:pPr>
        <w:ind w:left="360" w:hanging="360"/>
        <w:tabs>
          <w:tab w:val="num" w:pos="360" w:leader="none"/>
        </w:tabs>
      </w:pPr>
    </w:lvl>
    <w:lvl w:ilvl="1">
      <w:start w:val="1"/>
      <w:numFmt w:val="decimal"/>
      <w:isLgl w:val="false"/>
      <w:suff w:val="tab"/>
      <w:lvlText w:val="%1.%2."/>
      <w:lvlJc w:val="left"/>
      <w:pPr>
        <w:ind w:left="716" w:hanging="432"/>
        <w:tabs>
          <w:tab w:val="num" w:pos="1004" w:leader="none"/>
        </w:tabs>
      </w:pPr>
    </w:lvl>
    <w:lvl w:ilvl="2">
      <w:start w:val="1"/>
      <w:numFmt w:val="decimal"/>
      <w:isLgl w:val="false"/>
      <w:suff w:val="tab"/>
      <w:lvlText w:val="%1.%2.%3."/>
      <w:lvlJc w:val="left"/>
      <w:pPr>
        <w:ind w:left="1224" w:hanging="504"/>
        <w:tabs>
          <w:tab w:val="num" w:pos="1800" w:leader="none"/>
        </w:tabs>
      </w:pPr>
    </w:lvl>
    <w:lvl w:ilvl="3">
      <w:start w:val="1"/>
      <w:numFmt w:val="decimal"/>
      <w:isLgl w:val="false"/>
      <w:suff w:val="tab"/>
      <w:lvlText w:val="%1.%2.%3.%4."/>
      <w:lvlJc w:val="left"/>
      <w:pPr>
        <w:ind w:left="1728" w:hanging="648"/>
        <w:tabs>
          <w:tab w:val="num" w:pos="2160" w:leader="none"/>
        </w:tabs>
      </w:pPr>
    </w:lvl>
    <w:lvl w:ilvl="4">
      <w:start w:val="1"/>
      <w:numFmt w:val="decimal"/>
      <w:isLgl w:val="false"/>
      <w:suff w:val="tab"/>
      <w:lvlText w:val="%1.%2.%3.%4.%5."/>
      <w:lvlJc w:val="left"/>
      <w:pPr>
        <w:ind w:left="2232" w:hanging="792"/>
        <w:tabs>
          <w:tab w:val="num" w:pos="2880" w:leader="none"/>
        </w:tabs>
      </w:pPr>
    </w:lvl>
    <w:lvl w:ilvl="5">
      <w:start w:val="1"/>
      <w:numFmt w:val="decimal"/>
      <w:isLgl w:val="false"/>
      <w:suff w:val="tab"/>
      <w:lvlText w:val="%1.%2.%3.%4.%5.%6."/>
      <w:lvlJc w:val="left"/>
      <w:pPr>
        <w:ind w:left="2736" w:hanging="936"/>
        <w:tabs>
          <w:tab w:val="num" w:pos="3600" w:leader="none"/>
        </w:tabs>
      </w:pPr>
    </w:lvl>
    <w:lvl w:ilvl="6">
      <w:start w:val="1"/>
      <w:numFmt w:val="decimal"/>
      <w:isLgl w:val="false"/>
      <w:suff w:val="tab"/>
      <w:lvlText w:val="%1.%2.%3.%4.%5.%6.%7."/>
      <w:lvlJc w:val="left"/>
      <w:pPr>
        <w:ind w:left="3240" w:hanging="1080"/>
        <w:tabs>
          <w:tab w:val="num" w:pos="4320" w:leader="none"/>
        </w:tabs>
      </w:pPr>
    </w:lvl>
    <w:lvl w:ilvl="7">
      <w:start w:val="1"/>
      <w:numFmt w:val="decimal"/>
      <w:isLgl w:val="false"/>
      <w:suff w:val="tab"/>
      <w:lvlText w:val="%1.%2.%3.%4.%5.%6.%7.%8."/>
      <w:lvlJc w:val="left"/>
      <w:pPr>
        <w:ind w:left="3744" w:hanging="1224"/>
        <w:tabs>
          <w:tab w:val="num" w:pos="4680" w:leader="none"/>
        </w:tabs>
      </w:pPr>
    </w:lvl>
    <w:lvl w:ilvl="8">
      <w:start w:val="1"/>
      <w:numFmt w:val="decimal"/>
      <w:isLgl w:val="false"/>
      <w:suff w:val="tab"/>
      <w:lvlText w:val="%1.%2.%3.%4.%5.%6.%7.%8.%9."/>
      <w:lvlJc w:val="left"/>
      <w:pPr>
        <w:ind w:left="4320" w:hanging="1440"/>
        <w:tabs>
          <w:tab w:val="num" w:pos="5400" w:leader="none"/>
        </w:tabs>
      </w:pPr>
    </w:lvl>
  </w:abstractNum>
  <w:abstractNum w:abstractNumId="14">
    <w:multiLevelType w:val="hybridMultilevel"/>
    <w:lvl w:ilvl="0">
      <w:start w:val="1"/>
      <w:numFmt w:val="bullet"/>
      <w:isLgl w:val="false"/>
      <w:suff w:val="tab"/>
      <w:lvlText w:val=""/>
      <w:lvlJc w:val="left"/>
      <w:pPr>
        <w:ind w:left="720" w:hanging="360"/>
      </w:pPr>
      <w:rPr>
        <w:rFonts w:ascii="Symbol" w:hAnsi="Symbol" w:hint="default"/>
      </w:rPr>
    </w:lvl>
    <w:lvl w:ilvl="1">
      <w:start w:val="1"/>
      <w:numFmt w:val="bullet"/>
      <w:isLgl w:val="false"/>
      <w:suff w:val="tab"/>
      <w:lvlText w:val="o"/>
      <w:lvlJc w:val="left"/>
      <w:pPr>
        <w:ind w:left="1440" w:hanging="360"/>
      </w:pPr>
      <w:rPr>
        <w:rFonts w:ascii="Courier New" w:hAnsi="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5">
    <w:multiLevelType w:val="hybridMultilevel"/>
    <w:lvl w:ilvl="0">
      <w:start w:val="1"/>
      <w:numFmt w:val="bullet"/>
      <w:isLgl w:val="false"/>
      <w:suff w:val="tab"/>
      <w:lvlText w:val="-"/>
      <w:lvlJc w:val="left"/>
      <w:pPr>
        <w:ind w:left="2121" w:hanging="705"/>
        <w:tabs>
          <w:tab w:val="num" w:pos="2121" w:leader="none"/>
        </w:tabs>
      </w:pPr>
      <w:rPr>
        <w:rFonts w:ascii="Arial" w:hAnsi="Arial" w:cs="Arial" w:eastAsia="Times New Roman" w:hint="default"/>
      </w:rPr>
    </w:lvl>
    <w:lvl w:ilvl="1">
      <w:start w:val="1"/>
      <w:numFmt w:val="bullet"/>
      <w:isLgl w:val="false"/>
      <w:suff w:val="tab"/>
      <w:lvlText w:val="o"/>
      <w:lvlJc w:val="left"/>
      <w:pPr>
        <w:ind w:left="2496" w:hanging="360"/>
        <w:tabs>
          <w:tab w:val="num" w:pos="2496" w:leader="none"/>
        </w:tabs>
      </w:pPr>
      <w:rPr>
        <w:rFonts w:ascii="Courier New" w:hAnsi="Courier New" w:hint="default"/>
      </w:rPr>
    </w:lvl>
    <w:lvl w:ilvl="2">
      <w:start w:val="1"/>
      <w:numFmt w:val="bullet"/>
      <w:isLgl w:val="false"/>
      <w:suff w:val="tab"/>
      <w:lvlText w:val=""/>
      <w:lvlJc w:val="left"/>
      <w:pPr>
        <w:ind w:left="3216" w:hanging="360"/>
        <w:tabs>
          <w:tab w:val="num" w:pos="3216" w:leader="none"/>
        </w:tabs>
      </w:pPr>
      <w:rPr>
        <w:rFonts w:ascii="Wingdings" w:hAnsi="Wingdings" w:hint="default"/>
      </w:rPr>
    </w:lvl>
    <w:lvl w:ilvl="3">
      <w:start w:val="1"/>
      <w:numFmt w:val="bullet"/>
      <w:isLgl w:val="false"/>
      <w:suff w:val="tab"/>
      <w:lvlText w:val=""/>
      <w:lvlJc w:val="left"/>
      <w:pPr>
        <w:ind w:left="3936" w:hanging="360"/>
        <w:tabs>
          <w:tab w:val="num" w:pos="3936" w:leader="none"/>
        </w:tabs>
      </w:pPr>
      <w:rPr>
        <w:rFonts w:ascii="Symbol" w:hAnsi="Symbol" w:hint="default"/>
      </w:rPr>
    </w:lvl>
    <w:lvl w:ilvl="4">
      <w:start w:val="1"/>
      <w:numFmt w:val="bullet"/>
      <w:isLgl w:val="false"/>
      <w:suff w:val="tab"/>
      <w:lvlText w:val="o"/>
      <w:lvlJc w:val="left"/>
      <w:pPr>
        <w:ind w:left="4656" w:hanging="360"/>
        <w:tabs>
          <w:tab w:val="num" w:pos="4656" w:leader="none"/>
        </w:tabs>
      </w:pPr>
      <w:rPr>
        <w:rFonts w:ascii="Courier New" w:hAnsi="Courier New" w:hint="default"/>
      </w:rPr>
    </w:lvl>
    <w:lvl w:ilvl="5">
      <w:start w:val="1"/>
      <w:numFmt w:val="bullet"/>
      <w:isLgl w:val="false"/>
      <w:suff w:val="tab"/>
      <w:lvlText w:val=""/>
      <w:lvlJc w:val="left"/>
      <w:pPr>
        <w:ind w:left="5376" w:hanging="360"/>
        <w:tabs>
          <w:tab w:val="num" w:pos="5376" w:leader="none"/>
        </w:tabs>
      </w:pPr>
      <w:rPr>
        <w:rFonts w:ascii="Wingdings" w:hAnsi="Wingdings" w:hint="default"/>
      </w:rPr>
    </w:lvl>
    <w:lvl w:ilvl="6">
      <w:start w:val="1"/>
      <w:numFmt w:val="bullet"/>
      <w:isLgl w:val="false"/>
      <w:suff w:val="tab"/>
      <w:lvlText w:val=""/>
      <w:lvlJc w:val="left"/>
      <w:pPr>
        <w:ind w:left="6096" w:hanging="360"/>
        <w:tabs>
          <w:tab w:val="num" w:pos="6096" w:leader="none"/>
        </w:tabs>
      </w:pPr>
      <w:rPr>
        <w:rFonts w:ascii="Symbol" w:hAnsi="Symbol" w:hint="default"/>
      </w:rPr>
    </w:lvl>
    <w:lvl w:ilvl="7">
      <w:start w:val="1"/>
      <w:numFmt w:val="bullet"/>
      <w:isLgl w:val="false"/>
      <w:suff w:val="tab"/>
      <w:lvlText w:val="o"/>
      <w:lvlJc w:val="left"/>
      <w:pPr>
        <w:ind w:left="6816" w:hanging="360"/>
        <w:tabs>
          <w:tab w:val="num" w:pos="6816" w:leader="none"/>
        </w:tabs>
      </w:pPr>
      <w:rPr>
        <w:rFonts w:ascii="Courier New" w:hAnsi="Courier New" w:hint="default"/>
      </w:rPr>
    </w:lvl>
    <w:lvl w:ilvl="8">
      <w:start w:val="1"/>
      <w:numFmt w:val="bullet"/>
      <w:isLgl w:val="false"/>
      <w:suff w:val="tab"/>
      <w:lvlText w:val=""/>
      <w:lvlJc w:val="left"/>
      <w:pPr>
        <w:ind w:left="7536" w:hanging="360"/>
        <w:tabs>
          <w:tab w:val="num" w:pos="7536" w:leader="none"/>
        </w:tabs>
      </w:pPr>
      <w:rPr>
        <w:rFonts w:ascii="Wingdings" w:hAnsi="Wingdings" w:hint="default"/>
      </w:rPr>
    </w:lvl>
  </w:abstractNum>
  <w:abstractNum w:abstractNumId="16">
    <w:multiLevelType w:val="hybridMultilevel"/>
    <w:lvl w:ilvl="0">
      <w:start w:val="1"/>
      <w:numFmt w:val="bullet"/>
      <w:isLgl w:val="false"/>
      <w:suff w:val="tab"/>
      <w:lvlText w:val=""/>
      <w:lvlJc w:val="left"/>
      <w:pPr>
        <w:ind w:left="720" w:hanging="360"/>
      </w:pPr>
      <w:rPr>
        <w:rFonts w:ascii="Symbol" w:hAnsi="Symbol"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7">
    <w:multiLevelType w:val="hybridMultilevel"/>
    <w:lvl w:ilvl="0">
      <w:start w:val="1"/>
      <w:numFmt w:val="upperRoman"/>
      <w:isLgl w:val="false"/>
      <w:suff w:val="tab"/>
      <w:lvlText w:val="%1."/>
      <w:lvlJc w:val="righ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8">
    <w:multiLevelType w:val="hybridMultilevel"/>
    <w:lvl w:ilvl="0">
      <w:start w:val="1"/>
      <w:numFmt w:val="decimal"/>
      <w:pStyle w:val="859"/>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9">
    <w:multiLevelType w:val="hybridMultilevel"/>
    <w:lvl w:ilvl="0">
      <w:start w:val="1"/>
      <w:numFmt w:val="bullet"/>
      <w:isLgl w:val="false"/>
      <w:suff w:val="tab"/>
      <w:lvlText w:val=""/>
      <w:lvlJc w:val="left"/>
      <w:pPr>
        <w:ind w:left="720" w:hanging="360"/>
      </w:pPr>
      <w:rPr>
        <w:rFonts w:ascii="Symbol" w:hAnsi="Symbol"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2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1">
    <w:multiLevelType w:val="hybridMultilevel"/>
    <w:lvl w:ilvl="0">
      <w:start w:val="1"/>
      <w:numFmt w:val="bullet"/>
      <w:isLgl w:val="false"/>
      <w:suff w:val="tab"/>
      <w:lvlText w:val="•"/>
      <w:lvlJc w:val="left"/>
      <w:pPr>
        <w:ind w:left="720" w:hanging="360"/>
      </w:pPr>
      <w:rPr>
        <w:rFonts w:ascii="Calibri" w:hAnsi="Calibri" w:cs="Calibri" w:eastAsia="Calibri"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22">
    <w:multiLevelType w:val="hybridMultilevel"/>
    <w:lvl w:ilvl="0">
      <w:start w:val="68"/>
      <w:numFmt w:val="bullet"/>
      <w:isLgl w:val="false"/>
      <w:suff w:val="tab"/>
      <w:lvlText w:val="-"/>
      <w:lvlJc w:val="left"/>
      <w:pPr>
        <w:ind w:left="1080" w:hanging="360"/>
      </w:pPr>
      <w:rPr>
        <w:rFonts w:ascii="Cambria" w:hAnsi="Cambria" w:cs="Cambria" w:eastAsia="Cambria" w:hint="default"/>
      </w:rPr>
    </w:lvl>
    <w:lvl w:ilvl="1">
      <w:start w:val="1"/>
      <w:numFmt w:val="bullet"/>
      <w:isLgl w:val="false"/>
      <w:suff w:val="tab"/>
      <w:lvlText w:val="o"/>
      <w:lvlJc w:val="left"/>
      <w:pPr>
        <w:ind w:left="1800" w:hanging="360"/>
      </w:pPr>
      <w:rPr>
        <w:rFonts w:ascii="Courier New" w:hAnsi="Courier New" w:cs="Courier New" w:hint="default"/>
      </w:rPr>
    </w:lvl>
    <w:lvl w:ilvl="2">
      <w:start w:val="1"/>
      <w:numFmt w:val="bullet"/>
      <w:isLgl w:val="false"/>
      <w:suff w:val="tab"/>
      <w:lvlText w:val=""/>
      <w:lvlJc w:val="left"/>
      <w:pPr>
        <w:ind w:left="2520" w:hanging="360"/>
      </w:pPr>
      <w:rPr>
        <w:rFonts w:ascii="Wingdings" w:hAnsi="Wingdings" w:hint="default"/>
      </w:rPr>
    </w:lvl>
    <w:lvl w:ilvl="3">
      <w:start w:val="1"/>
      <w:numFmt w:val="bullet"/>
      <w:isLgl w:val="false"/>
      <w:suff w:val="tab"/>
      <w:lvlText w:val=""/>
      <w:lvlJc w:val="left"/>
      <w:pPr>
        <w:ind w:left="3240" w:hanging="360"/>
      </w:pPr>
      <w:rPr>
        <w:rFonts w:ascii="Symbol" w:hAnsi="Symbol" w:hint="default"/>
      </w:rPr>
    </w:lvl>
    <w:lvl w:ilvl="4">
      <w:start w:val="1"/>
      <w:numFmt w:val="bullet"/>
      <w:isLgl w:val="false"/>
      <w:suff w:val="tab"/>
      <w:lvlText w:val="o"/>
      <w:lvlJc w:val="left"/>
      <w:pPr>
        <w:ind w:left="3960" w:hanging="360"/>
      </w:pPr>
      <w:rPr>
        <w:rFonts w:ascii="Courier New" w:hAnsi="Courier New" w:cs="Courier New" w:hint="default"/>
      </w:rPr>
    </w:lvl>
    <w:lvl w:ilvl="5">
      <w:start w:val="1"/>
      <w:numFmt w:val="bullet"/>
      <w:isLgl w:val="false"/>
      <w:suff w:val="tab"/>
      <w:lvlText w:val=""/>
      <w:lvlJc w:val="left"/>
      <w:pPr>
        <w:ind w:left="4680" w:hanging="360"/>
      </w:pPr>
      <w:rPr>
        <w:rFonts w:ascii="Wingdings" w:hAnsi="Wingdings" w:hint="default"/>
      </w:rPr>
    </w:lvl>
    <w:lvl w:ilvl="6">
      <w:start w:val="1"/>
      <w:numFmt w:val="bullet"/>
      <w:isLgl w:val="false"/>
      <w:suff w:val="tab"/>
      <w:lvlText w:val=""/>
      <w:lvlJc w:val="left"/>
      <w:pPr>
        <w:ind w:left="5400" w:hanging="360"/>
      </w:pPr>
      <w:rPr>
        <w:rFonts w:ascii="Symbol" w:hAnsi="Symbol" w:hint="default"/>
      </w:rPr>
    </w:lvl>
    <w:lvl w:ilvl="7">
      <w:start w:val="1"/>
      <w:numFmt w:val="bullet"/>
      <w:isLgl w:val="false"/>
      <w:suff w:val="tab"/>
      <w:lvlText w:val="o"/>
      <w:lvlJc w:val="left"/>
      <w:pPr>
        <w:ind w:left="6120" w:hanging="360"/>
      </w:pPr>
      <w:rPr>
        <w:rFonts w:ascii="Courier New" w:hAnsi="Courier New" w:cs="Courier New" w:hint="default"/>
      </w:rPr>
    </w:lvl>
    <w:lvl w:ilvl="8">
      <w:start w:val="1"/>
      <w:numFmt w:val="bullet"/>
      <w:isLgl w:val="false"/>
      <w:suff w:val="tab"/>
      <w:lvlText w:val=""/>
      <w:lvlJc w:val="left"/>
      <w:pPr>
        <w:ind w:left="6840" w:hanging="360"/>
      </w:pPr>
      <w:rPr>
        <w:rFonts w:ascii="Wingdings" w:hAnsi="Wingdings" w:hint="default"/>
      </w:rPr>
    </w:lvl>
  </w:abstractNum>
  <w:abstractNum w:abstractNumId="23">
    <w:multiLevelType w:val="hybridMultilevel"/>
    <w:lvl w:ilvl="0">
      <w:start w:val="1"/>
      <w:numFmt w:val="bullet"/>
      <w:isLgl w:val="false"/>
      <w:suff w:val="tab"/>
      <w:lvlText w:val=""/>
      <w:lvlJc w:val="left"/>
      <w:pPr>
        <w:ind w:left="720" w:hanging="360"/>
        <w:tabs>
          <w:tab w:val="num" w:pos="720" w:leader="none"/>
        </w:tabs>
      </w:pPr>
      <w:rPr>
        <w:rFonts w:ascii="Symbol" w:hAnsi="Symbol" w:hint="default"/>
        <w:sz w:val="20"/>
      </w:rPr>
    </w:lvl>
    <w:lvl w:ilvl="1">
      <w:start w:val="1"/>
      <w:numFmt w:val="bullet"/>
      <w:isLgl w:val="false"/>
      <w:suff w:val="tab"/>
      <w:lvlText w:val="o"/>
      <w:lvlJc w:val="left"/>
      <w:pPr>
        <w:ind w:left="1440" w:hanging="360"/>
        <w:tabs>
          <w:tab w:val="num" w:pos="1440" w:leader="none"/>
        </w:tabs>
      </w:pPr>
      <w:rPr>
        <w:rFonts w:ascii="Courier New" w:hAnsi="Courier New" w:hint="default"/>
        <w:sz w:val="20"/>
      </w:rPr>
    </w:lvl>
    <w:lvl w:ilvl="2">
      <w:start w:val="1"/>
      <w:numFmt w:val="bullet"/>
      <w:isLgl w:val="false"/>
      <w:suff w:val="tab"/>
      <w:lvlText w:val=""/>
      <w:lvlJc w:val="left"/>
      <w:pPr>
        <w:ind w:left="2160" w:hanging="360"/>
        <w:tabs>
          <w:tab w:val="num" w:pos="2160" w:leader="none"/>
        </w:tabs>
      </w:pPr>
      <w:rPr>
        <w:rFonts w:ascii="Wingdings" w:hAnsi="Wingdings" w:hint="default"/>
        <w:sz w:val="20"/>
      </w:rPr>
    </w:lvl>
    <w:lvl w:ilvl="3">
      <w:start w:val="1"/>
      <w:numFmt w:val="bullet"/>
      <w:isLgl w:val="false"/>
      <w:suff w:val="tab"/>
      <w:lvlText w:val=""/>
      <w:lvlJc w:val="left"/>
      <w:pPr>
        <w:ind w:left="2880" w:hanging="360"/>
        <w:tabs>
          <w:tab w:val="num" w:pos="2880" w:leader="none"/>
        </w:tabs>
      </w:pPr>
      <w:rPr>
        <w:rFonts w:ascii="Wingdings" w:hAnsi="Wingdings" w:hint="default"/>
        <w:sz w:val="20"/>
      </w:rPr>
    </w:lvl>
    <w:lvl w:ilvl="4">
      <w:start w:val="1"/>
      <w:numFmt w:val="bullet"/>
      <w:isLgl w:val="false"/>
      <w:suff w:val="tab"/>
      <w:lvlText w:val=""/>
      <w:lvlJc w:val="left"/>
      <w:pPr>
        <w:ind w:left="3600" w:hanging="360"/>
        <w:tabs>
          <w:tab w:val="num" w:pos="3600" w:leader="none"/>
        </w:tabs>
      </w:pPr>
      <w:rPr>
        <w:rFonts w:ascii="Wingdings" w:hAnsi="Wingdings" w:hint="default"/>
        <w:sz w:val="20"/>
      </w:rPr>
    </w:lvl>
    <w:lvl w:ilvl="5">
      <w:start w:val="1"/>
      <w:numFmt w:val="bullet"/>
      <w:isLgl w:val="false"/>
      <w:suff w:val="tab"/>
      <w:lvlText w:val=""/>
      <w:lvlJc w:val="left"/>
      <w:pPr>
        <w:ind w:left="4320" w:hanging="360"/>
        <w:tabs>
          <w:tab w:val="num" w:pos="4320" w:leader="none"/>
        </w:tabs>
      </w:pPr>
      <w:rPr>
        <w:rFonts w:ascii="Wingdings" w:hAnsi="Wingdings" w:hint="default"/>
        <w:sz w:val="20"/>
      </w:rPr>
    </w:lvl>
    <w:lvl w:ilvl="6">
      <w:start w:val="1"/>
      <w:numFmt w:val="bullet"/>
      <w:isLgl w:val="false"/>
      <w:suff w:val="tab"/>
      <w:lvlText w:val=""/>
      <w:lvlJc w:val="left"/>
      <w:pPr>
        <w:ind w:left="5040" w:hanging="360"/>
        <w:tabs>
          <w:tab w:val="num" w:pos="5040" w:leader="none"/>
        </w:tabs>
      </w:pPr>
      <w:rPr>
        <w:rFonts w:ascii="Wingdings" w:hAnsi="Wingdings" w:hint="default"/>
        <w:sz w:val="20"/>
      </w:rPr>
    </w:lvl>
    <w:lvl w:ilvl="7">
      <w:start w:val="1"/>
      <w:numFmt w:val="bullet"/>
      <w:isLgl w:val="false"/>
      <w:suff w:val="tab"/>
      <w:lvlText w:val=""/>
      <w:lvlJc w:val="left"/>
      <w:pPr>
        <w:ind w:left="5760" w:hanging="360"/>
        <w:tabs>
          <w:tab w:val="num" w:pos="5760" w:leader="none"/>
        </w:tabs>
      </w:pPr>
      <w:rPr>
        <w:rFonts w:ascii="Wingdings" w:hAnsi="Wingdings" w:hint="default"/>
        <w:sz w:val="20"/>
      </w:rPr>
    </w:lvl>
    <w:lvl w:ilvl="8">
      <w:start w:val="1"/>
      <w:numFmt w:val="bullet"/>
      <w:isLgl w:val="false"/>
      <w:suff w:val="tab"/>
      <w:lvlText w:val=""/>
      <w:lvlJc w:val="left"/>
      <w:pPr>
        <w:ind w:left="6480" w:hanging="360"/>
        <w:tabs>
          <w:tab w:val="num" w:pos="6480" w:leader="none"/>
        </w:tabs>
      </w:pPr>
      <w:rPr>
        <w:rFonts w:ascii="Wingdings" w:hAnsi="Wingdings" w:hint="default"/>
        <w:sz w:val="20"/>
      </w:rPr>
    </w:lvl>
  </w:abstractNum>
  <w:abstractNum w:abstractNumId="24">
    <w:multiLevelType w:val="hybridMultilevel"/>
    <w:lvl w:ilvl="0">
      <w:start w:val="13"/>
      <w:numFmt w:val="bullet"/>
      <w:isLgl w:val="false"/>
      <w:suff w:val="tab"/>
      <w:lvlText w:val="–"/>
      <w:lvlJc w:val="left"/>
      <w:pPr>
        <w:ind w:left="720" w:hanging="360"/>
      </w:pPr>
      <w:rPr>
        <w:rFonts w:ascii="Cambria" w:hAnsi="Cambria" w:cs="Cambria" w:eastAsia="Cambria"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25">
    <w:multiLevelType w:val="hybridMultilevel"/>
    <w:lvl w:ilvl="0">
      <w:start w:val="1"/>
      <w:numFmt w:val="bullet"/>
      <w:isLgl w:val="false"/>
      <w:suff w:val="tab"/>
      <w:lvlText w:val="·"/>
      <w:lvlJc w:val="left"/>
      <w:pPr>
        <w:ind w:left="1428" w:hanging="360"/>
      </w:pPr>
      <w:rPr>
        <w:rFonts w:ascii="Symbol" w:hAnsi="Symbol" w:cs="Symbol" w:eastAsia="Symbol"/>
      </w:rPr>
    </w:lvl>
    <w:lvl w:ilvl="1">
      <w:start w:val="1"/>
      <w:numFmt w:val="bullet"/>
      <w:isLgl w:val="false"/>
      <w:suff w:val="tab"/>
      <w:lvlText w:val="o"/>
      <w:lvlJc w:val="left"/>
      <w:pPr>
        <w:ind w:left="2148" w:hanging="360"/>
      </w:pPr>
      <w:rPr>
        <w:rFonts w:ascii="Courier New" w:hAnsi="Courier New" w:cs="Courier New" w:eastAsia="Courier New"/>
      </w:rPr>
    </w:lvl>
    <w:lvl w:ilvl="2">
      <w:start w:val="1"/>
      <w:numFmt w:val="bullet"/>
      <w:isLgl w:val="false"/>
      <w:suff w:val="tab"/>
      <w:lvlText w:val="§"/>
      <w:lvlJc w:val="left"/>
      <w:pPr>
        <w:ind w:left="2868" w:hanging="360"/>
      </w:pPr>
      <w:rPr>
        <w:rFonts w:ascii="Wingdings" w:hAnsi="Wingdings" w:cs="Wingdings" w:eastAsia="Wingdings"/>
      </w:rPr>
    </w:lvl>
    <w:lvl w:ilvl="3">
      <w:start w:val="1"/>
      <w:numFmt w:val="bullet"/>
      <w:isLgl w:val="false"/>
      <w:suff w:val="tab"/>
      <w:lvlText w:val="·"/>
      <w:lvlJc w:val="left"/>
      <w:pPr>
        <w:ind w:left="3588" w:hanging="360"/>
      </w:pPr>
      <w:rPr>
        <w:rFonts w:ascii="Symbol" w:hAnsi="Symbol" w:cs="Symbol" w:eastAsia="Symbol"/>
      </w:rPr>
    </w:lvl>
    <w:lvl w:ilvl="4">
      <w:start w:val="1"/>
      <w:numFmt w:val="bullet"/>
      <w:isLgl w:val="false"/>
      <w:suff w:val="tab"/>
      <w:lvlText w:val="o"/>
      <w:lvlJc w:val="left"/>
      <w:pPr>
        <w:ind w:left="4308" w:hanging="360"/>
      </w:pPr>
      <w:rPr>
        <w:rFonts w:ascii="Courier New" w:hAnsi="Courier New" w:cs="Courier New" w:eastAsia="Courier New"/>
      </w:rPr>
    </w:lvl>
    <w:lvl w:ilvl="5">
      <w:start w:val="1"/>
      <w:numFmt w:val="bullet"/>
      <w:isLgl w:val="false"/>
      <w:suff w:val="tab"/>
      <w:lvlText w:val="§"/>
      <w:lvlJc w:val="left"/>
      <w:pPr>
        <w:ind w:left="5028" w:hanging="360"/>
      </w:pPr>
      <w:rPr>
        <w:rFonts w:ascii="Wingdings" w:hAnsi="Wingdings" w:cs="Wingdings" w:eastAsia="Wingdings"/>
      </w:rPr>
    </w:lvl>
    <w:lvl w:ilvl="6">
      <w:start w:val="1"/>
      <w:numFmt w:val="bullet"/>
      <w:isLgl w:val="false"/>
      <w:suff w:val="tab"/>
      <w:lvlText w:val="·"/>
      <w:lvlJc w:val="left"/>
      <w:pPr>
        <w:ind w:left="5748" w:hanging="360"/>
      </w:pPr>
      <w:rPr>
        <w:rFonts w:ascii="Symbol" w:hAnsi="Symbol" w:cs="Symbol" w:eastAsia="Symbol"/>
      </w:rPr>
    </w:lvl>
    <w:lvl w:ilvl="7">
      <w:start w:val="1"/>
      <w:numFmt w:val="bullet"/>
      <w:isLgl w:val="false"/>
      <w:suff w:val="tab"/>
      <w:lvlText w:val="o"/>
      <w:lvlJc w:val="left"/>
      <w:pPr>
        <w:ind w:left="6468" w:hanging="360"/>
      </w:pPr>
      <w:rPr>
        <w:rFonts w:ascii="Courier New" w:hAnsi="Courier New" w:cs="Courier New" w:eastAsia="Courier New"/>
      </w:rPr>
    </w:lvl>
    <w:lvl w:ilvl="8">
      <w:start w:val="1"/>
      <w:numFmt w:val="bullet"/>
      <w:isLgl w:val="false"/>
      <w:suff w:val="tab"/>
      <w:lvlText w:val="§"/>
      <w:lvlJc w:val="left"/>
      <w:pPr>
        <w:ind w:left="7188" w:hanging="360"/>
      </w:pPr>
      <w:rPr>
        <w:rFonts w:ascii="Wingdings" w:hAnsi="Wingdings" w:cs="Wingdings" w:eastAsia="Wingdings"/>
      </w:rPr>
    </w:lvl>
  </w:abstractNum>
  <w:abstractNum w:abstractNumId="26">
    <w:multiLevelType w:val="hybridMultilevel"/>
    <w:lvl w:ilvl="0">
      <w:start w:val="1"/>
      <w:numFmt w:val="lowerLetter"/>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7">
    <w:multiLevelType w:val="hybridMultilevel"/>
    <w:lvl w:ilvl="0">
      <w:start w:val="1"/>
      <w:numFmt w:val="bullet"/>
      <w:pStyle w:val="865"/>
      <w:isLgl w:val="false"/>
      <w:suff w:val="tab"/>
      <w:lvlText w:val=""/>
      <w:lvlJc w:val="left"/>
      <w:pPr>
        <w:ind w:left="360" w:hanging="360"/>
        <w:tabs>
          <w:tab w:val="num"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8">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9">
    <w:multiLevelType w:val="hybridMultilevel"/>
    <w:lvl w:ilvl="0">
      <w:start w:val="1"/>
      <w:numFmt w:val="bullet"/>
      <w:isLgl w:val="false"/>
      <w:suff w:val="tab"/>
      <w:lvlText w:val="·"/>
      <w:lvlJc w:val="left"/>
      <w:pPr>
        <w:ind w:left="720" w:hanging="360"/>
      </w:pPr>
      <w:rPr>
        <w:rFonts w:ascii="Symbol" w:hAnsi="Symbol" w:cs="Symbol" w:eastAsia="Symbol"/>
      </w:rPr>
    </w:lvl>
    <w:lvl w:ilvl="1">
      <w:start w:val="1"/>
      <w:numFmt w:val="bullet"/>
      <w:isLgl w:val="false"/>
      <w:suff w:val="tab"/>
      <w:lvlText w:val="o"/>
      <w:lvlJc w:val="left"/>
      <w:pPr>
        <w:ind w:left="1440" w:hanging="360"/>
      </w:pPr>
      <w:rPr>
        <w:rFonts w:ascii="Courier New" w:hAnsi="Courier New" w:cs="Courier New" w:eastAsia="Courier New"/>
      </w:rPr>
    </w:lvl>
    <w:lvl w:ilvl="2">
      <w:start w:val="1"/>
      <w:numFmt w:val="bullet"/>
      <w:isLgl w:val="false"/>
      <w:suff w:val="tab"/>
      <w:lvlText w:val="§"/>
      <w:lvlJc w:val="left"/>
      <w:pPr>
        <w:ind w:left="2160" w:hanging="360"/>
      </w:pPr>
      <w:rPr>
        <w:rFonts w:ascii="Wingdings" w:hAnsi="Wingdings" w:cs="Wingdings" w:eastAsia="Wingdings"/>
      </w:rPr>
    </w:lvl>
    <w:lvl w:ilvl="3">
      <w:start w:val="1"/>
      <w:numFmt w:val="bullet"/>
      <w:isLgl w:val="false"/>
      <w:suff w:val="tab"/>
      <w:lvlText w:val="·"/>
      <w:lvlJc w:val="left"/>
      <w:pPr>
        <w:ind w:left="2880" w:hanging="360"/>
      </w:pPr>
      <w:rPr>
        <w:rFonts w:ascii="Symbol" w:hAnsi="Symbol" w:cs="Symbol" w:eastAsia="Symbol"/>
      </w:rPr>
    </w:lvl>
    <w:lvl w:ilvl="4">
      <w:start w:val="1"/>
      <w:numFmt w:val="bullet"/>
      <w:isLgl w:val="false"/>
      <w:suff w:val="tab"/>
      <w:lvlText w:val="o"/>
      <w:lvlJc w:val="left"/>
      <w:pPr>
        <w:ind w:left="3600" w:hanging="360"/>
      </w:pPr>
      <w:rPr>
        <w:rFonts w:ascii="Courier New" w:hAnsi="Courier New" w:cs="Courier New" w:eastAsia="Courier New"/>
      </w:rPr>
    </w:lvl>
    <w:lvl w:ilvl="5">
      <w:start w:val="1"/>
      <w:numFmt w:val="bullet"/>
      <w:isLgl w:val="false"/>
      <w:suff w:val="tab"/>
      <w:lvlText w:val="§"/>
      <w:lvlJc w:val="left"/>
      <w:pPr>
        <w:ind w:left="4320" w:hanging="360"/>
      </w:pPr>
      <w:rPr>
        <w:rFonts w:ascii="Wingdings" w:hAnsi="Wingdings" w:cs="Wingdings" w:eastAsia="Wingdings"/>
      </w:rPr>
    </w:lvl>
    <w:lvl w:ilvl="6">
      <w:start w:val="1"/>
      <w:numFmt w:val="bullet"/>
      <w:isLgl w:val="false"/>
      <w:suff w:val="tab"/>
      <w:lvlText w:val="·"/>
      <w:lvlJc w:val="left"/>
      <w:pPr>
        <w:ind w:left="5040" w:hanging="360"/>
      </w:pPr>
      <w:rPr>
        <w:rFonts w:ascii="Symbol" w:hAnsi="Symbol" w:cs="Symbol" w:eastAsia="Symbol"/>
      </w:rPr>
    </w:lvl>
    <w:lvl w:ilvl="7">
      <w:start w:val="1"/>
      <w:numFmt w:val="bullet"/>
      <w:isLgl w:val="false"/>
      <w:suff w:val="tab"/>
      <w:lvlText w:val="o"/>
      <w:lvlJc w:val="left"/>
      <w:pPr>
        <w:ind w:left="5760" w:hanging="360"/>
      </w:pPr>
      <w:rPr>
        <w:rFonts w:ascii="Courier New" w:hAnsi="Courier New" w:cs="Courier New" w:eastAsia="Courier New"/>
      </w:rPr>
    </w:lvl>
    <w:lvl w:ilvl="8">
      <w:start w:val="1"/>
      <w:numFmt w:val="bullet"/>
      <w:isLgl w:val="false"/>
      <w:suff w:val="tab"/>
      <w:lvlText w:val="§"/>
      <w:lvlJc w:val="left"/>
      <w:pPr>
        <w:ind w:left="6480" w:hanging="360"/>
      </w:pPr>
      <w:rPr>
        <w:rFonts w:ascii="Wingdings" w:hAnsi="Wingdings" w:cs="Wingdings" w:eastAsia="Wingdings"/>
      </w:rPr>
    </w:lvl>
  </w:abstractNum>
  <w:abstractNum w:abstractNumId="30">
    <w:multiLevelType w:val="hybridMultilevel"/>
    <w:lvl w:ilvl="0">
      <w:start w:val="1"/>
      <w:numFmt w:val="bullet"/>
      <w:isLgl w:val="false"/>
      <w:suff w:val="tab"/>
      <w:lvlText w:val="·"/>
      <w:lvlJc w:val="left"/>
      <w:pPr>
        <w:ind w:left="709" w:hanging="360"/>
      </w:pPr>
      <w:rPr>
        <w:rFonts w:ascii="Symbol" w:hAnsi="Symbol" w:cs="Symbol" w:eastAsia="Symbol"/>
      </w:rPr>
    </w:lvl>
    <w:lvl w:ilvl="1">
      <w:start w:val="1"/>
      <w:numFmt w:val="bullet"/>
      <w:isLgl w:val="false"/>
      <w:suff w:val="tab"/>
      <w:lvlText w:val="o"/>
      <w:lvlJc w:val="left"/>
      <w:pPr>
        <w:ind w:left="1429" w:hanging="360"/>
      </w:pPr>
      <w:rPr>
        <w:rFonts w:ascii="Courier New" w:hAnsi="Courier New" w:cs="Courier New" w:eastAsia="Courier New"/>
      </w:rPr>
    </w:lvl>
    <w:lvl w:ilvl="2">
      <w:start w:val="1"/>
      <w:numFmt w:val="bullet"/>
      <w:isLgl w:val="false"/>
      <w:suff w:val="tab"/>
      <w:lvlText w:val="§"/>
      <w:lvlJc w:val="left"/>
      <w:pPr>
        <w:ind w:left="2149" w:hanging="360"/>
      </w:pPr>
      <w:rPr>
        <w:rFonts w:ascii="Wingdings" w:hAnsi="Wingdings" w:cs="Wingdings" w:eastAsia="Wingdings"/>
      </w:rPr>
    </w:lvl>
    <w:lvl w:ilvl="3">
      <w:start w:val="1"/>
      <w:numFmt w:val="bullet"/>
      <w:isLgl w:val="false"/>
      <w:suff w:val="tab"/>
      <w:lvlText w:val="·"/>
      <w:lvlJc w:val="left"/>
      <w:pPr>
        <w:ind w:left="2869" w:hanging="360"/>
      </w:pPr>
      <w:rPr>
        <w:rFonts w:ascii="Symbol" w:hAnsi="Symbol" w:cs="Symbol" w:eastAsia="Symbol"/>
      </w:rPr>
    </w:lvl>
    <w:lvl w:ilvl="4">
      <w:start w:val="1"/>
      <w:numFmt w:val="bullet"/>
      <w:isLgl w:val="false"/>
      <w:suff w:val="tab"/>
      <w:lvlText w:val="o"/>
      <w:lvlJc w:val="left"/>
      <w:pPr>
        <w:ind w:left="3589" w:hanging="360"/>
      </w:pPr>
      <w:rPr>
        <w:rFonts w:ascii="Courier New" w:hAnsi="Courier New" w:cs="Courier New" w:eastAsia="Courier New"/>
      </w:rPr>
    </w:lvl>
    <w:lvl w:ilvl="5">
      <w:start w:val="1"/>
      <w:numFmt w:val="bullet"/>
      <w:isLgl w:val="false"/>
      <w:suff w:val="tab"/>
      <w:lvlText w:val="§"/>
      <w:lvlJc w:val="left"/>
      <w:pPr>
        <w:ind w:left="4309" w:hanging="360"/>
      </w:pPr>
      <w:rPr>
        <w:rFonts w:ascii="Wingdings" w:hAnsi="Wingdings" w:cs="Wingdings" w:eastAsia="Wingdings"/>
      </w:rPr>
    </w:lvl>
    <w:lvl w:ilvl="6">
      <w:start w:val="1"/>
      <w:numFmt w:val="bullet"/>
      <w:isLgl w:val="false"/>
      <w:suff w:val="tab"/>
      <w:lvlText w:val="·"/>
      <w:lvlJc w:val="left"/>
      <w:pPr>
        <w:ind w:left="5029" w:hanging="360"/>
      </w:pPr>
      <w:rPr>
        <w:rFonts w:ascii="Symbol" w:hAnsi="Symbol" w:cs="Symbol" w:eastAsia="Symbol"/>
      </w:rPr>
    </w:lvl>
    <w:lvl w:ilvl="7">
      <w:start w:val="1"/>
      <w:numFmt w:val="bullet"/>
      <w:isLgl w:val="false"/>
      <w:suff w:val="tab"/>
      <w:lvlText w:val="o"/>
      <w:lvlJc w:val="left"/>
      <w:pPr>
        <w:ind w:left="5749" w:hanging="360"/>
      </w:pPr>
      <w:rPr>
        <w:rFonts w:ascii="Courier New" w:hAnsi="Courier New" w:cs="Courier New" w:eastAsia="Courier New"/>
      </w:rPr>
    </w:lvl>
    <w:lvl w:ilvl="8">
      <w:start w:val="1"/>
      <w:numFmt w:val="bullet"/>
      <w:isLgl w:val="false"/>
      <w:suff w:val="tab"/>
      <w:lvlText w:val="§"/>
      <w:lvlJc w:val="left"/>
      <w:pPr>
        <w:ind w:left="6469" w:hanging="360"/>
      </w:pPr>
      <w:rPr>
        <w:rFonts w:ascii="Wingdings" w:hAnsi="Wingdings" w:cs="Wingdings" w:eastAsia="Wingdings"/>
      </w:rPr>
    </w:lvl>
  </w:abstractNum>
  <w:abstractNum w:abstractNumId="31">
    <w:multiLevelType w:val="hybridMultilevel"/>
    <w:lvl w:ilvl="0">
      <w:start w:val="1"/>
      <w:numFmt w:val="bullet"/>
      <w:isLgl w:val="false"/>
      <w:suff w:val="tab"/>
      <w:lvlText w:val="·"/>
      <w:lvlJc w:val="left"/>
      <w:pPr>
        <w:ind w:left="709" w:hanging="360"/>
      </w:pPr>
      <w:rPr>
        <w:rFonts w:ascii="Symbol" w:hAnsi="Symbol" w:cs="Symbol" w:eastAsia="Symbol"/>
      </w:rPr>
    </w:lvl>
    <w:lvl w:ilvl="1">
      <w:start w:val="1"/>
      <w:numFmt w:val="bullet"/>
      <w:isLgl w:val="false"/>
      <w:suff w:val="tab"/>
      <w:lvlText w:val="o"/>
      <w:lvlJc w:val="left"/>
      <w:pPr>
        <w:ind w:left="1429" w:hanging="360"/>
      </w:pPr>
      <w:rPr>
        <w:rFonts w:ascii="Courier New" w:hAnsi="Courier New" w:cs="Courier New" w:eastAsia="Courier New"/>
      </w:rPr>
    </w:lvl>
    <w:lvl w:ilvl="2">
      <w:start w:val="1"/>
      <w:numFmt w:val="bullet"/>
      <w:isLgl w:val="false"/>
      <w:suff w:val="tab"/>
      <w:lvlText w:val="§"/>
      <w:lvlJc w:val="left"/>
      <w:pPr>
        <w:ind w:left="2149" w:hanging="360"/>
      </w:pPr>
      <w:rPr>
        <w:rFonts w:ascii="Wingdings" w:hAnsi="Wingdings" w:cs="Wingdings" w:eastAsia="Wingdings"/>
      </w:rPr>
    </w:lvl>
    <w:lvl w:ilvl="3">
      <w:start w:val="1"/>
      <w:numFmt w:val="bullet"/>
      <w:isLgl w:val="false"/>
      <w:suff w:val="tab"/>
      <w:lvlText w:val="·"/>
      <w:lvlJc w:val="left"/>
      <w:pPr>
        <w:ind w:left="2869" w:hanging="360"/>
      </w:pPr>
      <w:rPr>
        <w:rFonts w:ascii="Symbol" w:hAnsi="Symbol" w:cs="Symbol" w:eastAsia="Symbol"/>
      </w:rPr>
    </w:lvl>
    <w:lvl w:ilvl="4">
      <w:start w:val="1"/>
      <w:numFmt w:val="bullet"/>
      <w:isLgl w:val="false"/>
      <w:suff w:val="tab"/>
      <w:lvlText w:val="o"/>
      <w:lvlJc w:val="left"/>
      <w:pPr>
        <w:ind w:left="3589" w:hanging="360"/>
      </w:pPr>
      <w:rPr>
        <w:rFonts w:ascii="Courier New" w:hAnsi="Courier New" w:cs="Courier New" w:eastAsia="Courier New"/>
      </w:rPr>
    </w:lvl>
    <w:lvl w:ilvl="5">
      <w:start w:val="1"/>
      <w:numFmt w:val="bullet"/>
      <w:isLgl w:val="false"/>
      <w:suff w:val="tab"/>
      <w:lvlText w:val="§"/>
      <w:lvlJc w:val="left"/>
      <w:pPr>
        <w:ind w:left="4309" w:hanging="360"/>
      </w:pPr>
      <w:rPr>
        <w:rFonts w:ascii="Wingdings" w:hAnsi="Wingdings" w:cs="Wingdings" w:eastAsia="Wingdings"/>
      </w:rPr>
    </w:lvl>
    <w:lvl w:ilvl="6">
      <w:start w:val="1"/>
      <w:numFmt w:val="bullet"/>
      <w:isLgl w:val="false"/>
      <w:suff w:val="tab"/>
      <w:lvlText w:val="·"/>
      <w:lvlJc w:val="left"/>
      <w:pPr>
        <w:ind w:left="5029" w:hanging="360"/>
      </w:pPr>
      <w:rPr>
        <w:rFonts w:ascii="Symbol" w:hAnsi="Symbol" w:cs="Symbol" w:eastAsia="Symbol"/>
      </w:rPr>
    </w:lvl>
    <w:lvl w:ilvl="7">
      <w:start w:val="1"/>
      <w:numFmt w:val="bullet"/>
      <w:isLgl w:val="false"/>
      <w:suff w:val="tab"/>
      <w:lvlText w:val="o"/>
      <w:lvlJc w:val="left"/>
      <w:pPr>
        <w:ind w:left="5749" w:hanging="360"/>
      </w:pPr>
      <w:rPr>
        <w:rFonts w:ascii="Courier New" w:hAnsi="Courier New" w:cs="Courier New" w:eastAsia="Courier New"/>
      </w:rPr>
    </w:lvl>
    <w:lvl w:ilvl="8">
      <w:start w:val="1"/>
      <w:numFmt w:val="bullet"/>
      <w:isLgl w:val="false"/>
      <w:suff w:val="tab"/>
      <w:lvlText w:val="§"/>
      <w:lvlJc w:val="left"/>
      <w:pPr>
        <w:ind w:left="6469" w:hanging="360"/>
      </w:pPr>
      <w:rPr>
        <w:rFonts w:ascii="Wingdings" w:hAnsi="Wingdings" w:cs="Wingdings" w:eastAsia="Wingdings"/>
      </w:rPr>
    </w:lvl>
  </w:abstractNum>
  <w:abstractNum w:abstractNumId="32">
    <w:multiLevelType w:val="hybridMultilevel"/>
    <w:lvl w:ilvl="0">
      <w:start w:val="1"/>
      <w:numFmt w:val="bullet"/>
      <w:pStyle w:val="865"/>
      <w:isLgl w:val="false"/>
      <w:suff w:val="tab"/>
      <w:lvlText w:val=""/>
      <w:lvlJc w:val="left"/>
      <w:pPr>
        <w:ind w:left="360" w:hanging="360"/>
        <w:tabs>
          <w:tab w:val="num"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rPr>
    </w:lvl>
    <w:lvl w:ilvl="2">
      <w:start w:val="1"/>
      <w:numFmt w:val="bullet"/>
      <w:isLgl w:val="false"/>
      <w:suff w:val="tab"/>
      <w:lvlText w:val="§"/>
      <w:lvlJc w:val="left"/>
      <w:pPr>
        <w:ind w:left="2160" w:hanging="360"/>
      </w:pPr>
      <w:rPr>
        <w:rFonts w:ascii="Wingdings" w:hAnsi="Wingdings" w:cs="Wingdings" w:eastAsia="Wingdings"/>
      </w:rPr>
    </w:lvl>
    <w:lvl w:ilvl="3">
      <w:start w:val="1"/>
      <w:numFmt w:val="bullet"/>
      <w:isLgl w:val="false"/>
      <w:suff w:val="tab"/>
      <w:lvlText w:val="·"/>
      <w:lvlJc w:val="left"/>
      <w:pPr>
        <w:ind w:left="2880" w:hanging="360"/>
      </w:pPr>
      <w:rPr>
        <w:rFonts w:ascii="Symbol" w:hAnsi="Symbol" w:cs="Symbol" w:eastAsia="Symbol"/>
      </w:rPr>
    </w:lvl>
    <w:lvl w:ilvl="4">
      <w:start w:val="1"/>
      <w:numFmt w:val="bullet"/>
      <w:isLgl w:val="false"/>
      <w:suff w:val="tab"/>
      <w:lvlText w:val="o"/>
      <w:lvlJc w:val="left"/>
      <w:pPr>
        <w:ind w:left="3600" w:hanging="360"/>
      </w:pPr>
      <w:rPr>
        <w:rFonts w:ascii="Courier New" w:hAnsi="Courier New" w:cs="Courier New" w:eastAsia="Courier New"/>
      </w:rPr>
    </w:lvl>
    <w:lvl w:ilvl="5">
      <w:start w:val="1"/>
      <w:numFmt w:val="bullet"/>
      <w:isLgl w:val="false"/>
      <w:suff w:val="tab"/>
      <w:lvlText w:val="§"/>
      <w:lvlJc w:val="left"/>
      <w:pPr>
        <w:ind w:left="4320" w:hanging="360"/>
      </w:pPr>
      <w:rPr>
        <w:rFonts w:ascii="Wingdings" w:hAnsi="Wingdings" w:cs="Wingdings" w:eastAsia="Wingdings"/>
      </w:rPr>
    </w:lvl>
    <w:lvl w:ilvl="6">
      <w:start w:val="1"/>
      <w:numFmt w:val="bullet"/>
      <w:isLgl w:val="false"/>
      <w:suff w:val="tab"/>
      <w:lvlText w:val="·"/>
      <w:lvlJc w:val="left"/>
      <w:pPr>
        <w:ind w:left="5040" w:hanging="360"/>
      </w:pPr>
      <w:rPr>
        <w:rFonts w:ascii="Symbol" w:hAnsi="Symbol" w:cs="Symbol" w:eastAsia="Symbol"/>
      </w:rPr>
    </w:lvl>
    <w:lvl w:ilvl="7">
      <w:start w:val="1"/>
      <w:numFmt w:val="bullet"/>
      <w:isLgl w:val="false"/>
      <w:suff w:val="tab"/>
      <w:lvlText w:val="o"/>
      <w:lvlJc w:val="left"/>
      <w:pPr>
        <w:ind w:left="5760" w:hanging="360"/>
      </w:pPr>
      <w:rPr>
        <w:rFonts w:ascii="Courier New" w:hAnsi="Courier New" w:cs="Courier New" w:eastAsia="Courier New"/>
      </w:rPr>
    </w:lvl>
    <w:lvl w:ilvl="8">
      <w:start w:val="1"/>
      <w:numFmt w:val="bullet"/>
      <w:isLgl w:val="false"/>
      <w:suff w:val="tab"/>
      <w:lvlText w:val="§"/>
      <w:lvlJc w:val="left"/>
      <w:pPr>
        <w:ind w:left="6480" w:hanging="360"/>
      </w:pPr>
      <w:rPr>
        <w:rFonts w:ascii="Wingdings" w:hAnsi="Wingdings" w:cs="Wingdings" w:eastAsia="Wingdings"/>
      </w:rPr>
    </w:lvl>
  </w:abstractNum>
  <w:abstractNum w:abstractNumId="33">
    <w:multiLevelType w:val="hybridMultilevel"/>
    <w:lvl w:ilvl="0">
      <w:start w:val="1"/>
      <w:numFmt w:val="bullet"/>
      <w:isLgl w:val="false"/>
      <w:suff w:val="tab"/>
      <w:lvlText w:val="·"/>
      <w:lvlJc w:val="left"/>
      <w:pPr>
        <w:ind w:left="709" w:hanging="360"/>
      </w:pPr>
      <w:rPr>
        <w:rFonts w:ascii="Symbol" w:hAnsi="Symbol" w:cs="Symbol" w:eastAsia="Symbol"/>
      </w:rPr>
    </w:lvl>
    <w:lvl w:ilvl="1">
      <w:start w:val="1"/>
      <w:numFmt w:val="bullet"/>
      <w:isLgl w:val="false"/>
      <w:suff w:val="tab"/>
      <w:lvlText w:val="o"/>
      <w:lvlJc w:val="left"/>
      <w:pPr>
        <w:ind w:left="1429" w:hanging="360"/>
      </w:pPr>
      <w:rPr>
        <w:rFonts w:ascii="Courier New" w:hAnsi="Courier New" w:cs="Courier New" w:eastAsia="Courier New"/>
      </w:rPr>
    </w:lvl>
    <w:lvl w:ilvl="2">
      <w:start w:val="1"/>
      <w:numFmt w:val="bullet"/>
      <w:isLgl w:val="false"/>
      <w:suff w:val="tab"/>
      <w:lvlText w:val="§"/>
      <w:lvlJc w:val="left"/>
      <w:pPr>
        <w:ind w:left="2149" w:hanging="360"/>
      </w:pPr>
      <w:rPr>
        <w:rFonts w:ascii="Wingdings" w:hAnsi="Wingdings" w:cs="Wingdings" w:eastAsia="Wingdings"/>
      </w:rPr>
    </w:lvl>
    <w:lvl w:ilvl="3">
      <w:start w:val="1"/>
      <w:numFmt w:val="bullet"/>
      <w:isLgl w:val="false"/>
      <w:suff w:val="tab"/>
      <w:lvlText w:val="·"/>
      <w:lvlJc w:val="left"/>
      <w:pPr>
        <w:ind w:left="2869" w:hanging="360"/>
      </w:pPr>
      <w:rPr>
        <w:rFonts w:ascii="Symbol" w:hAnsi="Symbol" w:cs="Symbol" w:eastAsia="Symbol"/>
      </w:rPr>
    </w:lvl>
    <w:lvl w:ilvl="4">
      <w:start w:val="1"/>
      <w:numFmt w:val="bullet"/>
      <w:isLgl w:val="false"/>
      <w:suff w:val="tab"/>
      <w:lvlText w:val="o"/>
      <w:lvlJc w:val="left"/>
      <w:pPr>
        <w:ind w:left="3589" w:hanging="360"/>
      </w:pPr>
      <w:rPr>
        <w:rFonts w:ascii="Courier New" w:hAnsi="Courier New" w:cs="Courier New" w:eastAsia="Courier New"/>
      </w:rPr>
    </w:lvl>
    <w:lvl w:ilvl="5">
      <w:start w:val="1"/>
      <w:numFmt w:val="bullet"/>
      <w:isLgl w:val="false"/>
      <w:suff w:val="tab"/>
      <w:lvlText w:val="§"/>
      <w:lvlJc w:val="left"/>
      <w:pPr>
        <w:ind w:left="4309" w:hanging="360"/>
      </w:pPr>
      <w:rPr>
        <w:rFonts w:ascii="Wingdings" w:hAnsi="Wingdings" w:cs="Wingdings" w:eastAsia="Wingdings"/>
      </w:rPr>
    </w:lvl>
    <w:lvl w:ilvl="6">
      <w:start w:val="1"/>
      <w:numFmt w:val="bullet"/>
      <w:isLgl w:val="false"/>
      <w:suff w:val="tab"/>
      <w:lvlText w:val="·"/>
      <w:lvlJc w:val="left"/>
      <w:pPr>
        <w:ind w:left="5029" w:hanging="360"/>
      </w:pPr>
      <w:rPr>
        <w:rFonts w:ascii="Symbol" w:hAnsi="Symbol" w:cs="Symbol" w:eastAsia="Symbol"/>
      </w:rPr>
    </w:lvl>
    <w:lvl w:ilvl="7">
      <w:start w:val="1"/>
      <w:numFmt w:val="bullet"/>
      <w:isLgl w:val="false"/>
      <w:suff w:val="tab"/>
      <w:lvlText w:val="o"/>
      <w:lvlJc w:val="left"/>
      <w:pPr>
        <w:ind w:left="5749" w:hanging="360"/>
      </w:pPr>
      <w:rPr>
        <w:rFonts w:ascii="Courier New" w:hAnsi="Courier New" w:cs="Courier New" w:eastAsia="Courier New"/>
      </w:rPr>
    </w:lvl>
    <w:lvl w:ilvl="8">
      <w:start w:val="1"/>
      <w:numFmt w:val="bullet"/>
      <w:isLgl w:val="false"/>
      <w:suff w:val="tab"/>
      <w:lvlText w:val="§"/>
      <w:lvlJc w:val="left"/>
      <w:pPr>
        <w:ind w:left="6469" w:hanging="360"/>
      </w:pPr>
      <w:rPr>
        <w:rFonts w:ascii="Wingdings" w:hAnsi="Wingdings" w:cs="Wingdings" w:eastAsia="Wingdings"/>
      </w:rPr>
    </w:lvl>
  </w:abstractNum>
  <w:abstractNum w:abstractNumId="34">
    <w:multiLevelType w:val="hybridMultilevel"/>
    <w:lvl w:ilvl="0">
      <w:start w:val="1"/>
      <w:numFmt w:val="bullet"/>
      <w:isLgl w:val="false"/>
      <w:suff w:val="tab"/>
      <w:lvlText w:val="·"/>
      <w:lvlJc w:val="left"/>
      <w:pPr>
        <w:ind w:left="709" w:hanging="360"/>
      </w:pPr>
      <w:rPr>
        <w:rFonts w:ascii="Symbol" w:hAnsi="Symbol" w:cs="Symbol" w:eastAsia="Symbol"/>
      </w:rPr>
    </w:lvl>
    <w:lvl w:ilvl="1">
      <w:start w:val="1"/>
      <w:numFmt w:val="bullet"/>
      <w:isLgl w:val="false"/>
      <w:suff w:val="tab"/>
      <w:lvlText w:val="o"/>
      <w:lvlJc w:val="left"/>
      <w:pPr>
        <w:ind w:left="1429" w:hanging="360"/>
      </w:pPr>
      <w:rPr>
        <w:rFonts w:ascii="Courier New" w:hAnsi="Courier New" w:cs="Courier New" w:eastAsia="Courier New"/>
      </w:rPr>
    </w:lvl>
    <w:lvl w:ilvl="2">
      <w:start w:val="1"/>
      <w:numFmt w:val="bullet"/>
      <w:isLgl w:val="false"/>
      <w:suff w:val="tab"/>
      <w:lvlText w:val="§"/>
      <w:lvlJc w:val="left"/>
      <w:pPr>
        <w:ind w:left="2149" w:hanging="360"/>
      </w:pPr>
      <w:rPr>
        <w:rFonts w:ascii="Wingdings" w:hAnsi="Wingdings" w:cs="Wingdings" w:eastAsia="Wingdings"/>
      </w:rPr>
    </w:lvl>
    <w:lvl w:ilvl="3">
      <w:start w:val="1"/>
      <w:numFmt w:val="bullet"/>
      <w:isLgl w:val="false"/>
      <w:suff w:val="tab"/>
      <w:lvlText w:val="·"/>
      <w:lvlJc w:val="left"/>
      <w:pPr>
        <w:ind w:left="2869" w:hanging="360"/>
      </w:pPr>
      <w:rPr>
        <w:rFonts w:ascii="Symbol" w:hAnsi="Symbol" w:cs="Symbol" w:eastAsia="Symbol"/>
      </w:rPr>
    </w:lvl>
    <w:lvl w:ilvl="4">
      <w:start w:val="1"/>
      <w:numFmt w:val="bullet"/>
      <w:isLgl w:val="false"/>
      <w:suff w:val="tab"/>
      <w:lvlText w:val="o"/>
      <w:lvlJc w:val="left"/>
      <w:pPr>
        <w:ind w:left="3589" w:hanging="360"/>
      </w:pPr>
      <w:rPr>
        <w:rFonts w:ascii="Courier New" w:hAnsi="Courier New" w:cs="Courier New" w:eastAsia="Courier New"/>
      </w:rPr>
    </w:lvl>
    <w:lvl w:ilvl="5">
      <w:start w:val="1"/>
      <w:numFmt w:val="bullet"/>
      <w:isLgl w:val="false"/>
      <w:suff w:val="tab"/>
      <w:lvlText w:val="§"/>
      <w:lvlJc w:val="left"/>
      <w:pPr>
        <w:ind w:left="4309" w:hanging="360"/>
      </w:pPr>
      <w:rPr>
        <w:rFonts w:ascii="Wingdings" w:hAnsi="Wingdings" w:cs="Wingdings" w:eastAsia="Wingdings"/>
      </w:rPr>
    </w:lvl>
    <w:lvl w:ilvl="6">
      <w:start w:val="1"/>
      <w:numFmt w:val="bullet"/>
      <w:isLgl w:val="false"/>
      <w:suff w:val="tab"/>
      <w:lvlText w:val="·"/>
      <w:lvlJc w:val="left"/>
      <w:pPr>
        <w:ind w:left="5029" w:hanging="360"/>
      </w:pPr>
      <w:rPr>
        <w:rFonts w:ascii="Symbol" w:hAnsi="Symbol" w:cs="Symbol" w:eastAsia="Symbol"/>
      </w:rPr>
    </w:lvl>
    <w:lvl w:ilvl="7">
      <w:start w:val="1"/>
      <w:numFmt w:val="bullet"/>
      <w:isLgl w:val="false"/>
      <w:suff w:val="tab"/>
      <w:lvlText w:val="o"/>
      <w:lvlJc w:val="left"/>
      <w:pPr>
        <w:ind w:left="5749" w:hanging="360"/>
      </w:pPr>
      <w:rPr>
        <w:rFonts w:ascii="Courier New" w:hAnsi="Courier New" w:cs="Courier New" w:eastAsia="Courier New"/>
      </w:rPr>
    </w:lvl>
    <w:lvl w:ilvl="8">
      <w:start w:val="1"/>
      <w:numFmt w:val="bullet"/>
      <w:isLgl w:val="false"/>
      <w:suff w:val="tab"/>
      <w:lvlText w:val="§"/>
      <w:lvlJc w:val="left"/>
      <w:pPr>
        <w:ind w:left="6469" w:hanging="360"/>
      </w:pPr>
      <w:rPr>
        <w:rFonts w:ascii="Wingdings" w:hAnsi="Wingdings" w:cs="Wingdings" w:eastAsia="Wingdings"/>
      </w:rPr>
    </w:lvl>
  </w:abstractNum>
  <w:num w:numId="1">
    <w:abstractNumId w:val="17"/>
  </w:num>
  <w:num w:numId="2">
    <w:abstractNumId w:val="10"/>
  </w:num>
  <w:num w:numId="3">
    <w:abstractNumId w:val="10"/>
    <w:lvlOverride w:ilvl="0">
      <w:startOverride w:val="1"/>
    </w:lvlOverride>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8"/>
    <w:lvlOverride w:ilvl="0">
      <w:startOverride w:val="1"/>
    </w:lvlOverride>
  </w:num>
  <w:num w:numId="15">
    <w:abstractNumId w:val="11"/>
  </w:num>
  <w:num w:numId="16">
    <w:abstractNumId w:val="14"/>
  </w:num>
  <w:num w:numId="17">
    <w:abstractNumId w:val="8"/>
    <w:lvlOverride w:ilvl="0">
      <w:startOverride w:val="1"/>
    </w:lvlOverride>
  </w:num>
  <w:num w:numId="18">
    <w:abstractNumId w:val="8"/>
    <w:lvlOverride w:ilvl="0">
      <w:startOverride w:val="1"/>
    </w:lvlOverride>
  </w:num>
  <w:num w:numId="19">
    <w:abstractNumId w:val="20"/>
  </w:num>
  <w:num w:numId="20">
    <w:abstractNumId w:val="13"/>
  </w:num>
  <w:num w:numId="21">
    <w:abstractNumId w:val="21"/>
  </w:num>
  <w:num w:numId="22">
    <w:abstractNumId w:val="12"/>
  </w:num>
  <w:num w:numId="23">
    <w:abstractNumId w:val="18"/>
  </w:num>
  <w:num w:numId="24">
    <w:abstractNumId w:val="18"/>
    <w:lvlOverride w:ilvl="0">
      <w:startOverride w:val="1"/>
    </w:lvlOverride>
  </w:num>
  <w:num w:numId="25">
    <w:abstractNumId w:val="18"/>
    <w:lvlOverride w:ilvl="0">
      <w:startOverride w:val="1"/>
    </w:lvlOverride>
  </w:num>
  <w:num w:numId="26">
    <w:abstractNumId w:val="24"/>
  </w:num>
  <w:num w:numId="27">
    <w:abstractNumId w:val="23"/>
  </w:num>
  <w:num w:numId="28">
    <w:abstractNumId w:val="16"/>
  </w:num>
  <w:num w:numId="29">
    <w:abstractNumId w:val="19"/>
  </w:num>
  <w:num w:numId="30">
    <w:abstractNumId w:val="15"/>
  </w:num>
  <w:num w:numId="31">
    <w:abstractNumId w:val="22"/>
  </w:num>
  <w:num w:numId="32">
    <w:abstractNumId w:val="25"/>
  </w:num>
  <w:num w:numId="33">
    <w:abstractNumId w:val="26"/>
  </w:num>
  <w:num w:numId="34">
    <w:abstractNumId w:val="27"/>
  </w:num>
  <w:num w:numId="35">
    <w:abstractNumId w:val="28"/>
  </w:num>
  <w:num w:numId="36">
    <w:abstractNumId w:val="29"/>
  </w:num>
  <w:num w:numId="37">
    <w:abstractNumId w:val="30"/>
  </w:num>
  <w:num w:numId="38">
    <w:abstractNumId w:val="31"/>
  </w:num>
  <w:num w:numId="39">
    <w:abstractNumId w:val="32"/>
  </w:num>
  <w:num w:numId="40">
    <w:abstractNumId w:val="33"/>
  </w:num>
  <w:num w:numId="41">
    <w:abstractNumId w:val="34"/>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08"/>
  <m:mathPr>
    <m:brkBin m:val="before"/>
    <m:defJc m:val="centerGroup"/>
    <m:intLim m:val="subSup"/>
    <m:lMargin m:val="0"/>
    <m:mathFont m:val="Cambria Math"/>
    <m:naryLim m:val="undOvr"/>
    <m:rMargin m:val="0"/>
    <m:smallFrac m:val="off"/>
    <m:wrapIndent m:val="1440"/>
  </m:mathPr>
  <w:trackRevisions w:val="false"/>
  <w:footnotePr>
    <w:footnote w:id="-1"/>
    <w:footnote w:id="0"/>
    <w:footnote w:id="1"/>
    <w:numFmt w:val="decimal"/>
    <w:numRestart w:val="eachSect"/>
    <w:numStart w:val="1"/>
    <w:pos w:val="pageBottom"/>
  </w:footnotePr>
  <w:endnotePr>
    <w:endnote w:id="-1"/>
    <w:endnote w:id="0"/>
    <w:endnote w:id="1"/>
    <w:numFmt w:val="lowerRoman"/>
    <w:numRestart w:val="continuous"/>
    <w:numStart w:val="1"/>
    <w:pos w:val="docEnd"/>
  </w:end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hAnsi="Cambria" w:cs="Cambria" w:eastAsia="Cambria"/>
        <w:sz w:val="22"/>
        <w:szCs w:val="22"/>
        <w:lang w:val="fr-FR" w:bidi="ar-SA" w:eastAsia="fr-FR"/>
      </w:rPr>
    </w:rPrDefault>
    <w:pPrDefault>
      <w:pPr>
        <w:spacing w:lineRule="auto" w:line="252" w:after="200" w:afterAutospacing="0" w:before="0" w:beforeAutospacing="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43">
    <w:name w:val="Heading 1 Char"/>
    <w:basedOn w:val="798"/>
    <w:link w:val="789"/>
    <w:uiPriority w:val="9"/>
    <w:rPr>
      <w:rFonts w:ascii="Arial" w:hAnsi="Arial" w:cs="Arial" w:eastAsia="Arial"/>
      <w:sz w:val="40"/>
      <w:szCs w:val="40"/>
    </w:rPr>
  </w:style>
  <w:style w:type="character" w:styleId="644">
    <w:name w:val="Heading 2 Char"/>
    <w:basedOn w:val="798"/>
    <w:link w:val="790"/>
    <w:uiPriority w:val="9"/>
    <w:rPr>
      <w:rFonts w:ascii="Arial" w:hAnsi="Arial" w:cs="Arial" w:eastAsia="Arial"/>
      <w:sz w:val="34"/>
    </w:rPr>
  </w:style>
  <w:style w:type="character" w:styleId="645">
    <w:name w:val="Heading 3 Char"/>
    <w:basedOn w:val="798"/>
    <w:link w:val="791"/>
    <w:uiPriority w:val="9"/>
    <w:rPr>
      <w:rFonts w:ascii="Arial" w:hAnsi="Arial" w:cs="Arial" w:eastAsia="Arial"/>
      <w:sz w:val="30"/>
      <w:szCs w:val="30"/>
    </w:rPr>
  </w:style>
  <w:style w:type="character" w:styleId="646">
    <w:name w:val="Heading 4 Char"/>
    <w:basedOn w:val="798"/>
    <w:link w:val="792"/>
    <w:uiPriority w:val="9"/>
    <w:rPr>
      <w:rFonts w:ascii="Arial" w:hAnsi="Arial" w:cs="Arial" w:eastAsia="Arial"/>
      <w:b/>
      <w:bCs/>
      <w:sz w:val="26"/>
      <w:szCs w:val="26"/>
    </w:rPr>
  </w:style>
  <w:style w:type="character" w:styleId="647">
    <w:name w:val="Heading 5 Char"/>
    <w:basedOn w:val="798"/>
    <w:link w:val="793"/>
    <w:uiPriority w:val="9"/>
    <w:rPr>
      <w:rFonts w:ascii="Arial" w:hAnsi="Arial" w:cs="Arial" w:eastAsia="Arial"/>
      <w:b/>
      <w:bCs/>
      <w:sz w:val="24"/>
      <w:szCs w:val="24"/>
    </w:rPr>
  </w:style>
  <w:style w:type="character" w:styleId="648">
    <w:name w:val="Heading 6 Char"/>
    <w:basedOn w:val="798"/>
    <w:link w:val="794"/>
    <w:uiPriority w:val="9"/>
    <w:rPr>
      <w:rFonts w:ascii="Arial" w:hAnsi="Arial" w:cs="Arial" w:eastAsia="Arial"/>
      <w:b/>
      <w:bCs/>
      <w:sz w:val="22"/>
      <w:szCs w:val="22"/>
    </w:rPr>
  </w:style>
  <w:style w:type="character" w:styleId="649">
    <w:name w:val="Heading 7 Char"/>
    <w:basedOn w:val="798"/>
    <w:link w:val="795"/>
    <w:uiPriority w:val="9"/>
    <w:rPr>
      <w:rFonts w:ascii="Arial" w:hAnsi="Arial" w:cs="Arial" w:eastAsia="Arial"/>
      <w:b/>
      <w:bCs/>
      <w:i/>
      <w:iCs/>
      <w:sz w:val="22"/>
      <w:szCs w:val="22"/>
    </w:rPr>
  </w:style>
  <w:style w:type="character" w:styleId="650">
    <w:name w:val="Heading 8 Char"/>
    <w:basedOn w:val="798"/>
    <w:link w:val="796"/>
    <w:uiPriority w:val="9"/>
    <w:rPr>
      <w:rFonts w:ascii="Arial" w:hAnsi="Arial" w:cs="Arial" w:eastAsia="Arial"/>
      <w:i/>
      <w:iCs/>
      <w:sz w:val="22"/>
      <w:szCs w:val="22"/>
    </w:rPr>
  </w:style>
  <w:style w:type="character" w:styleId="651">
    <w:name w:val="Heading 9 Char"/>
    <w:basedOn w:val="798"/>
    <w:link w:val="797"/>
    <w:uiPriority w:val="9"/>
    <w:rPr>
      <w:rFonts w:ascii="Arial" w:hAnsi="Arial" w:cs="Arial" w:eastAsia="Arial"/>
      <w:i/>
      <w:iCs/>
      <w:sz w:val="21"/>
      <w:szCs w:val="21"/>
    </w:rPr>
  </w:style>
  <w:style w:type="character" w:styleId="652">
    <w:name w:val="Title Char"/>
    <w:basedOn w:val="798"/>
    <w:link w:val="810"/>
    <w:uiPriority w:val="10"/>
    <w:rPr>
      <w:sz w:val="48"/>
      <w:szCs w:val="48"/>
    </w:rPr>
  </w:style>
  <w:style w:type="character" w:styleId="653">
    <w:name w:val="Subtitle Char"/>
    <w:basedOn w:val="798"/>
    <w:link w:val="841"/>
    <w:uiPriority w:val="11"/>
    <w:rPr>
      <w:sz w:val="24"/>
      <w:szCs w:val="24"/>
    </w:rPr>
  </w:style>
  <w:style w:type="character" w:styleId="654">
    <w:name w:val="Quote Char"/>
    <w:link w:val="814"/>
    <w:uiPriority w:val="29"/>
    <w:rPr>
      <w:i/>
    </w:rPr>
  </w:style>
  <w:style w:type="character" w:styleId="655">
    <w:name w:val="Intense Quote Char"/>
    <w:link w:val="851"/>
    <w:uiPriority w:val="30"/>
    <w:rPr>
      <w:i/>
    </w:rPr>
  </w:style>
  <w:style w:type="character" w:styleId="656">
    <w:name w:val="Header Char"/>
    <w:basedOn w:val="798"/>
    <w:link w:val="831"/>
    <w:uiPriority w:val="99"/>
  </w:style>
  <w:style w:type="character" w:styleId="657">
    <w:name w:val="Footer Char"/>
    <w:basedOn w:val="798"/>
    <w:link w:val="829"/>
    <w:uiPriority w:val="99"/>
  </w:style>
  <w:style w:type="character" w:styleId="658">
    <w:name w:val="Caption Char"/>
    <w:basedOn w:val="843"/>
    <w:link w:val="829"/>
    <w:uiPriority w:val="99"/>
  </w:style>
  <w:style w:type="table" w:styleId="659">
    <w:name w:val="Table Grid Light"/>
    <w:basedOn w:val="79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660">
    <w:name w:val="Plain Table 1"/>
    <w:basedOn w:val="79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fill="FFFFFF" w:color="FFFFFF" w:themeFill="text1" w:themeFillTint="0D"/>
      </w:tcPr>
    </w:tblStylePr>
    <w:tblStylePr w:type="band1Vert">
      <w:tcPr>
        <w:shd w:val="clear" w:fill="FFFFFF" w:color="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61">
    <w:name w:val="Plain Table 2"/>
    <w:basedOn w:val="799"/>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62">
    <w:name w:val="Plain Table 3"/>
    <w:basedOn w:val="79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fill="FFFFFF" w:color="FFFFFF" w:themeFill="text1" w:themeFillTint="0D"/>
      </w:tcPr>
    </w:tblStylePr>
    <w:tblStylePr w:type="band1Vert">
      <w:rPr>
        <w:rFonts w:ascii="Arial" w:hAnsi="Arial"/>
        <w:color w:val="404040"/>
        <w:sz w:val="22"/>
      </w:rPr>
      <w:tcPr>
        <w:shd w:val="clear" w:fill="FFFFFF" w:color="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663">
    <w:name w:val="Plain Table 4"/>
    <w:basedOn w:val="79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fill="FFFFFF" w:color="FFFFFF" w:themeFill="text1" w:themeFillTint="0D"/>
      </w:tcPr>
    </w:tblStylePr>
    <w:tblStylePr w:type="band1Vert">
      <w:rPr>
        <w:rFonts w:ascii="Arial" w:hAnsi="Arial"/>
        <w:color w:val="404040"/>
        <w:sz w:val="22"/>
      </w:rPr>
      <w:tcPr>
        <w:shd w:val="clear" w:fill="FFFFFF" w:color="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64">
    <w:name w:val="Plain Table 5"/>
    <w:basedOn w:val="79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fill="FFFFFF" w:color="FFFFFF" w:themeFill="text1" w:themeFillTint="0D"/>
      </w:tcPr>
    </w:tblStylePr>
    <w:tblStylePr w:type="band1Vert">
      <w:rPr>
        <w:rFonts w:ascii="Arial" w:hAnsi="Arial"/>
        <w:color w:val="404040"/>
        <w:sz w:val="22"/>
      </w:rPr>
      <w:tcPr>
        <w:shd w:val="clear" w:fill="FFFFFF" w:color="FFFFFF" w:themeFill="text1" w:themeFillTint="0D"/>
      </w:tcPr>
    </w:tblStylePr>
    <w:tblStylePr w:type="firstCol">
      <w:rPr>
        <w:i/>
        <w:color w:val="404040"/>
      </w:rPr>
      <w:pPr>
        <w:jc w:val="right"/>
      </w:pPr>
      <w:tcPr>
        <w:shd w:val="clear" w:fill="FFFFFF" w:color="FFFFFF"/>
        <w:tcBorders>
          <w:right w:val="single" w:color="404040" w:sz="4" w:space="0"/>
        </w:tcBorders>
      </w:tcPr>
    </w:tblStylePr>
    <w:tblStylePr w:type="firstRow">
      <w:rPr>
        <w:i/>
        <w:color w:val="404040"/>
      </w:rPr>
      <w:tcPr>
        <w:shd w:val="clear" w:fill="FFFFFF" w:color="FFFFFF"/>
        <w:tcBorders>
          <w:left w:val="none" w:color="000000" w:sz="4" w:space="0"/>
          <w:right w:val="none" w:color="000000" w:sz="4" w:space="0"/>
          <w:bottom w:val="single" w:color="404040" w:sz="4" w:space="0"/>
        </w:tcBorders>
      </w:tcPr>
    </w:tblStylePr>
    <w:tblStylePr w:type="lastCol">
      <w:rPr>
        <w:i/>
        <w:color w:val="404040"/>
      </w:rPr>
      <w:tcPr>
        <w:shd w:val="clear" w:fill="FFFFFF" w:color="FFFFFF"/>
        <w:tcBorders>
          <w:left w:val="single" w:color="404040" w:sz="4" w:space="0"/>
        </w:tcBorders>
      </w:tcPr>
    </w:tblStylePr>
    <w:tblStylePr w:type="lastRow">
      <w:rPr>
        <w:i/>
        <w:color w:val="404040"/>
      </w:rPr>
      <w:tcPr>
        <w:shd w:val="clear" w:fill="FFFFFF" w:color="FFFFFF"/>
        <w:tcBorders>
          <w:left w:val="none" w:color="000000" w:sz="4" w:space="0"/>
          <w:top w:val="single" w:color="404040" w:sz="4" w:space="0"/>
          <w:right w:val="none" w:color="000000" w:sz="4" w:space="0"/>
        </w:tcBorders>
      </w:tcPr>
    </w:tblStylePr>
  </w:style>
  <w:style w:type="table" w:styleId="665">
    <w:name w:val="Grid Table 1 Light"/>
    <w:basedOn w:val="799"/>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666">
    <w:name w:val="Grid Table 1 Light - Accent 1"/>
    <w:basedOn w:val="799"/>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667">
    <w:name w:val="Grid Table 1 Light - Accent 2"/>
    <w:basedOn w:val="799"/>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668">
    <w:name w:val="Grid Table 1 Light - Accent 3"/>
    <w:basedOn w:val="799"/>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669">
    <w:name w:val="Grid Table 1 Light - Accent 4"/>
    <w:basedOn w:val="799"/>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670">
    <w:name w:val="Grid Table 1 Light - Accent 5"/>
    <w:basedOn w:val="799"/>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671">
    <w:name w:val="Grid Table 1 Light - Accent 6"/>
    <w:basedOn w:val="799"/>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672">
    <w:name w:val="Grid Table 2"/>
    <w:basedOn w:val="79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fill="FFFFFF" w:color="FFFFFF" w:themeFill="text1" w:themeFillTint="34"/>
      </w:tcPr>
    </w:tblStylePr>
    <w:tblStylePr w:type="band1Vert">
      <w:rPr>
        <w:rFonts w:ascii="Arial" w:hAnsi="Arial"/>
        <w:color w:val="404040"/>
        <w:sz w:val="22"/>
      </w:rPr>
      <w:tcPr>
        <w:shd w:val="clear" w:fill="FFFFFF" w:color="FFFFFF" w:themeFill="text1"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text1" w:themeTint="95"/>
          <w:right w:val="none" w:color="000000" w:sz="4" w:space="0"/>
          <w:bottom w:val="none" w:color="000000" w:sz="4" w:space="0"/>
        </w:tcBorders>
      </w:tcPr>
    </w:tblStylePr>
  </w:style>
  <w:style w:type="table" w:styleId="673">
    <w:name w:val="Grid Table 2 - Accent 1"/>
    <w:basedOn w:val="79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fill="FFFFFF" w:color="FFFFFF" w:themeFill="accent1" w:themeFillTint="34"/>
      </w:tcPr>
    </w:tblStylePr>
    <w:tblStylePr w:type="band1Vert">
      <w:rPr>
        <w:rFonts w:ascii="Arial" w:hAnsi="Arial"/>
        <w:color w:val="404040"/>
        <w:sz w:val="22"/>
      </w:rPr>
      <w:tcPr>
        <w:shd w:val="clear" w:fill="FFFFFF" w:color="FFFFFF" w:themeFill="accent1"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74">
    <w:name w:val="Grid Table 2 - Accent 2"/>
    <w:basedOn w:val="79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fill="FFFFFF" w:color="FFFFFF" w:themeFill="accent2" w:themeFillTint="32"/>
      </w:tcPr>
    </w:tblStylePr>
    <w:tblStylePr w:type="band1Vert">
      <w:rPr>
        <w:rFonts w:ascii="Arial" w:hAnsi="Arial"/>
        <w:color w:val="404040"/>
        <w:sz w:val="22"/>
      </w:rPr>
      <w:tcPr>
        <w:shd w:val="clear" w:fill="FFFFFF" w:color="FFFFFF" w:themeFill="accent2" w:themeFillTint="32"/>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75">
    <w:name w:val="Grid Table 2 - Accent 3"/>
    <w:basedOn w:val="79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fill="FFFFFF" w:color="FFFFFF" w:themeFill="accent3" w:themeFillTint="34"/>
      </w:tcPr>
    </w:tblStylePr>
    <w:tblStylePr w:type="band1Vert">
      <w:rPr>
        <w:rFonts w:ascii="Arial" w:hAnsi="Arial"/>
        <w:color w:val="404040"/>
        <w:sz w:val="22"/>
      </w:rPr>
      <w:tcPr>
        <w:shd w:val="clear" w:fill="FFFFFF" w:color="FFFFFF" w:themeFill="accent3"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76">
    <w:name w:val="Grid Table 2 - Accent 4"/>
    <w:basedOn w:val="79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fill="FFFFFF" w:color="FFFFFF" w:themeFill="accent4" w:themeFillTint="34"/>
      </w:tcPr>
    </w:tblStylePr>
    <w:tblStylePr w:type="band1Vert">
      <w:rPr>
        <w:rFonts w:ascii="Arial" w:hAnsi="Arial"/>
        <w:color w:val="404040"/>
        <w:sz w:val="22"/>
      </w:rPr>
      <w:tcPr>
        <w:shd w:val="clear" w:fill="FFFFFF" w:color="FFFFFF" w:themeFill="accent4"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77">
    <w:name w:val="Grid Table 2 - Accent 5"/>
    <w:basedOn w:val="79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fill="FFFFFF" w:color="FFFFFF" w:themeFill="accent5" w:themeFillTint="34"/>
      </w:tcPr>
    </w:tblStylePr>
    <w:tblStylePr w:type="band1Vert">
      <w:rPr>
        <w:rFonts w:ascii="Arial" w:hAnsi="Arial"/>
        <w:color w:val="404040"/>
        <w:sz w:val="22"/>
      </w:rPr>
      <w:tcPr>
        <w:shd w:val="clear" w:fill="FFFFFF" w:color="FFFFFF" w:themeFill="accent5"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5"/>
          <w:right w:val="none" w:color="000000" w:sz="4" w:space="0"/>
          <w:bottom w:val="none" w:color="000000" w:sz="4" w:space="0"/>
        </w:tcBorders>
      </w:tcPr>
    </w:tblStylePr>
  </w:style>
  <w:style w:type="table" w:styleId="678">
    <w:name w:val="Grid Table 2 - Accent 6"/>
    <w:basedOn w:val="79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fill="FFFFFF" w:color="FFFFFF" w:themeFill="accent6" w:themeFillTint="34"/>
      </w:tcPr>
    </w:tblStylePr>
    <w:tblStylePr w:type="band1Vert">
      <w:rPr>
        <w:rFonts w:ascii="Arial" w:hAnsi="Arial"/>
        <w:color w:val="404040"/>
        <w:sz w:val="22"/>
      </w:rPr>
      <w:tcPr>
        <w:shd w:val="clear" w:fill="FFFFFF" w:color="FFFFFF" w:themeFill="accent6"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6"/>
          <w:right w:val="none" w:color="000000" w:sz="4" w:space="0"/>
          <w:bottom w:val="none" w:color="000000" w:sz="4" w:space="0"/>
        </w:tcBorders>
      </w:tcPr>
    </w:tblStylePr>
  </w:style>
  <w:style w:type="table" w:styleId="679">
    <w:name w:val="Grid Table 3"/>
    <w:basedOn w:val="79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fill="FFFFFF" w:color="FFFFFF" w:themeFill="text1" w:themeFillTint="34"/>
      </w:tcPr>
    </w:tblStylePr>
    <w:tblStylePr w:type="band1Vert">
      <w:rPr>
        <w:rFonts w:ascii="Arial" w:hAnsi="Arial"/>
        <w:color w:val="404040"/>
        <w:sz w:val="22"/>
      </w:rPr>
      <w:tcPr>
        <w:shd w:val="clear" w:fill="FFFFFF" w:color="FFFFFF" w:themeFill="text1" w:themeFillTint="34"/>
      </w:tcPr>
    </w:tblStylePr>
    <w:tblStylePr w:type="firstCol">
      <w:rPr>
        <w:i/>
        <w:color w:val="404040"/>
      </w:rPr>
      <w:pPr>
        <w:jc w:val="right"/>
      </w:pPr>
      <w:tcPr>
        <w:shd w:val="clear"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680">
    <w:name w:val="Grid Table 3 - Accent 1"/>
    <w:basedOn w:val="79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fill="FFFFFF" w:color="FFFFFF" w:themeFill="accent1" w:themeFillTint="34"/>
      </w:tcPr>
    </w:tblStylePr>
    <w:tblStylePr w:type="band1Vert">
      <w:rPr>
        <w:rFonts w:ascii="Arial" w:hAnsi="Arial"/>
        <w:color w:val="404040"/>
        <w:sz w:val="22"/>
      </w:rPr>
      <w:tcPr>
        <w:shd w:val="clear" w:fill="FFFFFF" w:color="FFFFFF" w:themeFill="accent1" w:themeFillTint="34"/>
      </w:tcPr>
    </w:tblStylePr>
    <w:tblStylePr w:type="firstCol">
      <w:rPr>
        <w:i/>
        <w:color w:val="404040"/>
      </w:rPr>
      <w:pPr>
        <w:jc w:val="right"/>
      </w:pPr>
      <w:tcPr>
        <w:shd w:val="clear"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681">
    <w:name w:val="Grid Table 3 - Accent 2"/>
    <w:basedOn w:val="79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fill="FFFFFF" w:color="FFFFFF" w:themeFill="accent2" w:themeFillTint="32"/>
      </w:tcPr>
    </w:tblStylePr>
    <w:tblStylePr w:type="band1Vert">
      <w:rPr>
        <w:rFonts w:ascii="Arial" w:hAnsi="Arial"/>
        <w:color w:val="404040"/>
        <w:sz w:val="22"/>
      </w:rPr>
      <w:tcPr>
        <w:shd w:val="clear" w:fill="FFFFFF" w:color="FFFFFF" w:themeFill="accent2" w:themeFillTint="32"/>
      </w:tcPr>
    </w:tblStylePr>
    <w:tblStylePr w:type="firstCol">
      <w:rPr>
        <w:i/>
        <w:color w:val="404040"/>
      </w:rPr>
      <w:pPr>
        <w:jc w:val="right"/>
      </w:pPr>
      <w:tcPr>
        <w:shd w:val="clear"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682">
    <w:name w:val="Grid Table 3 - Accent 3"/>
    <w:basedOn w:val="79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fill="FFFFFF" w:color="FFFFFF" w:themeFill="accent3" w:themeFillTint="34"/>
      </w:tcPr>
    </w:tblStylePr>
    <w:tblStylePr w:type="band1Vert">
      <w:rPr>
        <w:rFonts w:ascii="Arial" w:hAnsi="Arial"/>
        <w:color w:val="404040"/>
        <w:sz w:val="22"/>
      </w:rPr>
      <w:tcPr>
        <w:shd w:val="clear" w:fill="FFFFFF" w:color="FFFFFF" w:themeFill="accent3" w:themeFillTint="34"/>
      </w:tcPr>
    </w:tblStylePr>
    <w:tblStylePr w:type="firstCol">
      <w:rPr>
        <w:i/>
        <w:color w:val="404040"/>
      </w:rPr>
      <w:pPr>
        <w:jc w:val="right"/>
      </w:pPr>
      <w:tcPr>
        <w:shd w:val="clear"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683">
    <w:name w:val="Grid Table 3 - Accent 4"/>
    <w:basedOn w:val="79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fill="FFFFFF" w:color="FFFFFF" w:themeFill="accent4" w:themeFillTint="34"/>
      </w:tcPr>
    </w:tblStylePr>
    <w:tblStylePr w:type="band1Vert">
      <w:rPr>
        <w:rFonts w:ascii="Arial" w:hAnsi="Arial"/>
        <w:color w:val="404040"/>
        <w:sz w:val="22"/>
      </w:rPr>
      <w:tcPr>
        <w:shd w:val="clear" w:fill="FFFFFF" w:color="FFFFFF" w:themeFill="accent4" w:themeFillTint="34"/>
      </w:tcPr>
    </w:tblStylePr>
    <w:tblStylePr w:type="firstCol">
      <w:rPr>
        <w:i/>
        <w:color w:val="404040"/>
      </w:rPr>
      <w:pPr>
        <w:jc w:val="right"/>
      </w:pPr>
      <w:tcPr>
        <w:shd w:val="clear"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684">
    <w:name w:val="Grid Table 3 - Accent 5"/>
    <w:basedOn w:val="79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fill="FFFFFF" w:color="FFFFFF" w:themeFill="accent5" w:themeFillTint="34"/>
      </w:tcPr>
    </w:tblStylePr>
    <w:tblStylePr w:type="band1Vert">
      <w:rPr>
        <w:rFonts w:ascii="Arial" w:hAnsi="Arial"/>
        <w:color w:val="404040"/>
        <w:sz w:val="22"/>
      </w:rPr>
      <w:tcPr>
        <w:shd w:val="clear" w:fill="FFFFFF" w:color="FFFFFF" w:themeFill="accent5" w:themeFillTint="34"/>
      </w:tcPr>
    </w:tblStylePr>
    <w:tblStylePr w:type="firstCol">
      <w:rPr>
        <w:i/>
        <w:color w:val="404040"/>
      </w:rPr>
      <w:pPr>
        <w:jc w:val="right"/>
      </w:pPr>
      <w:tcPr>
        <w:shd w:val="clear"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685">
    <w:name w:val="Grid Table 3 - Accent 6"/>
    <w:basedOn w:val="79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fill="FFFFFF" w:color="FFFFFF" w:themeFill="accent6" w:themeFillTint="34"/>
      </w:tcPr>
    </w:tblStylePr>
    <w:tblStylePr w:type="band1Vert">
      <w:rPr>
        <w:rFonts w:ascii="Arial" w:hAnsi="Arial"/>
        <w:color w:val="404040"/>
        <w:sz w:val="22"/>
      </w:rPr>
      <w:tcPr>
        <w:shd w:val="clear" w:fill="FFFFFF" w:color="FFFFFF" w:themeFill="accent6" w:themeFillTint="34"/>
      </w:tcPr>
    </w:tblStylePr>
    <w:tblStylePr w:type="firstCol">
      <w:rPr>
        <w:i/>
        <w:color w:val="404040"/>
      </w:rPr>
      <w:pPr>
        <w:jc w:val="right"/>
      </w:pPr>
      <w:tcPr>
        <w:shd w:val="clear"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686">
    <w:name w:val="Grid Table 4"/>
    <w:basedOn w:val="799"/>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fill="FFFFFF" w:color="FFFFFF" w:themeFill="text1" w:themeFillTint="34"/>
      </w:tcPr>
    </w:tblStylePr>
    <w:tblStylePr w:type="band1Vert">
      <w:rPr>
        <w:rFonts w:ascii="Arial" w:hAnsi="Arial"/>
        <w:color w:val="404040"/>
        <w:sz w:val="22"/>
      </w:rPr>
      <w:tcPr>
        <w:shd w:val="clear" w:fill="FFFFFF" w:color="FFFFFF" w:themeFill="text1" w:themeFillTint="34"/>
      </w:tcPr>
    </w:tblStylePr>
    <w:tblStylePr w:type="firstCol">
      <w:rPr>
        <w:b/>
        <w:color w:val="404040"/>
      </w:rPr>
    </w:tblStylePr>
    <w:tblStylePr w:type="firstRow">
      <w:rPr>
        <w:rFonts w:ascii="Arial" w:hAnsi="Arial"/>
        <w:b/>
        <w:color w:val="FFFFFF"/>
        <w:sz w:val="22"/>
      </w:rPr>
      <w:tcPr>
        <w:shd w:val="clear" w:fill="FFFFFF" w:color="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687">
    <w:name w:val="Grid Table 4 - Accent 1"/>
    <w:basedOn w:val="799"/>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fill="FFFFFF" w:color="FFFFFF" w:themeFill="accent1" w:themeFillTint="32"/>
      </w:tcPr>
    </w:tblStylePr>
    <w:tblStylePr w:type="band1Vert">
      <w:rPr>
        <w:rFonts w:ascii="Arial" w:hAnsi="Arial"/>
        <w:color w:val="404040"/>
        <w:sz w:val="22"/>
      </w:rPr>
      <w:tcPr>
        <w:shd w:val="clear" w:fill="FFFFFF" w:color="FFFFFF" w:themeFill="accent1" w:themeFillTint="32"/>
      </w:tcPr>
    </w:tblStylePr>
    <w:tblStylePr w:type="firstCol">
      <w:rPr>
        <w:b/>
        <w:color w:val="404040"/>
      </w:rPr>
    </w:tblStylePr>
    <w:tblStylePr w:type="firstRow">
      <w:rPr>
        <w:rFonts w:ascii="Arial" w:hAnsi="Arial"/>
        <w:b/>
        <w:color w:val="FFFFFF"/>
        <w:sz w:val="22"/>
      </w:rPr>
      <w:tcPr>
        <w:shd w:val="clear" w:fill="FFFFFF" w:color="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688">
    <w:name w:val="Grid Table 4 - Accent 2"/>
    <w:basedOn w:val="799"/>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fill="FFFFFF" w:color="FFFFFF" w:themeFill="accent2" w:themeFillTint="32"/>
      </w:tcPr>
    </w:tblStylePr>
    <w:tblStylePr w:type="band1Vert">
      <w:rPr>
        <w:rFonts w:ascii="Arial" w:hAnsi="Arial"/>
        <w:color w:val="404040"/>
        <w:sz w:val="22"/>
      </w:rPr>
      <w:tcPr>
        <w:shd w:val="clear" w:fill="FFFFFF" w:color="FFFFFF" w:themeFill="accent2" w:themeFillTint="32"/>
      </w:tcPr>
    </w:tblStylePr>
    <w:tblStylePr w:type="firstCol">
      <w:rPr>
        <w:b/>
        <w:color w:val="404040"/>
      </w:rPr>
    </w:tblStylePr>
    <w:tblStylePr w:type="firstRow">
      <w:rPr>
        <w:rFonts w:ascii="Arial" w:hAnsi="Arial"/>
        <w:b/>
        <w:color w:val="FFFFFF"/>
        <w:sz w:val="22"/>
      </w:rPr>
      <w:tcPr>
        <w:shd w:val="clear" w:fill="FFFFFF" w:color="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689">
    <w:name w:val="Grid Table 4 - Accent 3"/>
    <w:basedOn w:val="799"/>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fill="FFFFFF" w:color="FFFFFF" w:themeFill="accent3" w:themeFillTint="34"/>
      </w:tcPr>
    </w:tblStylePr>
    <w:tblStylePr w:type="band1Vert">
      <w:rPr>
        <w:rFonts w:ascii="Arial" w:hAnsi="Arial"/>
        <w:color w:val="404040"/>
        <w:sz w:val="22"/>
      </w:rPr>
      <w:tcPr>
        <w:shd w:val="clear" w:fill="FFFFFF" w:color="FFFFFF" w:themeFill="accent3" w:themeFillTint="34"/>
      </w:tcPr>
    </w:tblStylePr>
    <w:tblStylePr w:type="firstCol">
      <w:rPr>
        <w:b/>
        <w:color w:val="404040"/>
      </w:rPr>
    </w:tblStylePr>
    <w:tblStylePr w:type="firstRow">
      <w:rPr>
        <w:rFonts w:ascii="Arial" w:hAnsi="Arial"/>
        <w:b/>
        <w:color w:val="FFFFFF"/>
        <w:sz w:val="22"/>
      </w:rPr>
      <w:tcPr>
        <w:shd w:val="clear" w:fill="FFFFFF" w:color="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690">
    <w:name w:val="Grid Table 4 - Accent 4"/>
    <w:basedOn w:val="799"/>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fill="FFFFFF" w:color="FFFFFF" w:themeFill="accent4" w:themeFillTint="34"/>
      </w:tcPr>
    </w:tblStylePr>
    <w:tblStylePr w:type="band1Vert">
      <w:rPr>
        <w:rFonts w:ascii="Arial" w:hAnsi="Arial"/>
        <w:color w:val="404040"/>
        <w:sz w:val="22"/>
      </w:rPr>
      <w:tcPr>
        <w:shd w:val="clear" w:fill="FFFFFF" w:color="FFFFFF" w:themeFill="accent4" w:themeFillTint="34"/>
      </w:tcPr>
    </w:tblStylePr>
    <w:tblStylePr w:type="firstCol">
      <w:rPr>
        <w:b/>
        <w:color w:val="404040"/>
      </w:rPr>
    </w:tblStylePr>
    <w:tblStylePr w:type="firstRow">
      <w:rPr>
        <w:rFonts w:ascii="Arial" w:hAnsi="Arial"/>
        <w:b/>
        <w:color w:val="FFFFFF"/>
        <w:sz w:val="22"/>
      </w:rPr>
      <w:tcPr>
        <w:shd w:val="clear" w:fill="FFFFFF" w:color="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691">
    <w:name w:val="Grid Table 4 - Accent 5"/>
    <w:basedOn w:val="799"/>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fill="FFFFFF" w:color="FFFFFF" w:themeFill="accent5" w:themeFillTint="34"/>
      </w:tcPr>
    </w:tblStylePr>
    <w:tblStylePr w:type="band1Vert">
      <w:rPr>
        <w:rFonts w:ascii="Arial" w:hAnsi="Arial"/>
        <w:color w:val="404040"/>
        <w:sz w:val="22"/>
      </w:rPr>
      <w:tcPr>
        <w:shd w:val="clear" w:fill="FFFFFF" w:color="FFFFFF" w:themeFill="accent5" w:themeFillTint="34"/>
      </w:tcPr>
    </w:tblStylePr>
    <w:tblStylePr w:type="firstCol">
      <w:rPr>
        <w:b/>
        <w:color w:val="404040"/>
      </w:rPr>
    </w:tblStylePr>
    <w:tblStylePr w:type="firstRow">
      <w:rPr>
        <w:rFonts w:ascii="Arial" w:hAnsi="Arial"/>
        <w:b/>
        <w:color w:val="FFFFFF"/>
        <w:sz w:val="22"/>
      </w:rPr>
      <w:tcPr>
        <w:shd w:val="clear" w:fill="FFFFFF" w:color="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692">
    <w:name w:val="Grid Table 4 - Accent 6"/>
    <w:basedOn w:val="799"/>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fill="FFFFFF" w:color="FFFFFF" w:themeFill="accent6" w:themeFillTint="34"/>
      </w:tcPr>
    </w:tblStylePr>
    <w:tblStylePr w:type="band1Vert">
      <w:rPr>
        <w:rFonts w:ascii="Arial" w:hAnsi="Arial"/>
        <w:color w:val="404040"/>
        <w:sz w:val="22"/>
      </w:rPr>
      <w:tcPr>
        <w:shd w:val="clear" w:fill="FFFFFF" w:color="FFFFFF" w:themeFill="accent6" w:themeFillTint="34"/>
      </w:tcPr>
    </w:tblStylePr>
    <w:tblStylePr w:type="firstCol">
      <w:rPr>
        <w:b/>
        <w:color w:val="404040"/>
      </w:rPr>
    </w:tblStylePr>
    <w:tblStylePr w:type="firstRow">
      <w:rPr>
        <w:rFonts w:ascii="Arial" w:hAnsi="Arial"/>
        <w:b/>
        <w:color w:val="FFFFFF"/>
        <w:sz w:val="22"/>
      </w:rPr>
      <w:tcPr>
        <w:shd w:val="clear" w:fill="FFFFFF" w:color="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693">
    <w:name w:val="Grid Table 5 Dark"/>
    <w:basedOn w:val="79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text1" w:themeFillTint="40"/>
    </w:tblPr>
    <w:tblStylePr w:type="band1Horz">
      <w:tcPr>
        <w:shd w:val="clear" w:fill="FFFFFF" w:color="FFFFFF" w:themeFill="text1" w:themeFillTint="75"/>
      </w:tcPr>
    </w:tblStylePr>
    <w:tblStylePr w:type="band1Vert">
      <w:tcPr>
        <w:shd w:val="clear" w:fill="FFFFFF" w:color="FFFFFF" w:themeFill="text1" w:themeFillTint="75"/>
      </w:tcPr>
    </w:tblStylePr>
    <w:tblStylePr w:type="firstCol">
      <w:rPr>
        <w:rFonts w:ascii="Arial" w:hAnsi="Arial"/>
        <w:b/>
        <w:color w:val="FFFFFF"/>
        <w:sz w:val="22"/>
      </w:rPr>
      <w:tcPr>
        <w:shd w:val="clear" w:fill="FFFFFF" w:color="FFFFFF" w:themeFill="text1"/>
      </w:tcPr>
    </w:tblStylePr>
    <w:tblStylePr w:type="firstRow">
      <w:rPr>
        <w:rFonts w:ascii="Arial" w:hAnsi="Arial"/>
        <w:b/>
        <w:color w:val="FFFFFF"/>
        <w:sz w:val="22"/>
      </w:rPr>
      <w:tcPr>
        <w:shd w:val="clear" w:fill="FFFFFF" w:color="FFFFFF" w:themeFill="text1"/>
      </w:tcPr>
    </w:tblStylePr>
    <w:tblStylePr w:type="lastCol">
      <w:rPr>
        <w:rFonts w:ascii="Arial" w:hAnsi="Arial"/>
        <w:b/>
        <w:color w:val="FFFFFF"/>
        <w:sz w:val="22"/>
      </w:rPr>
      <w:tcPr>
        <w:shd w:val="clear" w:fill="FFFFFF" w:color="FFFFFF" w:themeFill="text1"/>
      </w:tcPr>
    </w:tblStylePr>
    <w:tblStylePr w:type="lastRow">
      <w:rPr>
        <w:rFonts w:ascii="Arial" w:hAnsi="Arial"/>
        <w:b/>
        <w:color w:val="FFFFFF"/>
        <w:sz w:val="22"/>
      </w:rPr>
      <w:tcPr>
        <w:shd w:val="clear" w:fill="FFFFFF" w:color="FFFFFF" w:themeFill="text1"/>
        <w:tcBorders>
          <w:top w:val="single" w:color="000000" w:sz="4" w:space="0" w:themeColor="light1"/>
        </w:tcBorders>
      </w:tcPr>
    </w:tblStylePr>
  </w:style>
  <w:style w:type="table" w:styleId="694">
    <w:name w:val="Grid Table 5 Dark- Accent 1"/>
    <w:basedOn w:val="79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1" w:themeFillTint="34"/>
    </w:tblPr>
    <w:tblStylePr w:type="band1Horz">
      <w:tcPr>
        <w:shd w:val="clear" w:fill="FFFFFF" w:color="FFFFFF" w:themeFill="accent1" w:themeFillTint="75"/>
      </w:tcPr>
    </w:tblStylePr>
    <w:tblStylePr w:type="band1Vert">
      <w:tcPr>
        <w:shd w:val="clear" w:fill="FFFFFF" w:color="FFFFFF" w:themeFill="accent1" w:themeFillTint="75"/>
      </w:tcPr>
    </w:tblStylePr>
    <w:tblStylePr w:type="firstCol">
      <w:rPr>
        <w:rFonts w:ascii="Arial" w:hAnsi="Arial"/>
        <w:b/>
        <w:color w:val="FFFFFF"/>
        <w:sz w:val="22"/>
      </w:rPr>
      <w:tcPr>
        <w:shd w:val="clear" w:fill="FFFFFF" w:color="FFFFFF" w:themeFill="accent1"/>
      </w:tcPr>
    </w:tblStylePr>
    <w:tblStylePr w:type="firstRow">
      <w:rPr>
        <w:rFonts w:ascii="Arial" w:hAnsi="Arial"/>
        <w:b/>
        <w:color w:val="FFFFFF"/>
        <w:sz w:val="22"/>
      </w:rPr>
      <w:tcPr>
        <w:shd w:val="clear" w:fill="FFFFFF" w:color="FFFFFF" w:themeFill="accent1"/>
      </w:tcPr>
    </w:tblStylePr>
    <w:tblStylePr w:type="lastCol">
      <w:rPr>
        <w:rFonts w:ascii="Arial" w:hAnsi="Arial"/>
        <w:b/>
        <w:color w:val="FFFFFF"/>
        <w:sz w:val="22"/>
      </w:rPr>
      <w:tcPr>
        <w:shd w:val="clear" w:fill="FFFFFF" w:color="FFFFFF" w:themeFill="accent1"/>
      </w:tcPr>
    </w:tblStylePr>
    <w:tblStylePr w:type="lastRow">
      <w:rPr>
        <w:rFonts w:ascii="Arial" w:hAnsi="Arial"/>
        <w:b/>
        <w:color w:val="FFFFFF"/>
        <w:sz w:val="22"/>
      </w:rPr>
      <w:tcPr>
        <w:shd w:val="clear" w:fill="FFFFFF" w:color="FFFFFF" w:themeFill="accent1"/>
        <w:tcBorders>
          <w:top w:val="single" w:color="000000" w:sz="4" w:space="0" w:themeColor="light1"/>
        </w:tcBorders>
      </w:tcPr>
    </w:tblStylePr>
  </w:style>
  <w:style w:type="table" w:styleId="695">
    <w:name w:val="Grid Table 5 Dark - Accent 2"/>
    <w:basedOn w:val="79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2" w:themeFillTint="32"/>
    </w:tblPr>
    <w:tblStylePr w:type="band1Horz">
      <w:tcPr>
        <w:shd w:val="clear" w:fill="FFFFFF" w:color="FFFFFF" w:themeFill="accent2" w:themeFillTint="75"/>
      </w:tcPr>
    </w:tblStylePr>
    <w:tblStylePr w:type="band1Vert">
      <w:tcPr>
        <w:shd w:val="clear" w:fill="FFFFFF" w:color="FFFFFF" w:themeFill="accent2" w:themeFillTint="75"/>
      </w:tcPr>
    </w:tblStylePr>
    <w:tblStylePr w:type="firstCol">
      <w:rPr>
        <w:rFonts w:ascii="Arial" w:hAnsi="Arial"/>
        <w:b/>
        <w:color w:val="FFFFFF"/>
        <w:sz w:val="22"/>
      </w:rPr>
      <w:tcPr>
        <w:shd w:val="clear" w:fill="FFFFFF" w:color="FFFFFF" w:themeFill="accent2"/>
      </w:tcPr>
    </w:tblStylePr>
    <w:tblStylePr w:type="firstRow">
      <w:rPr>
        <w:rFonts w:ascii="Arial" w:hAnsi="Arial"/>
        <w:b/>
        <w:color w:val="FFFFFF"/>
        <w:sz w:val="22"/>
      </w:rPr>
      <w:tcPr>
        <w:shd w:val="clear" w:fill="FFFFFF" w:color="FFFFFF" w:themeFill="accent2"/>
      </w:tcPr>
    </w:tblStylePr>
    <w:tblStylePr w:type="lastCol">
      <w:rPr>
        <w:rFonts w:ascii="Arial" w:hAnsi="Arial"/>
        <w:b/>
        <w:color w:val="FFFFFF"/>
        <w:sz w:val="22"/>
      </w:rPr>
      <w:tcPr>
        <w:shd w:val="clear" w:fill="FFFFFF" w:color="FFFFFF" w:themeFill="accent2"/>
      </w:tcPr>
    </w:tblStylePr>
    <w:tblStylePr w:type="lastRow">
      <w:rPr>
        <w:rFonts w:ascii="Arial" w:hAnsi="Arial"/>
        <w:b/>
        <w:color w:val="FFFFFF"/>
        <w:sz w:val="22"/>
      </w:rPr>
      <w:tcPr>
        <w:shd w:val="clear" w:fill="FFFFFF" w:color="FFFFFF" w:themeFill="accent2"/>
        <w:tcBorders>
          <w:top w:val="single" w:color="000000" w:sz="4" w:space="0" w:themeColor="light1"/>
        </w:tcBorders>
      </w:tcPr>
    </w:tblStylePr>
  </w:style>
  <w:style w:type="table" w:styleId="696">
    <w:name w:val="Grid Table 5 Dark - Accent 3"/>
    <w:basedOn w:val="79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3" w:themeFillTint="34"/>
    </w:tblPr>
    <w:tblStylePr w:type="band1Horz">
      <w:tcPr>
        <w:shd w:val="clear" w:fill="FFFFFF" w:color="FFFFFF" w:themeFill="accent3" w:themeFillTint="75"/>
      </w:tcPr>
    </w:tblStylePr>
    <w:tblStylePr w:type="band1Vert">
      <w:tcPr>
        <w:shd w:val="clear" w:fill="FFFFFF" w:color="FFFFFF" w:themeFill="accent3" w:themeFillTint="75"/>
      </w:tcPr>
    </w:tblStylePr>
    <w:tblStylePr w:type="firstCol">
      <w:rPr>
        <w:rFonts w:ascii="Arial" w:hAnsi="Arial"/>
        <w:b/>
        <w:color w:val="FFFFFF"/>
        <w:sz w:val="22"/>
      </w:rPr>
      <w:tcPr>
        <w:shd w:val="clear" w:fill="FFFFFF" w:color="FFFFFF" w:themeFill="accent3"/>
      </w:tcPr>
    </w:tblStylePr>
    <w:tblStylePr w:type="firstRow">
      <w:rPr>
        <w:rFonts w:ascii="Arial" w:hAnsi="Arial"/>
        <w:b/>
        <w:color w:val="FFFFFF"/>
        <w:sz w:val="22"/>
      </w:rPr>
      <w:tcPr>
        <w:shd w:val="clear" w:fill="FFFFFF" w:color="FFFFFF" w:themeFill="accent3"/>
      </w:tcPr>
    </w:tblStylePr>
    <w:tblStylePr w:type="lastCol">
      <w:rPr>
        <w:rFonts w:ascii="Arial" w:hAnsi="Arial"/>
        <w:b/>
        <w:color w:val="FFFFFF"/>
        <w:sz w:val="22"/>
      </w:rPr>
      <w:tcPr>
        <w:shd w:val="clear" w:fill="FFFFFF" w:color="FFFFFF" w:themeFill="accent3"/>
      </w:tcPr>
    </w:tblStylePr>
    <w:tblStylePr w:type="lastRow">
      <w:rPr>
        <w:rFonts w:ascii="Arial" w:hAnsi="Arial"/>
        <w:b/>
        <w:color w:val="FFFFFF"/>
        <w:sz w:val="22"/>
      </w:rPr>
      <w:tcPr>
        <w:shd w:val="clear" w:fill="FFFFFF" w:color="FFFFFF" w:themeFill="accent3"/>
        <w:tcBorders>
          <w:top w:val="single" w:color="000000" w:sz="4" w:space="0" w:themeColor="light1"/>
        </w:tcBorders>
      </w:tcPr>
    </w:tblStylePr>
  </w:style>
  <w:style w:type="table" w:styleId="697">
    <w:name w:val="Grid Table 5 Dark- Accent 4"/>
    <w:basedOn w:val="79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4" w:themeFillTint="34"/>
    </w:tblPr>
    <w:tblStylePr w:type="band1Horz">
      <w:tcPr>
        <w:shd w:val="clear" w:fill="FFFFFF" w:color="FFFFFF" w:themeFill="accent4" w:themeFillTint="75"/>
      </w:tcPr>
    </w:tblStylePr>
    <w:tblStylePr w:type="band1Vert">
      <w:tcPr>
        <w:shd w:val="clear" w:fill="FFFFFF" w:color="FFFFFF" w:themeFill="accent4" w:themeFillTint="75"/>
      </w:tcPr>
    </w:tblStylePr>
    <w:tblStylePr w:type="firstCol">
      <w:rPr>
        <w:rFonts w:ascii="Arial" w:hAnsi="Arial"/>
        <w:b/>
        <w:color w:val="FFFFFF"/>
        <w:sz w:val="22"/>
      </w:rPr>
      <w:tcPr>
        <w:shd w:val="clear" w:fill="FFFFFF" w:color="FFFFFF" w:themeFill="accent4"/>
      </w:tcPr>
    </w:tblStylePr>
    <w:tblStylePr w:type="firstRow">
      <w:rPr>
        <w:rFonts w:ascii="Arial" w:hAnsi="Arial"/>
        <w:b/>
        <w:color w:val="FFFFFF"/>
        <w:sz w:val="22"/>
      </w:rPr>
      <w:tcPr>
        <w:shd w:val="clear" w:fill="FFFFFF" w:color="FFFFFF" w:themeFill="accent4"/>
      </w:tcPr>
    </w:tblStylePr>
    <w:tblStylePr w:type="lastCol">
      <w:rPr>
        <w:rFonts w:ascii="Arial" w:hAnsi="Arial"/>
        <w:b/>
        <w:color w:val="FFFFFF"/>
        <w:sz w:val="22"/>
      </w:rPr>
      <w:tcPr>
        <w:shd w:val="clear" w:fill="FFFFFF" w:color="FFFFFF" w:themeFill="accent4"/>
      </w:tcPr>
    </w:tblStylePr>
    <w:tblStylePr w:type="lastRow">
      <w:rPr>
        <w:rFonts w:ascii="Arial" w:hAnsi="Arial"/>
        <w:b/>
        <w:color w:val="FFFFFF"/>
        <w:sz w:val="22"/>
      </w:rPr>
      <w:tcPr>
        <w:shd w:val="clear" w:fill="FFFFFF" w:color="FFFFFF" w:themeFill="accent4"/>
        <w:tcBorders>
          <w:top w:val="single" w:color="000000" w:sz="4" w:space="0" w:themeColor="light1"/>
        </w:tcBorders>
      </w:tcPr>
    </w:tblStylePr>
  </w:style>
  <w:style w:type="table" w:styleId="698">
    <w:name w:val="Grid Table 5 Dark - Accent 5"/>
    <w:basedOn w:val="79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5" w:themeFillTint="34"/>
    </w:tblPr>
    <w:tblStylePr w:type="band1Horz">
      <w:tcPr>
        <w:shd w:val="clear" w:fill="FFFFFF" w:color="FFFFFF" w:themeFill="accent5" w:themeFillTint="75"/>
      </w:tcPr>
    </w:tblStylePr>
    <w:tblStylePr w:type="band1Vert">
      <w:tcPr>
        <w:shd w:val="clear" w:fill="FFFFFF" w:color="FFFFFF" w:themeFill="accent5" w:themeFillTint="75"/>
      </w:tcPr>
    </w:tblStylePr>
    <w:tblStylePr w:type="firstCol">
      <w:rPr>
        <w:rFonts w:ascii="Arial" w:hAnsi="Arial"/>
        <w:b/>
        <w:color w:val="FFFFFF"/>
        <w:sz w:val="22"/>
      </w:rPr>
      <w:tcPr>
        <w:shd w:val="clear" w:fill="FFFFFF" w:color="FFFFFF" w:themeFill="accent5"/>
      </w:tcPr>
    </w:tblStylePr>
    <w:tblStylePr w:type="firstRow">
      <w:rPr>
        <w:rFonts w:ascii="Arial" w:hAnsi="Arial"/>
        <w:b/>
        <w:color w:val="FFFFFF"/>
        <w:sz w:val="22"/>
      </w:rPr>
      <w:tcPr>
        <w:shd w:val="clear" w:fill="FFFFFF" w:color="FFFFFF" w:themeFill="accent5"/>
      </w:tcPr>
    </w:tblStylePr>
    <w:tblStylePr w:type="lastCol">
      <w:rPr>
        <w:rFonts w:ascii="Arial" w:hAnsi="Arial"/>
        <w:b/>
        <w:color w:val="FFFFFF"/>
        <w:sz w:val="22"/>
      </w:rPr>
      <w:tcPr>
        <w:shd w:val="clear" w:fill="FFFFFF" w:color="FFFFFF" w:themeFill="accent5"/>
      </w:tcPr>
    </w:tblStylePr>
    <w:tblStylePr w:type="lastRow">
      <w:rPr>
        <w:rFonts w:ascii="Arial" w:hAnsi="Arial"/>
        <w:b/>
        <w:color w:val="FFFFFF"/>
        <w:sz w:val="22"/>
      </w:rPr>
      <w:tcPr>
        <w:shd w:val="clear" w:fill="FFFFFF" w:color="FFFFFF" w:themeFill="accent5"/>
        <w:tcBorders>
          <w:top w:val="single" w:color="000000" w:sz="4" w:space="0" w:themeColor="light1"/>
        </w:tcBorders>
      </w:tcPr>
    </w:tblStylePr>
  </w:style>
  <w:style w:type="table" w:styleId="699">
    <w:name w:val="Grid Table 5 Dark - Accent 6"/>
    <w:basedOn w:val="79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6" w:themeFillTint="34"/>
    </w:tblPr>
    <w:tblStylePr w:type="band1Horz">
      <w:tcPr>
        <w:shd w:val="clear" w:fill="FFFFFF" w:color="FFFFFF" w:themeFill="accent6" w:themeFillTint="75"/>
      </w:tcPr>
    </w:tblStylePr>
    <w:tblStylePr w:type="band1Vert">
      <w:tcPr>
        <w:shd w:val="clear" w:fill="FFFFFF" w:color="FFFFFF" w:themeFill="accent6" w:themeFillTint="75"/>
      </w:tcPr>
    </w:tblStylePr>
    <w:tblStylePr w:type="firstCol">
      <w:rPr>
        <w:rFonts w:ascii="Arial" w:hAnsi="Arial"/>
        <w:b/>
        <w:color w:val="FFFFFF"/>
        <w:sz w:val="22"/>
      </w:rPr>
      <w:tcPr>
        <w:shd w:val="clear" w:fill="FFFFFF" w:color="FFFFFF" w:themeFill="accent6"/>
      </w:tcPr>
    </w:tblStylePr>
    <w:tblStylePr w:type="firstRow">
      <w:rPr>
        <w:rFonts w:ascii="Arial" w:hAnsi="Arial"/>
        <w:b/>
        <w:color w:val="FFFFFF"/>
        <w:sz w:val="22"/>
      </w:rPr>
      <w:tcPr>
        <w:shd w:val="clear" w:fill="FFFFFF" w:color="FFFFFF" w:themeFill="accent6"/>
      </w:tcPr>
    </w:tblStylePr>
    <w:tblStylePr w:type="lastCol">
      <w:rPr>
        <w:rFonts w:ascii="Arial" w:hAnsi="Arial"/>
        <w:b/>
        <w:color w:val="FFFFFF"/>
        <w:sz w:val="22"/>
      </w:rPr>
      <w:tcPr>
        <w:shd w:val="clear" w:fill="FFFFFF" w:color="FFFFFF" w:themeFill="accent6"/>
      </w:tcPr>
    </w:tblStylePr>
    <w:tblStylePr w:type="lastRow">
      <w:rPr>
        <w:rFonts w:ascii="Arial" w:hAnsi="Arial"/>
        <w:b/>
        <w:color w:val="FFFFFF"/>
        <w:sz w:val="22"/>
      </w:rPr>
      <w:tcPr>
        <w:shd w:val="clear" w:fill="FFFFFF" w:color="FFFFFF" w:themeFill="accent6"/>
        <w:tcBorders>
          <w:top w:val="single" w:color="000000" w:sz="4" w:space="0" w:themeColor="light1"/>
        </w:tcBorders>
      </w:tcPr>
    </w:tblStylePr>
  </w:style>
  <w:style w:type="table" w:styleId="700">
    <w:name w:val="Grid Table 6 Colorful"/>
    <w:basedOn w:val="799"/>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fill="FFFFFF" w:color="FFFFFF" w:themeFill="text1" w:themeFillTint="34"/>
      </w:tcPr>
    </w:tblStylePr>
    <w:tblStylePr w:type="band1Vert">
      <w:tcPr>
        <w:shd w:val="clear" w:fill="FFFFFF" w:color="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01">
    <w:name w:val="Grid Table 6 Colorful - Accent 1"/>
    <w:basedOn w:val="799"/>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fill="FFFFFF" w:color="FFFFFF" w:themeFill="accent1" w:themeFillTint="34"/>
      </w:tcPr>
    </w:tblStylePr>
    <w:tblStylePr w:type="band1Vert">
      <w:tcPr>
        <w:shd w:val="clear" w:fill="FFFFFF" w:color="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02">
    <w:name w:val="Grid Table 6 Colorful - Accent 2"/>
    <w:basedOn w:val="79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fill="FFFFFF" w:color="FFFFFF" w:themeFill="accent2" w:themeFillTint="32"/>
      </w:tcPr>
    </w:tblStylePr>
    <w:tblStylePr w:type="band1Vert">
      <w:tcPr>
        <w:shd w:val="clear" w:fill="FFFFFF" w:color="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03">
    <w:name w:val="Grid Table 6 Colorful - Accent 3"/>
    <w:basedOn w:val="799"/>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fill="FFFFFF" w:color="FFFFFF" w:themeFill="accent3" w:themeFillTint="34"/>
      </w:tcPr>
    </w:tblStylePr>
    <w:tblStylePr w:type="band1Vert">
      <w:tcPr>
        <w:shd w:val="clear" w:fill="FFFFFF" w:color="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04">
    <w:name w:val="Grid Table 6 Colorful - Accent 4"/>
    <w:basedOn w:val="79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fill="FFFFFF" w:color="FFFFFF" w:themeFill="accent4" w:themeFillTint="34"/>
      </w:tcPr>
    </w:tblStylePr>
    <w:tblStylePr w:type="band1Vert">
      <w:tcPr>
        <w:shd w:val="clear" w:fill="FFFFFF" w:color="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05">
    <w:name w:val="Grid Table 6 Colorful - Accent 5"/>
    <w:basedOn w:val="799"/>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fill="FFFFFF" w:color="FFFFFF" w:themeFill="accent5" w:themeFillTint="34"/>
      </w:tcPr>
    </w:tblStylePr>
    <w:tblStylePr w:type="band1Vert">
      <w:tcPr>
        <w:shd w:val="clear" w:fill="FFFFFF" w:color="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06">
    <w:name w:val="Grid Table 6 Colorful - Accent 6"/>
    <w:basedOn w:val="799"/>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fill="FFFFFF" w:color="FFFFFF" w:themeFill="accent6" w:themeFillTint="34"/>
      </w:tcPr>
    </w:tblStylePr>
    <w:tblStylePr w:type="band1Vert">
      <w:tcPr>
        <w:shd w:val="clear" w:fill="FFFFFF" w:color="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07">
    <w:name w:val="Grid Table 7 Colorful"/>
    <w:basedOn w:val="799"/>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fill="FFFFFF" w:color="FFFFFF" w:themeFill="text1" w:themeFillTint="0D"/>
      </w:tcPr>
    </w:tblStylePr>
    <w:tblStylePr w:type="band1Vert">
      <w:tcPr>
        <w:shd w:val="clear" w:fill="FFFFFF" w:color="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fill="FFFFFF" w:color="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fill="FFFFFF" w:color="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fill="FFFFFF" w:color="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708">
    <w:name w:val="Grid Table 7 Colorful - Accent 1"/>
    <w:basedOn w:val="799"/>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fill="FFFFFF" w:color="FFFFFF" w:themeFill="accent1" w:themeFillTint="34"/>
      </w:tcPr>
    </w:tblStylePr>
    <w:tblStylePr w:type="band1Vert">
      <w:tcPr>
        <w:shd w:val="clear" w:fill="FFFFFF" w:color="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fill="FFFFFF" w:color="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fill="FFFFFF" w:color="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fill="FFFFFF" w:color="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709">
    <w:name w:val="Grid Table 7 Colorful - Accent 2"/>
    <w:basedOn w:val="799"/>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fill="FFFFFF" w:color="FFFFFF" w:themeFill="accent2" w:themeFillTint="32"/>
      </w:tcPr>
    </w:tblStylePr>
    <w:tblStylePr w:type="band1Vert">
      <w:tcPr>
        <w:shd w:val="clear" w:fill="FFFFFF" w:color="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fill="FFFFFF" w:color="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fill="FFFFFF" w:color="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fill="FFFFFF" w:color="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710">
    <w:name w:val="Grid Table 7 Colorful - Accent 3"/>
    <w:basedOn w:val="799"/>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fill="FFFFFF" w:color="FFFFFF" w:themeFill="accent3" w:themeFillTint="34"/>
      </w:tcPr>
    </w:tblStylePr>
    <w:tblStylePr w:type="band1Vert">
      <w:tcPr>
        <w:shd w:val="clear" w:fill="FFFFFF" w:color="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fill="FFFFFF" w:color="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fill="FFFFFF" w:color="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fill="FFFFFF" w:color="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711">
    <w:name w:val="Grid Table 7 Colorful - Accent 4"/>
    <w:basedOn w:val="799"/>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fill="FFFFFF" w:color="FFFFFF" w:themeFill="accent4" w:themeFillTint="34"/>
      </w:tcPr>
    </w:tblStylePr>
    <w:tblStylePr w:type="band1Vert">
      <w:tcPr>
        <w:shd w:val="clear" w:fill="FFFFFF" w:color="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fill="FFFFFF" w:color="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fill="FFFFFF" w:color="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fill="FFFFFF" w:color="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712">
    <w:name w:val="Grid Table 7 Colorful - Accent 5"/>
    <w:basedOn w:val="799"/>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fill="FFFFFF" w:color="FFFFFF" w:themeFill="accent5" w:themeFillTint="34"/>
      </w:tcPr>
    </w:tblStylePr>
    <w:tblStylePr w:type="band1Vert">
      <w:tcPr>
        <w:shd w:val="clear" w:fill="FFFFFF" w:color="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fill="FFFFFF" w:color="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fill="FFFFFF" w:color="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fill="FFFFFF" w:color="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713">
    <w:name w:val="Grid Table 7 Colorful - Accent 6"/>
    <w:basedOn w:val="799"/>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fill="FFFFFF" w:color="FFFFFF" w:themeFill="accent6" w:themeFillTint="34"/>
      </w:tcPr>
    </w:tblStylePr>
    <w:tblStylePr w:type="band1Vert">
      <w:tcPr>
        <w:shd w:val="clear" w:fill="FFFFFF" w:color="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fill="FFFFFF" w:color="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fill="FFFFFF" w:color="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fill="FFFFFF" w:color="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714">
    <w:name w:val="List Table 1 Light"/>
    <w:basedOn w:val="799"/>
    <w:uiPriority w:val="99"/>
    <w:pPr>
      <w:spacing w:lineRule="auto" w:line="240" w:after="0"/>
    </w:pPr>
    <w:tblPr>
      <w:tblStyleRowBandSize w:val="1"/>
      <w:tblStyleColBandSize w:val="1"/>
      <w:tblInd w:w="0" w:type="dxa"/>
    </w:tblPr>
    <w:tblStylePr w:type="band1Horz">
      <w:tcPr>
        <w:shd w:val="clear" w:fill="FFFFFF" w:color="FFFFFF" w:themeFill="text1" w:themeFillTint="40"/>
      </w:tcPr>
    </w:tblStylePr>
    <w:tblStylePr w:type="band1Vert">
      <w:tcPr>
        <w:shd w:val="clear" w:fill="FFFFFF" w:color="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715">
    <w:name w:val="List Table 1 Light - Accent 1"/>
    <w:basedOn w:val="799"/>
    <w:uiPriority w:val="99"/>
    <w:pPr>
      <w:spacing w:lineRule="auto" w:line="240" w:after="0"/>
    </w:pPr>
    <w:tblPr>
      <w:tblStyleRowBandSize w:val="1"/>
      <w:tblStyleColBandSize w:val="1"/>
      <w:tblInd w:w="0" w:type="dxa"/>
    </w:tblPr>
    <w:tblStylePr w:type="band1Horz">
      <w:tcPr>
        <w:shd w:val="clear" w:fill="FFFFFF" w:color="FFFFFF" w:themeFill="accent1" w:themeFillTint="40"/>
      </w:tcPr>
    </w:tblStylePr>
    <w:tblStylePr w:type="band1Vert">
      <w:tcPr>
        <w:shd w:val="clear" w:fill="FFFFFF" w:color="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716">
    <w:name w:val="List Table 1 Light - Accent 2"/>
    <w:basedOn w:val="799"/>
    <w:uiPriority w:val="99"/>
    <w:pPr>
      <w:spacing w:lineRule="auto" w:line="240" w:after="0"/>
    </w:pPr>
    <w:tblPr>
      <w:tblStyleRowBandSize w:val="1"/>
      <w:tblStyleColBandSize w:val="1"/>
      <w:tblInd w:w="0" w:type="dxa"/>
    </w:tblPr>
    <w:tblStylePr w:type="band1Horz">
      <w:tcPr>
        <w:shd w:val="clear" w:fill="FFFFFF" w:color="FFFFFF" w:themeFill="accent2" w:themeFillTint="40"/>
      </w:tcPr>
    </w:tblStylePr>
    <w:tblStylePr w:type="band1Vert">
      <w:tcPr>
        <w:shd w:val="clear" w:fill="FFFFFF" w:color="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717">
    <w:name w:val="List Table 1 Light - Accent 3"/>
    <w:basedOn w:val="799"/>
    <w:uiPriority w:val="99"/>
    <w:pPr>
      <w:spacing w:lineRule="auto" w:line="240" w:after="0"/>
    </w:pPr>
    <w:tblPr>
      <w:tblStyleRowBandSize w:val="1"/>
      <w:tblStyleColBandSize w:val="1"/>
      <w:tblInd w:w="0" w:type="dxa"/>
    </w:tblPr>
    <w:tblStylePr w:type="band1Horz">
      <w:tcPr>
        <w:shd w:val="clear" w:fill="FFFFFF" w:color="FFFFFF" w:themeFill="accent3" w:themeFillTint="40"/>
      </w:tcPr>
    </w:tblStylePr>
    <w:tblStylePr w:type="band1Vert">
      <w:tcPr>
        <w:shd w:val="clear" w:fill="FFFFFF" w:color="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718">
    <w:name w:val="List Table 1 Light - Accent 4"/>
    <w:basedOn w:val="799"/>
    <w:uiPriority w:val="99"/>
    <w:pPr>
      <w:spacing w:lineRule="auto" w:line="240" w:after="0"/>
    </w:pPr>
    <w:tblPr>
      <w:tblStyleRowBandSize w:val="1"/>
      <w:tblStyleColBandSize w:val="1"/>
      <w:tblInd w:w="0" w:type="dxa"/>
    </w:tblPr>
    <w:tblStylePr w:type="band1Horz">
      <w:tcPr>
        <w:shd w:val="clear" w:fill="FFFFFF" w:color="FFFFFF" w:themeFill="accent4" w:themeFillTint="40"/>
      </w:tcPr>
    </w:tblStylePr>
    <w:tblStylePr w:type="band1Vert">
      <w:tcPr>
        <w:shd w:val="clear" w:fill="FFFFFF" w:color="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719">
    <w:name w:val="List Table 1 Light - Accent 5"/>
    <w:basedOn w:val="799"/>
    <w:uiPriority w:val="99"/>
    <w:pPr>
      <w:spacing w:lineRule="auto" w:line="240" w:after="0"/>
    </w:pPr>
    <w:tblPr>
      <w:tblStyleRowBandSize w:val="1"/>
      <w:tblStyleColBandSize w:val="1"/>
      <w:tblInd w:w="0" w:type="dxa"/>
    </w:tblPr>
    <w:tblStylePr w:type="band1Horz">
      <w:tcPr>
        <w:shd w:val="clear" w:fill="FFFFFF" w:color="FFFFFF" w:themeFill="accent5" w:themeFillTint="40"/>
      </w:tcPr>
    </w:tblStylePr>
    <w:tblStylePr w:type="band1Vert">
      <w:tcPr>
        <w:shd w:val="clear" w:fill="FFFFFF" w:color="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720">
    <w:name w:val="List Table 1 Light - Accent 6"/>
    <w:basedOn w:val="799"/>
    <w:uiPriority w:val="99"/>
    <w:pPr>
      <w:spacing w:lineRule="auto" w:line="240" w:after="0"/>
    </w:pPr>
    <w:tblPr>
      <w:tblStyleRowBandSize w:val="1"/>
      <w:tblStyleColBandSize w:val="1"/>
      <w:tblInd w:w="0" w:type="dxa"/>
    </w:tblPr>
    <w:tblStylePr w:type="band1Horz">
      <w:tcPr>
        <w:shd w:val="clear" w:fill="FFFFFF" w:color="FFFFFF" w:themeFill="accent6" w:themeFillTint="40"/>
      </w:tcPr>
    </w:tblStylePr>
    <w:tblStylePr w:type="band1Vert">
      <w:tcPr>
        <w:shd w:val="clear" w:fill="FFFFFF" w:color="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721">
    <w:name w:val="List Table 2"/>
    <w:basedOn w:val="799"/>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fill="FFFFFF" w:color="FFFFFF" w:themeFill="text1" w:themeFillTint="40"/>
      </w:tcPr>
    </w:tblStylePr>
    <w:tblStylePr w:type="band1Vert">
      <w:rPr>
        <w:rFonts w:ascii="Arial" w:hAnsi="Arial"/>
        <w:color w:val="404040"/>
        <w:sz w:val="22"/>
      </w:rPr>
      <w:tcPr>
        <w:shd w:val="clear" w:fill="FFFFFF" w:color="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722">
    <w:name w:val="List Table 2 - Accent 1"/>
    <w:basedOn w:val="799"/>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fill="FFFFFF" w:color="FFFFFF" w:themeFill="accent1" w:themeFillTint="40"/>
      </w:tcPr>
    </w:tblStylePr>
    <w:tblStylePr w:type="band1Vert">
      <w:rPr>
        <w:rFonts w:ascii="Arial" w:hAnsi="Arial"/>
        <w:color w:val="404040"/>
        <w:sz w:val="22"/>
      </w:rPr>
      <w:tcPr>
        <w:shd w:val="clear" w:fill="FFFFFF" w:color="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723">
    <w:name w:val="List Table 2 - Accent 2"/>
    <w:basedOn w:val="799"/>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fill="FFFFFF" w:color="FFFFFF" w:themeFill="accent2" w:themeFillTint="40"/>
      </w:tcPr>
    </w:tblStylePr>
    <w:tblStylePr w:type="band1Vert">
      <w:rPr>
        <w:rFonts w:ascii="Arial" w:hAnsi="Arial"/>
        <w:color w:val="404040"/>
        <w:sz w:val="22"/>
      </w:rPr>
      <w:tcPr>
        <w:shd w:val="clear" w:fill="FFFFFF" w:color="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724">
    <w:name w:val="List Table 2 - Accent 3"/>
    <w:basedOn w:val="799"/>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fill="FFFFFF" w:color="FFFFFF" w:themeFill="accent3" w:themeFillTint="40"/>
      </w:tcPr>
    </w:tblStylePr>
    <w:tblStylePr w:type="band1Vert">
      <w:rPr>
        <w:rFonts w:ascii="Arial" w:hAnsi="Arial"/>
        <w:color w:val="404040"/>
        <w:sz w:val="22"/>
      </w:rPr>
      <w:tcPr>
        <w:shd w:val="clear" w:fill="FFFFFF" w:color="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725">
    <w:name w:val="List Table 2 - Accent 4"/>
    <w:basedOn w:val="799"/>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fill="FFFFFF" w:color="FFFFFF" w:themeFill="accent4" w:themeFillTint="40"/>
      </w:tcPr>
    </w:tblStylePr>
    <w:tblStylePr w:type="band1Vert">
      <w:rPr>
        <w:rFonts w:ascii="Arial" w:hAnsi="Arial"/>
        <w:color w:val="404040"/>
        <w:sz w:val="22"/>
      </w:rPr>
      <w:tcPr>
        <w:shd w:val="clear" w:fill="FFFFFF" w:color="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726">
    <w:name w:val="List Table 2 - Accent 5"/>
    <w:basedOn w:val="799"/>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fill="FFFFFF" w:color="FFFFFF" w:themeFill="accent5" w:themeFillTint="40"/>
      </w:tcPr>
    </w:tblStylePr>
    <w:tblStylePr w:type="band1Vert">
      <w:rPr>
        <w:rFonts w:ascii="Arial" w:hAnsi="Arial"/>
        <w:color w:val="404040"/>
        <w:sz w:val="22"/>
      </w:rPr>
      <w:tcPr>
        <w:shd w:val="clear" w:fill="FFFFFF" w:color="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727">
    <w:name w:val="List Table 2 - Accent 6"/>
    <w:basedOn w:val="799"/>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fill="FFFFFF" w:color="FFFFFF" w:themeFill="accent6" w:themeFillTint="40"/>
      </w:tcPr>
    </w:tblStylePr>
    <w:tblStylePr w:type="band1Vert">
      <w:rPr>
        <w:rFonts w:ascii="Arial" w:hAnsi="Arial"/>
        <w:color w:val="404040"/>
        <w:sz w:val="22"/>
      </w:rPr>
      <w:tcPr>
        <w:shd w:val="clear" w:fill="FFFFFF" w:color="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728">
    <w:name w:val="List Table 3"/>
    <w:basedOn w:val="79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fill="FFFFFF" w:color="FFFFFF" w:themeFill="text1"/>
      </w:tcPr>
    </w:tblStylePr>
    <w:tblStylePr w:type="lastCol">
      <w:rPr>
        <w:b/>
        <w:color w:val="404040"/>
      </w:rPr>
    </w:tblStylePr>
    <w:tblStylePr w:type="lastRow">
      <w:rPr>
        <w:b/>
        <w:color w:val="404040"/>
      </w:rPr>
    </w:tblStylePr>
  </w:style>
  <w:style w:type="table" w:styleId="729">
    <w:name w:val="List Table 3 - Accent 1"/>
    <w:basedOn w:val="799"/>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fill="FFFFFF" w:color="FFFFFF" w:themeFill="accent1"/>
      </w:tcPr>
    </w:tblStylePr>
    <w:tblStylePr w:type="lastCol">
      <w:rPr>
        <w:b/>
        <w:color w:val="404040"/>
      </w:rPr>
    </w:tblStylePr>
    <w:tblStylePr w:type="lastRow">
      <w:rPr>
        <w:b/>
        <w:color w:val="404040"/>
      </w:rPr>
    </w:tblStylePr>
  </w:style>
  <w:style w:type="table" w:styleId="730">
    <w:name w:val="List Table 3 - Accent 2"/>
    <w:basedOn w:val="79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fill="FFFFFF" w:color="FFFFFF" w:themeFill="accent2" w:themeFillTint="97"/>
      </w:tcPr>
    </w:tblStylePr>
    <w:tblStylePr w:type="lastCol">
      <w:rPr>
        <w:b/>
        <w:color w:val="404040"/>
      </w:rPr>
    </w:tblStylePr>
    <w:tblStylePr w:type="lastRow">
      <w:rPr>
        <w:b/>
        <w:color w:val="404040"/>
      </w:rPr>
    </w:tblStylePr>
  </w:style>
  <w:style w:type="table" w:styleId="731">
    <w:name w:val="List Table 3 - Accent 3"/>
    <w:basedOn w:val="799"/>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fill="FFFFFF" w:color="FFFFFF" w:themeFill="accent3" w:themeFillTint="98"/>
      </w:tcPr>
    </w:tblStylePr>
    <w:tblStylePr w:type="lastCol">
      <w:rPr>
        <w:b/>
        <w:color w:val="404040"/>
      </w:rPr>
    </w:tblStylePr>
    <w:tblStylePr w:type="lastRow">
      <w:rPr>
        <w:b/>
        <w:color w:val="404040"/>
      </w:rPr>
    </w:tblStylePr>
  </w:style>
  <w:style w:type="table" w:styleId="732">
    <w:name w:val="List Table 3 - Accent 4"/>
    <w:basedOn w:val="79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fill="FFFFFF" w:color="FFFFFF" w:themeFill="accent4" w:themeFillTint="9A"/>
      </w:tcPr>
    </w:tblStylePr>
    <w:tblStylePr w:type="lastCol">
      <w:rPr>
        <w:b/>
        <w:color w:val="404040"/>
      </w:rPr>
    </w:tblStylePr>
    <w:tblStylePr w:type="lastRow">
      <w:rPr>
        <w:b/>
        <w:color w:val="404040"/>
      </w:rPr>
    </w:tblStylePr>
  </w:style>
  <w:style w:type="table" w:styleId="733">
    <w:name w:val="List Table 3 - Accent 5"/>
    <w:basedOn w:val="799"/>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fill="FFFFFF" w:color="FFFFFF" w:themeFill="accent5" w:themeFillTint="9A"/>
      </w:tcPr>
    </w:tblStylePr>
    <w:tblStylePr w:type="lastCol">
      <w:rPr>
        <w:b/>
        <w:color w:val="404040"/>
      </w:rPr>
    </w:tblStylePr>
    <w:tblStylePr w:type="lastRow">
      <w:rPr>
        <w:b/>
        <w:color w:val="404040"/>
      </w:rPr>
    </w:tblStylePr>
  </w:style>
  <w:style w:type="table" w:styleId="734">
    <w:name w:val="List Table 3 - Accent 6"/>
    <w:basedOn w:val="799"/>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fill="FFFFFF" w:color="FFFFFF" w:themeFill="accent6" w:themeFillTint="98"/>
      </w:tcPr>
    </w:tblStylePr>
    <w:tblStylePr w:type="lastCol">
      <w:rPr>
        <w:b/>
        <w:color w:val="404040"/>
      </w:rPr>
    </w:tblStylePr>
    <w:tblStylePr w:type="lastRow">
      <w:rPr>
        <w:b/>
        <w:color w:val="404040"/>
      </w:rPr>
    </w:tblStylePr>
  </w:style>
  <w:style w:type="table" w:styleId="735">
    <w:name w:val="List Table 4"/>
    <w:basedOn w:val="79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fill="FFFFFF" w:color="FFFFFF" w:themeFill="text1" w:themeFillTint="40"/>
      </w:tcPr>
    </w:tblStylePr>
    <w:tblStylePr w:type="band1Vert">
      <w:rPr>
        <w:rFonts w:ascii="Arial" w:hAnsi="Arial"/>
        <w:color w:val="404040"/>
        <w:sz w:val="22"/>
      </w:rPr>
      <w:tcPr>
        <w:shd w:val="clear" w:fill="FFFFFF" w:color="FFFFFF" w:themeFill="text1" w:themeFillTint="40"/>
      </w:tcPr>
    </w:tblStylePr>
    <w:tblStylePr w:type="firstCol">
      <w:rPr>
        <w:b/>
        <w:color w:val="404040"/>
      </w:rPr>
    </w:tblStylePr>
    <w:tblStylePr w:type="firstRow">
      <w:rPr>
        <w:rFonts w:ascii="Arial" w:hAnsi="Arial"/>
        <w:b/>
        <w:color w:val="FFFFFF"/>
        <w:sz w:val="22"/>
      </w:rPr>
      <w:tcPr>
        <w:shd w:val="clear" w:fill="FFFFFF" w:color="FFFFFF" w:themeFill="text1"/>
      </w:tcPr>
    </w:tblStylePr>
    <w:tblStylePr w:type="lastCol">
      <w:rPr>
        <w:b/>
        <w:color w:val="404040"/>
      </w:rPr>
    </w:tblStylePr>
    <w:tblStylePr w:type="lastRow">
      <w:rPr>
        <w:b/>
        <w:color w:val="404040"/>
      </w:rPr>
    </w:tblStylePr>
  </w:style>
  <w:style w:type="table" w:styleId="736">
    <w:name w:val="List Table 4 - Accent 1"/>
    <w:basedOn w:val="799"/>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fill="FFFFFF" w:color="FFFFFF" w:themeFill="accent1" w:themeFillTint="40"/>
      </w:tcPr>
    </w:tblStylePr>
    <w:tblStylePr w:type="band1Vert">
      <w:rPr>
        <w:rFonts w:ascii="Arial" w:hAnsi="Arial"/>
        <w:color w:val="404040"/>
        <w:sz w:val="22"/>
      </w:rPr>
      <w:tcPr>
        <w:shd w:val="clear" w:fill="FFFFFF" w:color="FFFFFF" w:themeFill="accent1" w:themeFillTint="40"/>
      </w:tcPr>
    </w:tblStylePr>
    <w:tblStylePr w:type="firstCol">
      <w:rPr>
        <w:b/>
        <w:color w:val="404040"/>
      </w:rPr>
    </w:tblStylePr>
    <w:tblStylePr w:type="firstRow">
      <w:rPr>
        <w:rFonts w:ascii="Arial" w:hAnsi="Arial"/>
        <w:b/>
        <w:color w:val="FFFFFF"/>
        <w:sz w:val="22"/>
      </w:rPr>
      <w:tcPr>
        <w:shd w:val="clear" w:fill="FFFFFF" w:color="FFFFFF" w:themeFill="accent1"/>
      </w:tcPr>
    </w:tblStylePr>
    <w:tblStylePr w:type="lastCol">
      <w:rPr>
        <w:b/>
        <w:color w:val="404040"/>
      </w:rPr>
    </w:tblStylePr>
    <w:tblStylePr w:type="lastRow">
      <w:rPr>
        <w:b/>
        <w:color w:val="404040"/>
      </w:rPr>
    </w:tblStylePr>
  </w:style>
  <w:style w:type="table" w:styleId="737">
    <w:name w:val="List Table 4 - Accent 2"/>
    <w:basedOn w:val="799"/>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fill="FFFFFF" w:color="FFFFFF" w:themeFill="accent2" w:themeFillTint="40"/>
      </w:tcPr>
    </w:tblStylePr>
    <w:tblStylePr w:type="band1Vert">
      <w:rPr>
        <w:rFonts w:ascii="Arial" w:hAnsi="Arial"/>
        <w:color w:val="404040"/>
        <w:sz w:val="22"/>
      </w:rPr>
      <w:tcPr>
        <w:shd w:val="clear" w:fill="FFFFFF" w:color="FFFFFF" w:themeFill="accent2" w:themeFillTint="40"/>
      </w:tcPr>
    </w:tblStylePr>
    <w:tblStylePr w:type="firstCol">
      <w:rPr>
        <w:b/>
        <w:color w:val="404040"/>
      </w:rPr>
    </w:tblStylePr>
    <w:tblStylePr w:type="firstRow">
      <w:rPr>
        <w:rFonts w:ascii="Arial" w:hAnsi="Arial"/>
        <w:b/>
        <w:color w:val="FFFFFF"/>
        <w:sz w:val="22"/>
      </w:rPr>
      <w:tcPr>
        <w:shd w:val="clear" w:fill="FFFFFF" w:color="FFFFFF" w:themeFill="accent2"/>
      </w:tcPr>
    </w:tblStylePr>
    <w:tblStylePr w:type="lastCol">
      <w:rPr>
        <w:b/>
        <w:color w:val="404040"/>
      </w:rPr>
    </w:tblStylePr>
    <w:tblStylePr w:type="lastRow">
      <w:rPr>
        <w:b/>
        <w:color w:val="404040"/>
      </w:rPr>
    </w:tblStylePr>
  </w:style>
  <w:style w:type="table" w:styleId="738">
    <w:name w:val="List Table 4 - Accent 3"/>
    <w:basedOn w:val="799"/>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fill="FFFFFF" w:color="FFFFFF" w:themeFill="accent3" w:themeFillTint="40"/>
      </w:tcPr>
    </w:tblStylePr>
    <w:tblStylePr w:type="band1Vert">
      <w:rPr>
        <w:rFonts w:ascii="Arial" w:hAnsi="Arial"/>
        <w:color w:val="404040"/>
        <w:sz w:val="22"/>
      </w:rPr>
      <w:tcPr>
        <w:shd w:val="clear" w:fill="FFFFFF" w:color="FFFFFF" w:themeFill="accent3" w:themeFillTint="40"/>
      </w:tcPr>
    </w:tblStylePr>
    <w:tblStylePr w:type="firstCol">
      <w:rPr>
        <w:b/>
        <w:color w:val="404040"/>
      </w:rPr>
    </w:tblStylePr>
    <w:tblStylePr w:type="firstRow">
      <w:rPr>
        <w:rFonts w:ascii="Arial" w:hAnsi="Arial"/>
        <w:b/>
        <w:color w:val="FFFFFF"/>
        <w:sz w:val="22"/>
      </w:rPr>
      <w:tcPr>
        <w:shd w:val="clear" w:fill="FFFFFF" w:color="FFFFFF" w:themeFill="accent3"/>
      </w:tcPr>
    </w:tblStylePr>
    <w:tblStylePr w:type="lastCol">
      <w:rPr>
        <w:b/>
        <w:color w:val="404040"/>
      </w:rPr>
    </w:tblStylePr>
    <w:tblStylePr w:type="lastRow">
      <w:rPr>
        <w:b/>
        <w:color w:val="404040"/>
      </w:rPr>
    </w:tblStylePr>
  </w:style>
  <w:style w:type="table" w:styleId="739">
    <w:name w:val="List Table 4 - Accent 4"/>
    <w:basedOn w:val="799"/>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fill="FFFFFF" w:color="FFFFFF" w:themeFill="accent4" w:themeFillTint="40"/>
      </w:tcPr>
    </w:tblStylePr>
    <w:tblStylePr w:type="band1Vert">
      <w:rPr>
        <w:rFonts w:ascii="Arial" w:hAnsi="Arial"/>
        <w:color w:val="404040"/>
        <w:sz w:val="22"/>
      </w:rPr>
      <w:tcPr>
        <w:shd w:val="clear" w:fill="FFFFFF" w:color="FFFFFF" w:themeFill="accent4" w:themeFillTint="40"/>
      </w:tcPr>
    </w:tblStylePr>
    <w:tblStylePr w:type="firstCol">
      <w:rPr>
        <w:b/>
        <w:color w:val="404040"/>
      </w:rPr>
    </w:tblStylePr>
    <w:tblStylePr w:type="firstRow">
      <w:rPr>
        <w:rFonts w:ascii="Arial" w:hAnsi="Arial"/>
        <w:b/>
        <w:color w:val="FFFFFF"/>
        <w:sz w:val="22"/>
      </w:rPr>
      <w:tcPr>
        <w:shd w:val="clear" w:fill="FFFFFF" w:color="FFFFFF" w:themeFill="accent4"/>
      </w:tcPr>
    </w:tblStylePr>
    <w:tblStylePr w:type="lastCol">
      <w:rPr>
        <w:b/>
        <w:color w:val="404040"/>
      </w:rPr>
    </w:tblStylePr>
    <w:tblStylePr w:type="lastRow">
      <w:rPr>
        <w:b/>
        <w:color w:val="404040"/>
      </w:rPr>
    </w:tblStylePr>
  </w:style>
  <w:style w:type="table" w:styleId="740">
    <w:name w:val="List Table 4 - Accent 5"/>
    <w:basedOn w:val="799"/>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fill="FFFFFF" w:color="FFFFFF" w:themeFill="accent5" w:themeFillTint="40"/>
      </w:tcPr>
    </w:tblStylePr>
    <w:tblStylePr w:type="band1Vert">
      <w:rPr>
        <w:rFonts w:ascii="Arial" w:hAnsi="Arial"/>
        <w:color w:val="404040"/>
        <w:sz w:val="22"/>
      </w:rPr>
      <w:tcPr>
        <w:shd w:val="clear" w:fill="FFFFFF" w:color="FFFFFF" w:themeFill="accent5" w:themeFillTint="40"/>
      </w:tcPr>
    </w:tblStylePr>
    <w:tblStylePr w:type="firstCol">
      <w:rPr>
        <w:b/>
        <w:color w:val="404040"/>
      </w:rPr>
    </w:tblStylePr>
    <w:tblStylePr w:type="firstRow">
      <w:rPr>
        <w:rFonts w:ascii="Arial" w:hAnsi="Arial"/>
        <w:b/>
        <w:color w:val="FFFFFF"/>
        <w:sz w:val="22"/>
      </w:rPr>
      <w:tcPr>
        <w:shd w:val="clear" w:fill="FFFFFF" w:color="FFFFFF" w:themeFill="accent5"/>
      </w:tcPr>
    </w:tblStylePr>
    <w:tblStylePr w:type="lastCol">
      <w:rPr>
        <w:b/>
        <w:color w:val="404040"/>
      </w:rPr>
    </w:tblStylePr>
    <w:tblStylePr w:type="lastRow">
      <w:rPr>
        <w:b/>
        <w:color w:val="404040"/>
      </w:rPr>
    </w:tblStylePr>
  </w:style>
  <w:style w:type="table" w:styleId="741">
    <w:name w:val="List Table 4 - Accent 6"/>
    <w:basedOn w:val="799"/>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fill="FFFFFF" w:color="FFFFFF" w:themeFill="accent6" w:themeFillTint="40"/>
      </w:tcPr>
    </w:tblStylePr>
    <w:tblStylePr w:type="band1Vert">
      <w:rPr>
        <w:rFonts w:ascii="Arial" w:hAnsi="Arial"/>
        <w:color w:val="404040"/>
        <w:sz w:val="22"/>
      </w:rPr>
      <w:tcPr>
        <w:shd w:val="clear" w:fill="FFFFFF" w:color="FFFFFF" w:themeFill="accent6" w:themeFillTint="40"/>
      </w:tcPr>
    </w:tblStylePr>
    <w:tblStylePr w:type="firstCol">
      <w:rPr>
        <w:b/>
        <w:color w:val="404040"/>
      </w:rPr>
    </w:tblStylePr>
    <w:tblStylePr w:type="firstRow">
      <w:rPr>
        <w:rFonts w:ascii="Arial" w:hAnsi="Arial"/>
        <w:b/>
        <w:color w:val="FFFFFF"/>
        <w:sz w:val="22"/>
      </w:rPr>
      <w:tcPr>
        <w:shd w:val="clear" w:fill="FFFFFF" w:color="FFFFFF" w:themeFill="accent6"/>
      </w:tcPr>
    </w:tblStylePr>
    <w:tblStylePr w:type="lastCol">
      <w:rPr>
        <w:b/>
        <w:color w:val="404040"/>
      </w:rPr>
    </w:tblStylePr>
    <w:tblStylePr w:type="lastRow">
      <w:rPr>
        <w:b/>
        <w:color w:val="404040"/>
      </w:rPr>
    </w:tblStylePr>
  </w:style>
  <w:style w:type="table" w:styleId="742">
    <w:name w:val="List Table 5 Dark"/>
    <w:basedOn w:val="799"/>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fill="FFFFFF" w:color="FFFFFF" w:themeFill="text1" w:themeFillTint="80"/>
    </w:tblPr>
    <w:tblStylePr w:type="band1Horz">
      <w:tcPr>
        <w:shd w:val="clear" w:fill="FFFFFF" w:color="FFFFFF" w:themeFill="text1" w:themeFillTint="80"/>
        <w:tcBorders>
          <w:top w:val="single" w:color="000000" w:sz="4" w:space="0" w:themeColor="light1"/>
          <w:bottom w:val="single" w:color="000000" w:sz="4" w:space="0" w:themeColor="light1"/>
        </w:tcBorders>
      </w:tcPr>
    </w:tblStylePr>
    <w:tblStylePr w:type="band1Vert">
      <w:tcPr>
        <w:shd w:val="clear" w:fill="FFFFFF" w:color="FFFFFF" w:themeFill="text1" w:themeFillTint="80"/>
        <w:tcBorders>
          <w:left w:val="single" w:color="000000" w:sz="4" w:space="0" w:themeColor="light1"/>
          <w:right w:val="single" w:color="000000" w:sz="4" w:space="0" w:themeColor="light1"/>
        </w:tcBorders>
      </w:tcPr>
    </w:tblStylePr>
    <w:tblStylePr w:type="band2Horz">
      <w:tcPr>
        <w:shd w:val="clear" w:fill="FFFFFF" w:color="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fill="FFFFFF" w:color="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3">
    <w:name w:val="List Table 5 Dark - Accent 1"/>
    <w:basedOn w:val="799"/>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fill="FFFFFF" w:color="FFFFFF" w:themeFill="accent1"/>
    </w:tblPr>
    <w:tblStylePr w:type="band1Horz">
      <w:tcPr>
        <w:shd w:val="clear" w:fill="FFFFFF" w:color="FFFFFF" w:themeFill="accent1"/>
        <w:tcBorders>
          <w:top w:val="single" w:color="000000" w:sz="4" w:space="0" w:themeColor="light1"/>
          <w:bottom w:val="single" w:color="000000" w:sz="4" w:space="0" w:themeColor="light1"/>
        </w:tcBorders>
      </w:tcPr>
    </w:tblStylePr>
    <w:tblStylePr w:type="band1Vert">
      <w:tcPr>
        <w:shd w:val="clear" w:fill="FFFFFF" w:color="FFFFFF" w:themeFill="accent1"/>
        <w:tcBorders>
          <w:left w:val="single" w:color="000000" w:sz="4" w:space="0" w:themeColor="light1"/>
          <w:right w:val="single" w:color="000000" w:sz="4" w:space="0" w:themeColor="light1"/>
        </w:tcBorders>
      </w:tcPr>
    </w:tblStylePr>
    <w:tblStylePr w:type="band2Horz">
      <w:tcPr>
        <w:shd w:val="clear" w:fill="FFFFFF" w:color="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fill="FFFFFF" w:color="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4">
    <w:name w:val="List Table 5 Dark - Accent 2"/>
    <w:basedOn w:val="799"/>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fill="FFFFFF" w:color="FFFFFF" w:themeFill="accent2" w:themeFillTint="97"/>
    </w:tblPr>
    <w:tblStylePr w:type="band1Horz">
      <w:tcPr>
        <w:shd w:val="clear" w:fill="FFFFFF" w:color="FFFFFF" w:themeFill="accent2" w:themeFillTint="97"/>
        <w:tcBorders>
          <w:top w:val="single" w:color="000000" w:sz="4" w:space="0" w:themeColor="light1"/>
          <w:bottom w:val="single" w:color="000000" w:sz="4" w:space="0" w:themeColor="light1"/>
        </w:tcBorders>
      </w:tcPr>
    </w:tblStylePr>
    <w:tblStylePr w:type="band1Vert">
      <w:tcPr>
        <w:shd w:val="clear" w:fill="FFFFFF" w:color="FFFFFF" w:themeFill="accent2" w:themeFillTint="97"/>
        <w:tcBorders>
          <w:left w:val="single" w:color="000000" w:sz="4" w:space="0" w:themeColor="light1"/>
          <w:right w:val="single" w:color="000000" w:sz="4" w:space="0" w:themeColor="light1"/>
        </w:tcBorders>
      </w:tcPr>
    </w:tblStylePr>
    <w:tblStylePr w:type="band2Horz">
      <w:tcPr>
        <w:shd w:val="clear" w:fill="FFFFFF" w:color="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fill="FFFFFF" w:color="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5">
    <w:name w:val="List Table 5 Dark - Accent 3"/>
    <w:basedOn w:val="799"/>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fill="FFFFFF" w:color="FFFFFF" w:themeFill="accent3" w:themeFillTint="98"/>
    </w:tblPr>
    <w:tblStylePr w:type="band1Horz">
      <w:tcPr>
        <w:shd w:val="clear" w:fill="FFFFFF" w:color="FFFFFF" w:themeFill="accent3" w:themeFillTint="98"/>
        <w:tcBorders>
          <w:top w:val="single" w:color="000000" w:sz="4" w:space="0" w:themeColor="light1"/>
          <w:bottom w:val="single" w:color="000000" w:sz="4" w:space="0" w:themeColor="light1"/>
        </w:tcBorders>
      </w:tcPr>
    </w:tblStylePr>
    <w:tblStylePr w:type="band1Vert">
      <w:tcPr>
        <w:shd w:val="clear" w:fill="FFFFFF" w:color="FFFFFF" w:themeFill="accent3" w:themeFillTint="98"/>
        <w:tcBorders>
          <w:left w:val="single" w:color="000000" w:sz="4" w:space="0" w:themeColor="light1"/>
          <w:right w:val="single" w:color="000000" w:sz="4" w:space="0" w:themeColor="light1"/>
        </w:tcBorders>
      </w:tcPr>
    </w:tblStylePr>
    <w:tblStylePr w:type="band2Horz">
      <w:tcPr>
        <w:shd w:val="clear" w:fill="FFFFFF" w:color="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fill="FFFFFF" w:color="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6">
    <w:name w:val="List Table 5 Dark - Accent 4"/>
    <w:basedOn w:val="799"/>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fill="FFFFFF" w:color="FFFFFF" w:themeFill="accent4" w:themeFillTint="9A"/>
    </w:tblPr>
    <w:tblStylePr w:type="band1Horz">
      <w:tcPr>
        <w:shd w:val="clear" w:fill="FFFFFF" w:color="FFFFFF" w:themeFill="accent4" w:themeFillTint="9A"/>
        <w:tcBorders>
          <w:top w:val="single" w:color="000000" w:sz="4" w:space="0" w:themeColor="light1"/>
          <w:bottom w:val="single" w:color="000000" w:sz="4" w:space="0" w:themeColor="light1"/>
        </w:tcBorders>
      </w:tcPr>
    </w:tblStylePr>
    <w:tblStylePr w:type="band1Vert">
      <w:tcPr>
        <w:shd w:val="clear" w:fill="FFFFFF" w:color="FFFFFF" w:themeFill="accent4" w:themeFillTint="9A"/>
        <w:tcBorders>
          <w:left w:val="single" w:color="000000" w:sz="4" w:space="0" w:themeColor="light1"/>
          <w:right w:val="single" w:color="000000" w:sz="4" w:space="0" w:themeColor="light1"/>
        </w:tcBorders>
      </w:tcPr>
    </w:tblStylePr>
    <w:tblStylePr w:type="band2Horz">
      <w:tcPr>
        <w:shd w:val="clear" w:fill="FFFFFF" w:color="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fill="FFFFFF" w:color="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7">
    <w:name w:val="List Table 5 Dark - Accent 5"/>
    <w:basedOn w:val="799"/>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fill="FFFFFF" w:color="FFFFFF" w:themeFill="accent5" w:themeFillTint="9A"/>
    </w:tblPr>
    <w:tblStylePr w:type="band1Horz">
      <w:tcPr>
        <w:shd w:val="clear" w:fill="FFFFFF" w:color="FFFFFF" w:themeFill="accent5" w:themeFillTint="9A"/>
        <w:tcBorders>
          <w:top w:val="single" w:color="000000" w:sz="4" w:space="0" w:themeColor="light1"/>
          <w:bottom w:val="single" w:color="000000" w:sz="4" w:space="0" w:themeColor="light1"/>
        </w:tcBorders>
      </w:tcPr>
    </w:tblStylePr>
    <w:tblStylePr w:type="band1Vert">
      <w:tcPr>
        <w:shd w:val="clear" w:fill="FFFFFF" w:color="FFFFFF" w:themeFill="accent5" w:themeFillTint="9A"/>
        <w:tcBorders>
          <w:left w:val="single" w:color="000000" w:sz="4" w:space="0" w:themeColor="light1"/>
          <w:right w:val="single" w:color="000000" w:sz="4" w:space="0" w:themeColor="light1"/>
        </w:tcBorders>
      </w:tcPr>
    </w:tblStylePr>
    <w:tblStylePr w:type="band2Horz">
      <w:tcPr>
        <w:shd w:val="clear" w:fill="FFFFFF" w:color="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fill="FFFFFF" w:color="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8">
    <w:name w:val="List Table 5 Dark - Accent 6"/>
    <w:basedOn w:val="799"/>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fill="FFFFFF" w:color="FFFFFF" w:themeFill="accent6" w:themeFillTint="98"/>
    </w:tblPr>
    <w:tblStylePr w:type="band1Horz">
      <w:tcPr>
        <w:shd w:val="clear" w:fill="FFFFFF" w:color="FFFFFF" w:themeFill="accent6" w:themeFillTint="98"/>
        <w:tcBorders>
          <w:top w:val="single" w:color="000000" w:sz="4" w:space="0" w:themeColor="light1"/>
          <w:bottom w:val="single" w:color="000000" w:sz="4" w:space="0" w:themeColor="light1"/>
        </w:tcBorders>
      </w:tcPr>
    </w:tblStylePr>
    <w:tblStylePr w:type="band1Vert">
      <w:tcPr>
        <w:shd w:val="clear" w:fill="FFFFFF" w:color="FFFFFF" w:themeFill="accent6" w:themeFillTint="98"/>
        <w:tcBorders>
          <w:left w:val="single" w:color="000000" w:sz="4" w:space="0" w:themeColor="light1"/>
          <w:right w:val="single" w:color="000000" w:sz="4" w:space="0" w:themeColor="light1"/>
        </w:tcBorders>
      </w:tcPr>
    </w:tblStylePr>
    <w:tblStylePr w:type="band2Horz">
      <w:tcPr>
        <w:shd w:val="clear" w:fill="FFFFFF" w:color="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fill="FFFFFF" w:color="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49">
    <w:name w:val="List Table 6 Colorful"/>
    <w:basedOn w:val="799"/>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fill="FFFFFF" w:color="FFFFFF" w:themeFill="text1" w:themeFillTint="40"/>
      </w:tcPr>
    </w:tblStylePr>
    <w:tblStylePr w:type="band1Vert">
      <w:tcPr>
        <w:shd w:val="clear" w:fill="FFFFFF" w:color="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750">
    <w:name w:val="List Table 6 Colorful - Accent 1"/>
    <w:basedOn w:val="799"/>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fill="FFFFFF" w:color="FFFFFF" w:themeFill="accent1" w:themeFillTint="40"/>
      </w:tcPr>
    </w:tblStylePr>
    <w:tblStylePr w:type="band1Vert">
      <w:tcPr>
        <w:shd w:val="clear" w:fill="FFFFFF" w:color="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751">
    <w:name w:val="List Table 6 Colorful - Accent 2"/>
    <w:basedOn w:val="799"/>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fill="FFFFFF" w:color="FFFFFF" w:themeFill="accent2" w:themeFillTint="40"/>
      </w:tcPr>
    </w:tblStylePr>
    <w:tblStylePr w:type="band1Vert">
      <w:tcPr>
        <w:shd w:val="clear" w:fill="FFFFFF" w:color="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752">
    <w:name w:val="List Table 6 Colorful - Accent 3"/>
    <w:basedOn w:val="799"/>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fill="FFFFFF" w:color="FFFFFF" w:themeFill="accent3" w:themeFillTint="40"/>
      </w:tcPr>
    </w:tblStylePr>
    <w:tblStylePr w:type="band1Vert">
      <w:tcPr>
        <w:shd w:val="clear" w:fill="FFFFFF" w:color="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753">
    <w:name w:val="List Table 6 Colorful - Accent 4"/>
    <w:basedOn w:val="799"/>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fill="FFFFFF" w:color="FFFFFF" w:themeFill="accent4" w:themeFillTint="40"/>
      </w:tcPr>
    </w:tblStylePr>
    <w:tblStylePr w:type="band1Vert">
      <w:tcPr>
        <w:shd w:val="clear" w:fill="FFFFFF" w:color="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754">
    <w:name w:val="List Table 6 Colorful - Accent 5"/>
    <w:basedOn w:val="799"/>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fill="FFFFFF" w:color="FFFFFF" w:themeFill="accent5" w:themeFillTint="40"/>
      </w:tcPr>
    </w:tblStylePr>
    <w:tblStylePr w:type="band1Vert">
      <w:tcPr>
        <w:shd w:val="clear" w:fill="FFFFFF" w:color="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755">
    <w:name w:val="List Table 6 Colorful - Accent 6"/>
    <w:basedOn w:val="799"/>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fill="FFFFFF" w:color="FFFFFF" w:themeFill="accent6" w:themeFillTint="40"/>
      </w:tcPr>
    </w:tblStylePr>
    <w:tblStylePr w:type="band1Vert">
      <w:tcPr>
        <w:shd w:val="clear" w:fill="FFFFFF" w:color="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756">
    <w:name w:val="List Table 7 Colorful"/>
    <w:basedOn w:val="799"/>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fill="FFFFFF" w:color="FFFFFF" w:themeFill="text1" w:themeFillTint="40"/>
      </w:tcPr>
    </w:tblStylePr>
    <w:tblStylePr w:type="band1Vert">
      <w:tcPr>
        <w:shd w:val="clear" w:fill="FFFFFF" w:color="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fill="FFFFFF" w:color="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fill="FFFFFF" w:color="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fill="FFFFFF" w:color="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757">
    <w:name w:val="List Table 7 Colorful - Accent 1"/>
    <w:basedOn w:val="799"/>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fill="FFFFFF" w:color="FFFFFF" w:themeFill="accent1" w:themeFillTint="40"/>
      </w:tcPr>
    </w:tblStylePr>
    <w:tblStylePr w:type="band1Vert">
      <w:tcPr>
        <w:shd w:val="clear" w:fill="FFFFFF" w:color="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fill="FFFFFF" w:color="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fill="FFFFFF" w:color="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fill="FFFFFF" w:color="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758">
    <w:name w:val="List Table 7 Colorful - Accent 2"/>
    <w:basedOn w:val="799"/>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fill="FFFFFF" w:color="FFFFFF" w:themeFill="accent2" w:themeFillTint="40"/>
      </w:tcPr>
    </w:tblStylePr>
    <w:tblStylePr w:type="band1Vert">
      <w:tcPr>
        <w:shd w:val="clear" w:fill="FFFFFF" w:color="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fill="FFFFFF" w:color="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fill="FFFFFF" w:color="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fill="FFFFFF" w:color="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759">
    <w:name w:val="List Table 7 Colorful - Accent 3"/>
    <w:basedOn w:val="799"/>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fill="FFFFFF" w:color="FFFFFF" w:themeFill="accent3" w:themeFillTint="40"/>
      </w:tcPr>
    </w:tblStylePr>
    <w:tblStylePr w:type="band1Vert">
      <w:tcPr>
        <w:shd w:val="clear" w:fill="FFFFFF" w:color="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fill="FFFFFF" w:color="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fill="FFFFFF" w:color="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fill="FFFFFF" w:color="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760">
    <w:name w:val="List Table 7 Colorful - Accent 4"/>
    <w:basedOn w:val="799"/>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fill="FFFFFF" w:color="FFFFFF" w:themeFill="accent4" w:themeFillTint="40"/>
      </w:tcPr>
    </w:tblStylePr>
    <w:tblStylePr w:type="band1Vert">
      <w:tcPr>
        <w:shd w:val="clear" w:fill="FFFFFF" w:color="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fill="FFFFFF" w:color="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fill="FFFFFF" w:color="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fill="FFFFFF" w:color="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761">
    <w:name w:val="List Table 7 Colorful - Accent 5"/>
    <w:basedOn w:val="799"/>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fill="FFFFFF" w:color="FFFFFF" w:themeFill="accent5" w:themeFillTint="40"/>
      </w:tcPr>
    </w:tblStylePr>
    <w:tblStylePr w:type="band1Vert">
      <w:tcPr>
        <w:shd w:val="clear" w:fill="FFFFFF" w:color="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fill="FFFFFF" w:color="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fill="FFFFFF" w:color="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fill="FFFFFF" w:color="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762">
    <w:name w:val="List Table 7 Colorful - Accent 6"/>
    <w:basedOn w:val="799"/>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fill="FFFFFF" w:color="FFFFFF" w:themeFill="accent6" w:themeFillTint="40"/>
      </w:tcPr>
    </w:tblStylePr>
    <w:tblStylePr w:type="band1Vert">
      <w:tcPr>
        <w:shd w:val="clear" w:fill="FFFFFF" w:color="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fill="FFFFFF" w:color="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fill="FFFFFF" w:color="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fill="FFFFFF" w:color="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fill="FFFFFF" w:color="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table" w:styleId="763">
    <w:name w:val="Lined - Accent"/>
    <w:basedOn w:val="79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text1" w:themeFillTint="0D"/>
      </w:tcPr>
    </w:tblStylePr>
    <w:tblStylePr w:type="band2Vert">
      <w:rPr>
        <w:rFonts w:ascii="Arial" w:hAnsi="Arial"/>
        <w:color w:val="404040"/>
        <w:sz w:val="22"/>
      </w:rPr>
      <w:tcPr>
        <w:shd w:val="clear" w:fill="FFFFFF" w:color="FFFFFF" w:themeFill="text1" w:themeFillTint="0D"/>
      </w:tcPr>
    </w:tblStylePr>
    <w:tblStylePr w:type="firstCol">
      <w:rPr>
        <w:rFonts w:ascii="Arial" w:hAnsi="Arial"/>
        <w:color w:val="F2F2F2"/>
        <w:sz w:val="22"/>
      </w:rPr>
      <w:tcPr>
        <w:shd w:val="clear" w:fill="FFFFFF" w:color="FFFFFF" w:themeFill="text1" w:themeFillTint="80"/>
      </w:tcPr>
    </w:tblStylePr>
    <w:tblStylePr w:type="firstRow">
      <w:rPr>
        <w:rFonts w:ascii="Arial" w:hAnsi="Arial"/>
        <w:color w:val="F2F2F2"/>
        <w:sz w:val="22"/>
      </w:rPr>
      <w:tcPr>
        <w:shd w:val="clear" w:fill="FFFFFF" w:color="FFFFFF" w:themeFill="text1" w:themeFillTint="80"/>
      </w:tcPr>
    </w:tblStylePr>
    <w:tblStylePr w:type="lastCol">
      <w:rPr>
        <w:rFonts w:ascii="Arial" w:hAnsi="Arial"/>
        <w:color w:val="F2F2F2"/>
        <w:sz w:val="22"/>
      </w:rPr>
      <w:tcPr>
        <w:shd w:val="clear" w:fill="FFFFFF" w:color="FFFFFF" w:themeFill="text1" w:themeFillTint="80"/>
      </w:tcPr>
    </w:tblStylePr>
    <w:tblStylePr w:type="lastRow">
      <w:rPr>
        <w:rFonts w:ascii="Arial" w:hAnsi="Arial"/>
        <w:color w:val="F2F2F2"/>
        <w:sz w:val="22"/>
      </w:rPr>
      <w:tcPr>
        <w:shd w:val="clear" w:fill="FFFFFF" w:color="FFFFFF" w:themeFill="text1" w:themeFillTint="80"/>
      </w:tcPr>
    </w:tblStylePr>
  </w:style>
  <w:style w:type="table" w:styleId="764">
    <w:name w:val="Lined - Accent 1"/>
    <w:basedOn w:val="79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1" w:themeFillTint="50"/>
      </w:tcPr>
    </w:tblStylePr>
    <w:tblStylePr w:type="band2Vert">
      <w:rPr>
        <w:rFonts w:ascii="Arial" w:hAnsi="Arial"/>
        <w:color w:val="404040"/>
        <w:sz w:val="22"/>
      </w:rPr>
      <w:tcPr>
        <w:shd w:val="clear" w:fill="FFFFFF" w:color="FFFFFF" w:themeFill="accent1" w:themeFillTint="50"/>
      </w:tcPr>
    </w:tblStylePr>
    <w:tblStylePr w:type="firstCol">
      <w:rPr>
        <w:rFonts w:ascii="Arial" w:hAnsi="Arial"/>
        <w:color w:val="F2F2F2"/>
        <w:sz w:val="22"/>
      </w:rPr>
      <w:tcPr>
        <w:shd w:val="clear" w:fill="FFFFFF" w:color="FFFFFF" w:themeFill="accent1" w:themeFillTint="EA"/>
      </w:tcPr>
    </w:tblStylePr>
    <w:tblStylePr w:type="firstRow">
      <w:rPr>
        <w:rFonts w:ascii="Arial" w:hAnsi="Arial"/>
        <w:color w:val="F2F2F2"/>
        <w:sz w:val="22"/>
      </w:rPr>
      <w:tcPr>
        <w:shd w:val="clear" w:fill="FFFFFF" w:color="FFFFFF" w:themeFill="accent1" w:themeFillTint="EA"/>
      </w:tcPr>
    </w:tblStylePr>
    <w:tblStylePr w:type="lastCol">
      <w:rPr>
        <w:rFonts w:ascii="Arial" w:hAnsi="Arial"/>
        <w:color w:val="F2F2F2"/>
        <w:sz w:val="22"/>
      </w:rPr>
      <w:tcPr>
        <w:shd w:val="clear" w:fill="FFFFFF" w:color="FFFFFF" w:themeFill="accent1" w:themeFillTint="EA"/>
      </w:tcPr>
    </w:tblStylePr>
    <w:tblStylePr w:type="lastRow">
      <w:rPr>
        <w:rFonts w:ascii="Arial" w:hAnsi="Arial"/>
        <w:color w:val="F2F2F2"/>
        <w:sz w:val="22"/>
      </w:rPr>
      <w:tcPr>
        <w:shd w:val="clear" w:fill="FFFFFF" w:color="FFFFFF" w:themeFill="accent1" w:themeFillTint="EA"/>
      </w:tcPr>
    </w:tblStylePr>
  </w:style>
  <w:style w:type="table" w:styleId="765">
    <w:name w:val="Lined - Accent 2"/>
    <w:basedOn w:val="79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2" w:themeFillTint="32"/>
      </w:tcPr>
    </w:tblStylePr>
    <w:tblStylePr w:type="band2Vert">
      <w:rPr>
        <w:rFonts w:ascii="Arial" w:hAnsi="Arial"/>
        <w:color w:val="404040"/>
        <w:sz w:val="22"/>
      </w:rPr>
      <w:tcPr>
        <w:shd w:val="clear" w:fill="FFFFFF" w:color="FFFFFF" w:themeFill="accent2" w:themeFillTint="32"/>
      </w:tcPr>
    </w:tblStylePr>
    <w:tblStylePr w:type="firstCol">
      <w:rPr>
        <w:rFonts w:ascii="Arial" w:hAnsi="Arial"/>
        <w:color w:val="F2F2F2"/>
        <w:sz w:val="22"/>
      </w:rPr>
      <w:tcPr>
        <w:shd w:val="clear" w:fill="FFFFFF" w:color="FFFFFF" w:themeFill="accent2" w:themeFillTint="97"/>
      </w:tcPr>
    </w:tblStylePr>
    <w:tblStylePr w:type="firstRow">
      <w:rPr>
        <w:rFonts w:ascii="Arial" w:hAnsi="Arial"/>
        <w:color w:val="F2F2F2"/>
        <w:sz w:val="22"/>
      </w:rPr>
      <w:tcPr>
        <w:shd w:val="clear" w:fill="FFFFFF" w:color="FFFFFF" w:themeFill="accent2" w:themeFillTint="97"/>
      </w:tcPr>
    </w:tblStylePr>
    <w:tblStylePr w:type="lastCol">
      <w:rPr>
        <w:rFonts w:ascii="Arial" w:hAnsi="Arial"/>
        <w:color w:val="F2F2F2"/>
        <w:sz w:val="22"/>
      </w:rPr>
      <w:tcPr>
        <w:shd w:val="clear" w:fill="FFFFFF" w:color="FFFFFF" w:themeFill="accent2" w:themeFillTint="97"/>
      </w:tcPr>
    </w:tblStylePr>
    <w:tblStylePr w:type="lastRow">
      <w:rPr>
        <w:rFonts w:ascii="Arial" w:hAnsi="Arial"/>
        <w:color w:val="F2F2F2"/>
        <w:sz w:val="22"/>
      </w:rPr>
      <w:tcPr>
        <w:shd w:val="clear" w:fill="FFFFFF" w:color="FFFFFF" w:themeFill="accent2" w:themeFillTint="97"/>
      </w:tcPr>
    </w:tblStylePr>
  </w:style>
  <w:style w:type="table" w:styleId="766">
    <w:name w:val="Lined - Accent 3"/>
    <w:basedOn w:val="79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3" w:themeFillTint="34"/>
      </w:tcPr>
    </w:tblStylePr>
    <w:tblStylePr w:type="band2Vert">
      <w:rPr>
        <w:rFonts w:ascii="Arial" w:hAnsi="Arial"/>
        <w:color w:val="404040"/>
        <w:sz w:val="22"/>
      </w:rPr>
      <w:tcPr>
        <w:shd w:val="clear" w:fill="FFFFFF" w:color="FFFFFF" w:themeFill="accent3" w:themeFillTint="34"/>
      </w:tcPr>
    </w:tblStylePr>
    <w:tblStylePr w:type="firstCol">
      <w:rPr>
        <w:rFonts w:ascii="Arial" w:hAnsi="Arial"/>
        <w:color w:val="F2F2F2"/>
        <w:sz w:val="22"/>
      </w:rPr>
      <w:tcPr>
        <w:shd w:val="clear" w:fill="FFFFFF" w:color="FFFFFF" w:themeFill="accent3" w:themeFillTint="FE"/>
      </w:tcPr>
    </w:tblStylePr>
    <w:tblStylePr w:type="firstRow">
      <w:rPr>
        <w:rFonts w:ascii="Arial" w:hAnsi="Arial"/>
        <w:color w:val="F2F2F2"/>
        <w:sz w:val="22"/>
      </w:rPr>
      <w:tcPr>
        <w:shd w:val="clear" w:fill="FFFFFF" w:color="FFFFFF" w:themeFill="accent3" w:themeFillTint="FE"/>
      </w:tcPr>
    </w:tblStylePr>
    <w:tblStylePr w:type="lastCol">
      <w:rPr>
        <w:rFonts w:ascii="Arial" w:hAnsi="Arial"/>
        <w:color w:val="F2F2F2"/>
        <w:sz w:val="22"/>
      </w:rPr>
      <w:tcPr>
        <w:shd w:val="clear" w:fill="FFFFFF" w:color="FFFFFF" w:themeFill="accent3" w:themeFillTint="FE"/>
      </w:tcPr>
    </w:tblStylePr>
    <w:tblStylePr w:type="lastRow">
      <w:rPr>
        <w:rFonts w:ascii="Arial" w:hAnsi="Arial"/>
        <w:color w:val="F2F2F2"/>
        <w:sz w:val="22"/>
      </w:rPr>
      <w:tcPr>
        <w:shd w:val="clear" w:fill="FFFFFF" w:color="FFFFFF" w:themeFill="accent3" w:themeFillTint="FE"/>
      </w:tcPr>
    </w:tblStylePr>
  </w:style>
  <w:style w:type="table" w:styleId="767">
    <w:name w:val="Lined - Accent 4"/>
    <w:basedOn w:val="79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4" w:themeFillTint="34"/>
      </w:tcPr>
    </w:tblStylePr>
    <w:tblStylePr w:type="band2Vert">
      <w:rPr>
        <w:rFonts w:ascii="Arial" w:hAnsi="Arial"/>
        <w:color w:val="404040"/>
        <w:sz w:val="22"/>
      </w:rPr>
      <w:tcPr>
        <w:shd w:val="clear" w:fill="FFFFFF" w:color="FFFFFF" w:themeFill="accent4" w:themeFillTint="34"/>
      </w:tcPr>
    </w:tblStylePr>
    <w:tblStylePr w:type="firstCol">
      <w:rPr>
        <w:rFonts w:ascii="Arial" w:hAnsi="Arial"/>
        <w:color w:val="F2F2F2"/>
        <w:sz w:val="22"/>
      </w:rPr>
      <w:tcPr>
        <w:shd w:val="clear" w:fill="FFFFFF" w:color="FFFFFF" w:themeFill="accent4" w:themeFillTint="9A"/>
      </w:tcPr>
    </w:tblStylePr>
    <w:tblStylePr w:type="firstRow">
      <w:rPr>
        <w:rFonts w:ascii="Arial" w:hAnsi="Arial"/>
        <w:color w:val="F2F2F2"/>
        <w:sz w:val="22"/>
      </w:rPr>
      <w:tcPr>
        <w:shd w:val="clear" w:fill="FFFFFF" w:color="FFFFFF" w:themeFill="accent4" w:themeFillTint="9A"/>
      </w:tcPr>
    </w:tblStylePr>
    <w:tblStylePr w:type="lastCol">
      <w:rPr>
        <w:rFonts w:ascii="Arial" w:hAnsi="Arial"/>
        <w:color w:val="F2F2F2"/>
        <w:sz w:val="22"/>
      </w:rPr>
      <w:tcPr>
        <w:shd w:val="clear" w:fill="FFFFFF" w:color="FFFFFF" w:themeFill="accent4" w:themeFillTint="9A"/>
      </w:tcPr>
    </w:tblStylePr>
    <w:tblStylePr w:type="lastRow">
      <w:rPr>
        <w:rFonts w:ascii="Arial" w:hAnsi="Arial"/>
        <w:color w:val="F2F2F2"/>
        <w:sz w:val="22"/>
      </w:rPr>
      <w:tcPr>
        <w:shd w:val="clear" w:fill="FFFFFF" w:color="FFFFFF" w:themeFill="accent4" w:themeFillTint="9A"/>
      </w:tcPr>
    </w:tblStylePr>
  </w:style>
  <w:style w:type="table" w:styleId="768">
    <w:name w:val="Lined - Accent 5"/>
    <w:basedOn w:val="79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5" w:themeFillTint="34"/>
      </w:tcPr>
    </w:tblStylePr>
    <w:tblStylePr w:type="band2Vert">
      <w:rPr>
        <w:rFonts w:ascii="Arial" w:hAnsi="Arial"/>
        <w:color w:val="404040"/>
        <w:sz w:val="22"/>
      </w:rPr>
      <w:tcPr>
        <w:shd w:val="clear" w:fill="FFFFFF" w:color="FFFFFF" w:themeFill="accent5" w:themeFillTint="34"/>
      </w:tcPr>
    </w:tblStylePr>
    <w:tblStylePr w:type="firstCol">
      <w:rPr>
        <w:rFonts w:ascii="Arial" w:hAnsi="Arial"/>
        <w:color w:val="F2F2F2"/>
        <w:sz w:val="22"/>
      </w:rPr>
      <w:tcPr>
        <w:shd w:val="clear" w:fill="FFFFFF" w:color="FFFFFF" w:themeFill="accent5"/>
      </w:tcPr>
    </w:tblStylePr>
    <w:tblStylePr w:type="firstRow">
      <w:rPr>
        <w:rFonts w:ascii="Arial" w:hAnsi="Arial"/>
        <w:color w:val="F2F2F2"/>
        <w:sz w:val="22"/>
      </w:rPr>
      <w:tcPr>
        <w:shd w:val="clear" w:fill="FFFFFF" w:color="FFFFFF" w:themeFill="accent5"/>
      </w:tcPr>
    </w:tblStylePr>
    <w:tblStylePr w:type="lastCol">
      <w:rPr>
        <w:rFonts w:ascii="Arial" w:hAnsi="Arial"/>
        <w:color w:val="F2F2F2"/>
        <w:sz w:val="22"/>
      </w:rPr>
      <w:tcPr>
        <w:shd w:val="clear" w:fill="FFFFFF" w:color="FFFFFF" w:themeFill="accent5"/>
      </w:tcPr>
    </w:tblStylePr>
    <w:tblStylePr w:type="lastRow">
      <w:rPr>
        <w:rFonts w:ascii="Arial" w:hAnsi="Arial"/>
        <w:color w:val="F2F2F2"/>
        <w:sz w:val="22"/>
      </w:rPr>
      <w:tcPr>
        <w:shd w:val="clear" w:fill="FFFFFF" w:color="FFFFFF" w:themeFill="accent5"/>
      </w:tcPr>
    </w:tblStylePr>
  </w:style>
  <w:style w:type="table" w:styleId="769">
    <w:name w:val="Lined - Accent 6"/>
    <w:basedOn w:val="79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6" w:themeFillTint="34"/>
      </w:tcPr>
    </w:tblStylePr>
    <w:tblStylePr w:type="band2Vert">
      <w:rPr>
        <w:rFonts w:ascii="Arial" w:hAnsi="Arial"/>
        <w:color w:val="404040"/>
        <w:sz w:val="22"/>
      </w:rPr>
      <w:tcPr>
        <w:shd w:val="clear" w:fill="FFFFFF" w:color="FFFFFF" w:themeFill="accent6" w:themeFillTint="34"/>
      </w:tcPr>
    </w:tblStylePr>
    <w:tblStylePr w:type="firstCol">
      <w:rPr>
        <w:rFonts w:ascii="Arial" w:hAnsi="Arial"/>
        <w:color w:val="F2F2F2"/>
        <w:sz w:val="22"/>
      </w:rPr>
      <w:tcPr>
        <w:shd w:val="clear" w:fill="FFFFFF" w:color="FFFFFF" w:themeFill="accent6"/>
      </w:tcPr>
    </w:tblStylePr>
    <w:tblStylePr w:type="firstRow">
      <w:rPr>
        <w:rFonts w:ascii="Arial" w:hAnsi="Arial"/>
        <w:color w:val="F2F2F2"/>
        <w:sz w:val="22"/>
      </w:rPr>
      <w:tcPr>
        <w:shd w:val="clear" w:fill="FFFFFF" w:color="FFFFFF" w:themeFill="accent6"/>
      </w:tcPr>
    </w:tblStylePr>
    <w:tblStylePr w:type="lastCol">
      <w:rPr>
        <w:rFonts w:ascii="Arial" w:hAnsi="Arial"/>
        <w:color w:val="F2F2F2"/>
        <w:sz w:val="22"/>
      </w:rPr>
      <w:tcPr>
        <w:shd w:val="clear" w:fill="FFFFFF" w:color="FFFFFF" w:themeFill="accent6"/>
      </w:tcPr>
    </w:tblStylePr>
    <w:tblStylePr w:type="lastRow">
      <w:rPr>
        <w:rFonts w:ascii="Arial" w:hAnsi="Arial"/>
        <w:color w:val="F2F2F2"/>
        <w:sz w:val="22"/>
      </w:rPr>
      <w:tcPr>
        <w:shd w:val="clear" w:fill="FFFFFF" w:color="FFFFFF" w:themeFill="accent6"/>
      </w:tcPr>
    </w:tblStylePr>
  </w:style>
  <w:style w:type="table" w:styleId="770">
    <w:name w:val="Bordered &amp; Lined - Accent"/>
    <w:basedOn w:val="799"/>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text1" w:themeFillTint="0D"/>
      </w:tcPr>
    </w:tblStylePr>
    <w:tblStylePr w:type="band2Vert">
      <w:rPr>
        <w:rFonts w:ascii="Arial" w:hAnsi="Arial"/>
        <w:color w:val="404040"/>
        <w:sz w:val="22"/>
      </w:rPr>
      <w:tcPr>
        <w:shd w:val="clear" w:fill="FFFFFF" w:color="FFFFFF" w:themeFill="text1" w:themeFillTint="0D"/>
      </w:tcPr>
    </w:tblStylePr>
    <w:tblStylePr w:type="firstCol">
      <w:rPr>
        <w:rFonts w:ascii="Arial" w:hAnsi="Arial"/>
        <w:color w:val="F2F2F2"/>
        <w:sz w:val="22"/>
      </w:rPr>
      <w:tcPr>
        <w:shd w:val="clear" w:fill="FFFFFF" w:color="FFFFFF" w:themeFill="text1" w:themeFillTint="80"/>
      </w:tcPr>
    </w:tblStylePr>
    <w:tblStylePr w:type="firstRow">
      <w:rPr>
        <w:rFonts w:ascii="Arial" w:hAnsi="Arial"/>
        <w:color w:val="F2F2F2"/>
        <w:sz w:val="22"/>
      </w:rPr>
      <w:tcPr>
        <w:shd w:val="clear" w:fill="FFFFFF" w:color="FFFFFF" w:themeFill="text1" w:themeFillTint="80"/>
      </w:tcPr>
    </w:tblStylePr>
    <w:tblStylePr w:type="lastCol">
      <w:rPr>
        <w:rFonts w:ascii="Arial" w:hAnsi="Arial"/>
        <w:color w:val="F2F2F2"/>
        <w:sz w:val="22"/>
      </w:rPr>
      <w:tcPr>
        <w:shd w:val="clear" w:fill="FFFFFF" w:color="FFFFFF" w:themeFill="text1" w:themeFillTint="80"/>
      </w:tcPr>
    </w:tblStylePr>
    <w:tblStylePr w:type="lastRow">
      <w:rPr>
        <w:rFonts w:ascii="Arial" w:hAnsi="Arial"/>
        <w:color w:val="F2F2F2"/>
        <w:sz w:val="22"/>
      </w:rPr>
      <w:tcPr>
        <w:shd w:val="clear" w:fill="FFFFFF" w:color="FFFFFF" w:themeFill="text1" w:themeFillTint="80"/>
      </w:tcPr>
    </w:tblStylePr>
  </w:style>
  <w:style w:type="table" w:styleId="771">
    <w:name w:val="Bordered &amp; Lined - Accent 1"/>
    <w:basedOn w:val="799"/>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1" w:themeFillTint="50"/>
      </w:tcPr>
    </w:tblStylePr>
    <w:tblStylePr w:type="band2Vert">
      <w:rPr>
        <w:rFonts w:ascii="Arial" w:hAnsi="Arial"/>
        <w:color w:val="404040"/>
        <w:sz w:val="22"/>
      </w:rPr>
      <w:tcPr>
        <w:shd w:val="clear" w:fill="FFFFFF" w:color="FFFFFF" w:themeFill="accent1" w:themeFillTint="50"/>
      </w:tcPr>
    </w:tblStylePr>
    <w:tblStylePr w:type="firstCol">
      <w:rPr>
        <w:rFonts w:ascii="Arial" w:hAnsi="Arial"/>
        <w:color w:val="F2F2F2"/>
        <w:sz w:val="22"/>
      </w:rPr>
      <w:tcPr>
        <w:shd w:val="clear" w:fill="FFFFFF" w:color="FFFFFF" w:themeFill="accent1" w:themeFillTint="EA"/>
      </w:tcPr>
    </w:tblStylePr>
    <w:tblStylePr w:type="firstRow">
      <w:rPr>
        <w:rFonts w:ascii="Arial" w:hAnsi="Arial"/>
        <w:color w:val="F2F2F2"/>
        <w:sz w:val="22"/>
      </w:rPr>
      <w:tcPr>
        <w:shd w:val="clear" w:fill="FFFFFF" w:color="FFFFFF" w:themeFill="accent1" w:themeFillTint="EA"/>
      </w:tcPr>
    </w:tblStylePr>
    <w:tblStylePr w:type="lastCol">
      <w:rPr>
        <w:rFonts w:ascii="Arial" w:hAnsi="Arial"/>
        <w:color w:val="F2F2F2"/>
        <w:sz w:val="22"/>
      </w:rPr>
      <w:tcPr>
        <w:shd w:val="clear" w:fill="FFFFFF" w:color="FFFFFF" w:themeFill="accent1" w:themeFillTint="EA"/>
      </w:tcPr>
    </w:tblStylePr>
    <w:tblStylePr w:type="lastRow">
      <w:rPr>
        <w:rFonts w:ascii="Arial" w:hAnsi="Arial"/>
        <w:color w:val="F2F2F2"/>
        <w:sz w:val="22"/>
      </w:rPr>
      <w:tcPr>
        <w:shd w:val="clear" w:fill="FFFFFF" w:color="FFFFFF" w:themeFill="accent1" w:themeFillTint="EA"/>
      </w:tcPr>
    </w:tblStylePr>
  </w:style>
  <w:style w:type="table" w:styleId="772">
    <w:name w:val="Bordered &amp; Lined - Accent 2"/>
    <w:basedOn w:val="799"/>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2" w:themeFillTint="32"/>
      </w:tcPr>
    </w:tblStylePr>
    <w:tblStylePr w:type="band2Vert">
      <w:rPr>
        <w:rFonts w:ascii="Arial" w:hAnsi="Arial"/>
        <w:color w:val="404040"/>
        <w:sz w:val="22"/>
      </w:rPr>
      <w:tcPr>
        <w:shd w:val="clear" w:fill="FFFFFF" w:color="FFFFFF" w:themeFill="accent2" w:themeFillTint="32"/>
      </w:tcPr>
    </w:tblStylePr>
    <w:tblStylePr w:type="firstCol">
      <w:rPr>
        <w:rFonts w:ascii="Arial" w:hAnsi="Arial"/>
        <w:color w:val="F2F2F2"/>
        <w:sz w:val="22"/>
      </w:rPr>
      <w:tcPr>
        <w:shd w:val="clear" w:fill="FFFFFF" w:color="FFFFFF" w:themeFill="accent2" w:themeFillTint="97"/>
      </w:tcPr>
    </w:tblStylePr>
    <w:tblStylePr w:type="firstRow">
      <w:rPr>
        <w:rFonts w:ascii="Arial" w:hAnsi="Arial"/>
        <w:color w:val="F2F2F2"/>
        <w:sz w:val="22"/>
      </w:rPr>
      <w:tcPr>
        <w:shd w:val="clear" w:fill="FFFFFF" w:color="FFFFFF" w:themeFill="accent2" w:themeFillTint="97"/>
      </w:tcPr>
    </w:tblStylePr>
    <w:tblStylePr w:type="lastCol">
      <w:rPr>
        <w:rFonts w:ascii="Arial" w:hAnsi="Arial"/>
        <w:color w:val="F2F2F2"/>
        <w:sz w:val="22"/>
      </w:rPr>
      <w:tcPr>
        <w:shd w:val="clear" w:fill="FFFFFF" w:color="FFFFFF" w:themeFill="accent2" w:themeFillTint="97"/>
      </w:tcPr>
    </w:tblStylePr>
    <w:tblStylePr w:type="lastRow">
      <w:rPr>
        <w:rFonts w:ascii="Arial" w:hAnsi="Arial"/>
        <w:color w:val="F2F2F2"/>
        <w:sz w:val="22"/>
      </w:rPr>
      <w:tcPr>
        <w:shd w:val="clear" w:fill="FFFFFF" w:color="FFFFFF" w:themeFill="accent2" w:themeFillTint="97"/>
      </w:tcPr>
    </w:tblStylePr>
  </w:style>
  <w:style w:type="table" w:styleId="773">
    <w:name w:val="Bordered &amp; Lined - Accent 3"/>
    <w:basedOn w:val="799"/>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3" w:themeFillTint="34"/>
      </w:tcPr>
    </w:tblStylePr>
    <w:tblStylePr w:type="band2Vert">
      <w:rPr>
        <w:rFonts w:ascii="Arial" w:hAnsi="Arial"/>
        <w:color w:val="404040"/>
        <w:sz w:val="22"/>
      </w:rPr>
      <w:tcPr>
        <w:shd w:val="clear" w:fill="FFFFFF" w:color="FFFFFF" w:themeFill="accent3" w:themeFillTint="34"/>
      </w:tcPr>
    </w:tblStylePr>
    <w:tblStylePr w:type="firstCol">
      <w:rPr>
        <w:rFonts w:ascii="Arial" w:hAnsi="Arial"/>
        <w:color w:val="F2F2F2"/>
        <w:sz w:val="22"/>
      </w:rPr>
      <w:tcPr>
        <w:shd w:val="clear" w:fill="FFFFFF" w:color="FFFFFF" w:themeFill="accent3" w:themeFillTint="FE"/>
      </w:tcPr>
    </w:tblStylePr>
    <w:tblStylePr w:type="firstRow">
      <w:rPr>
        <w:rFonts w:ascii="Arial" w:hAnsi="Arial"/>
        <w:color w:val="F2F2F2"/>
        <w:sz w:val="22"/>
      </w:rPr>
      <w:tcPr>
        <w:shd w:val="clear" w:fill="FFFFFF" w:color="FFFFFF" w:themeFill="accent3" w:themeFillTint="FE"/>
      </w:tcPr>
    </w:tblStylePr>
    <w:tblStylePr w:type="lastCol">
      <w:rPr>
        <w:rFonts w:ascii="Arial" w:hAnsi="Arial"/>
        <w:color w:val="F2F2F2"/>
        <w:sz w:val="22"/>
      </w:rPr>
      <w:tcPr>
        <w:shd w:val="clear" w:fill="FFFFFF" w:color="FFFFFF" w:themeFill="accent3" w:themeFillTint="FE"/>
      </w:tcPr>
    </w:tblStylePr>
    <w:tblStylePr w:type="lastRow">
      <w:rPr>
        <w:rFonts w:ascii="Arial" w:hAnsi="Arial"/>
        <w:color w:val="F2F2F2"/>
        <w:sz w:val="22"/>
      </w:rPr>
      <w:tcPr>
        <w:shd w:val="clear" w:fill="FFFFFF" w:color="FFFFFF" w:themeFill="accent3" w:themeFillTint="FE"/>
      </w:tcPr>
    </w:tblStylePr>
  </w:style>
  <w:style w:type="table" w:styleId="774">
    <w:name w:val="Bordered &amp; Lined - Accent 4"/>
    <w:basedOn w:val="799"/>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4" w:themeFillTint="34"/>
      </w:tcPr>
    </w:tblStylePr>
    <w:tblStylePr w:type="band2Vert">
      <w:rPr>
        <w:rFonts w:ascii="Arial" w:hAnsi="Arial"/>
        <w:color w:val="404040"/>
        <w:sz w:val="22"/>
      </w:rPr>
      <w:tcPr>
        <w:shd w:val="clear" w:fill="FFFFFF" w:color="FFFFFF" w:themeFill="accent4" w:themeFillTint="34"/>
      </w:tcPr>
    </w:tblStylePr>
    <w:tblStylePr w:type="firstCol">
      <w:rPr>
        <w:rFonts w:ascii="Arial" w:hAnsi="Arial"/>
        <w:color w:val="F2F2F2"/>
        <w:sz w:val="22"/>
      </w:rPr>
      <w:tcPr>
        <w:shd w:val="clear" w:fill="FFFFFF" w:color="FFFFFF" w:themeFill="accent4" w:themeFillTint="9A"/>
      </w:tcPr>
    </w:tblStylePr>
    <w:tblStylePr w:type="firstRow">
      <w:rPr>
        <w:rFonts w:ascii="Arial" w:hAnsi="Arial"/>
        <w:color w:val="F2F2F2"/>
        <w:sz w:val="22"/>
      </w:rPr>
      <w:tcPr>
        <w:shd w:val="clear" w:fill="FFFFFF" w:color="FFFFFF" w:themeFill="accent4" w:themeFillTint="9A"/>
      </w:tcPr>
    </w:tblStylePr>
    <w:tblStylePr w:type="lastCol">
      <w:rPr>
        <w:rFonts w:ascii="Arial" w:hAnsi="Arial"/>
        <w:color w:val="F2F2F2"/>
        <w:sz w:val="22"/>
      </w:rPr>
      <w:tcPr>
        <w:shd w:val="clear" w:fill="FFFFFF" w:color="FFFFFF" w:themeFill="accent4" w:themeFillTint="9A"/>
      </w:tcPr>
    </w:tblStylePr>
    <w:tblStylePr w:type="lastRow">
      <w:rPr>
        <w:rFonts w:ascii="Arial" w:hAnsi="Arial"/>
        <w:color w:val="F2F2F2"/>
        <w:sz w:val="22"/>
      </w:rPr>
      <w:tcPr>
        <w:shd w:val="clear" w:fill="FFFFFF" w:color="FFFFFF" w:themeFill="accent4" w:themeFillTint="9A"/>
      </w:tcPr>
    </w:tblStylePr>
  </w:style>
  <w:style w:type="table" w:styleId="775">
    <w:name w:val="Bordered &amp; Lined - Accent 5"/>
    <w:basedOn w:val="799"/>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5" w:themeFillTint="34"/>
      </w:tcPr>
    </w:tblStylePr>
    <w:tblStylePr w:type="band2Vert">
      <w:rPr>
        <w:rFonts w:ascii="Arial" w:hAnsi="Arial"/>
        <w:color w:val="404040"/>
        <w:sz w:val="22"/>
      </w:rPr>
      <w:tcPr>
        <w:shd w:val="clear" w:fill="FFFFFF" w:color="FFFFFF" w:themeFill="accent5" w:themeFillTint="34"/>
      </w:tcPr>
    </w:tblStylePr>
    <w:tblStylePr w:type="firstCol">
      <w:rPr>
        <w:rFonts w:ascii="Arial" w:hAnsi="Arial"/>
        <w:color w:val="F2F2F2"/>
        <w:sz w:val="22"/>
      </w:rPr>
      <w:tcPr>
        <w:shd w:val="clear" w:fill="FFFFFF" w:color="FFFFFF" w:themeFill="accent5"/>
      </w:tcPr>
    </w:tblStylePr>
    <w:tblStylePr w:type="firstRow">
      <w:rPr>
        <w:rFonts w:ascii="Arial" w:hAnsi="Arial"/>
        <w:color w:val="F2F2F2"/>
        <w:sz w:val="22"/>
      </w:rPr>
      <w:tcPr>
        <w:shd w:val="clear" w:fill="FFFFFF" w:color="FFFFFF" w:themeFill="accent5"/>
      </w:tcPr>
    </w:tblStylePr>
    <w:tblStylePr w:type="lastCol">
      <w:rPr>
        <w:rFonts w:ascii="Arial" w:hAnsi="Arial"/>
        <w:color w:val="F2F2F2"/>
        <w:sz w:val="22"/>
      </w:rPr>
      <w:tcPr>
        <w:shd w:val="clear" w:fill="FFFFFF" w:color="FFFFFF" w:themeFill="accent5"/>
      </w:tcPr>
    </w:tblStylePr>
    <w:tblStylePr w:type="lastRow">
      <w:rPr>
        <w:rFonts w:ascii="Arial" w:hAnsi="Arial"/>
        <w:color w:val="F2F2F2"/>
        <w:sz w:val="22"/>
      </w:rPr>
      <w:tcPr>
        <w:shd w:val="clear" w:fill="FFFFFF" w:color="FFFFFF" w:themeFill="accent5"/>
      </w:tcPr>
    </w:tblStylePr>
  </w:style>
  <w:style w:type="table" w:styleId="776">
    <w:name w:val="Bordered &amp; Lined - Accent 6"/>
    <w:basedOn w:val="799"/>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6" w:themeFillTint="34"/>
      </w:tcPr>
    </w:tblStylePr>
    <w:tblStylePr w:type="band2Vert">
      <w:rPr>
        <w:rFonts w:ascii="Arial" w:hAnsi="Arial"/>
        <w:color w:val="404040"/>
        <w:sz w:val="22"/>
      </w:rPr>
      <w:tcPr>
        <w:shd w:val="clear" w:fill="FFFFFF" w:color="FFFFFF" w:themeFill="accent6" w:themeFillTint="34"/>
      </w:tcPr>
    </w:tblStylePr>
    <w:tblStylePr w:type="firstCol">
      <w:rPr>
        <w:rFonts w:ascii="Arial" w:hAnsi="Arial"/>
        <w:color w:val="F2F2F2"/>
        <w:sz w:val="22"/>
      </w:rPr>
      <w:tcPr>
        <w:shd w:val="clear" w:fill="FFFFFF" w:color="FFFFFF" w:themeFill="accent6"/>
      </w:tcPr>
    </w:tblStylePr>
    <w:tblStylePr w:type="firstRow">
      <w:rPr>
        <w:rFonts w:ascii="Arial" w:hAnsi="Arial"/>
        <w:color w:val="F2F2F2"/>
        <w:sz w:val="22"/>
      </w:rPr>
      <w:tcPr>
        <w:shd w:val="clear" w:fill="FFFFFF" w:color="FFFFFF" w:themeFill="accent6"/>
      </w:tcPr>
    </w:tblStylePr>
    <w:tblStylePr w:type="lastCol">
      <w:rPr>
        <w:rFonts w:ascii="Arial" w:hAnsi="Arial"/>
        <w:color w:val="F2F2F2"/>
        <w:sz w:val="22"/>
      </w:rPr>
      <w:tcPr>
        <w:shd w:val="clear" w:fill="FFFFFF" w:color="FFFFFF" w:themeFill="accent6"/>
      </w:tcPr>
    </w:tblStylePr>
    <w:tblStylePr w:type="lastRow">
      <w:rPr>
        <w:rFonts w:ascii="Arial" w:hAnsi="Arial"/>
        <w:color w:val="F2F2F2"/>
        <w:sz w:val="22"/>
      </w:rPr>
      <w:tcPr>
        <w:shd w:val="clear" w:fill="FFFFFF" w:color="FFFFFF" w:themeFill="accent6"/>
      </w:tcPr>
    </w:tblStylePr>
  </w:style>
  <w:style w:type="table" w:styleId="777">
    <w:name w:val="Bordered"/>
    <w:basedOn w:val="799"/>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778">
    <w:name w:val="Bordered - Accent 1"/>
    <w:basedOn w:val="799"/>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779">
    <w:name w:val="Bordered - Accent 2"/>
    <w:basedOn w:val="799"/>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780">
    <w:name w:val="Bordered - Accent 3"/>
    <w:basedOn w:val="799"/>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781">
    <w:name w:val="Bordered - Accent 4"/>
    <w:basedOn w:val="799"/>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782">
    <w:name w:val="Bordered - Accent 5"/>
    <w:basedOn w:val="799"/>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783">
    <w:name w:val="Bordered - Accent 6"/>
    <w:basedOn w:val="799"/>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784">
    <w:name w:val="Footnote Text Char"/>
    <w:link w:val="832"/>
    <w:uiPriority w:val="99"/>
    <w:rPr>
      <w:sz w:val="18"/>
    </w:rPr>
  </w:style>
  <w:style w:type="paragraph" w:styleId="785">
    <w:name w:val="endnote text"/>
    <w:basedOn w:val="788"/>
    <w:link w:val="786"/>
    <w:uiPriority w:val="99"/>
    <w:semiHidden/>
    <w:unhideWhenUsed/>
    <w:rPr>
      <w:sz w:val="20"/>
    </w:rPr>
    <w:pPr>
      <w:spacing w:lineRule="auto" w:line="240" w:after="0"/>
    </w:pPr>
  </w:style>
  <w:style w:type="character" w:styleId="786">
    <w:name w:val="Endnote Text Char"/>
    <w:link w:val="785"/>
    <w:uiPriority w:val="99"/>
    <w:rPr>
      <w:sz w:val="20"/>
    </w:rPr>
  </w:style>
  <w:style w:type="character" w:styleId="787">
    <w:name w:val="endnote reference"/>
    <w:basedOn w:val="798"/>
    <w:uiPriority w:val="99"/>
    <w:semiHidden/>
    <w:unhideWhenUsed/>
    <w:rPr>
      <w:vertAlign w:val="superscript"/>
    </w:rPr>
  </w:style>
  <w:style w:type="paragraph" w:styleId="788" w:default="1">
    <w:name w:val="Normal"/>
    <w:qFormat/>
    <w:pPr>
      <w:jc w:val="both"/>
    </w:pPr>
  </w:style>
  <w:style w:type="paragraph" w:styleId="789">
    <w:name w:val="Heading 1"/>
    <w:basedOn w:val="788"/>
    <w:next w:val="788"/>
    <w:link w:val="801"/>
    <w:qFormat/>
    <w:rPr>
      <w:caps/>
      <w:color w:val="632423" w:themeColor="accent2" w:themeShade="80"/>
      <w:spacing w:val="20"/>
      <w:sz w:val="28"/>
      <w:szCs w:val="28"/>
    </w:rPr>
    <w:pPr>
      <w:jc w:val="center"/>
      <w:pageBreakBefore/>
      <w:spacing w:before="400"/>
      <w:pBdr>
        <w:bottom w:val="single" w:color="943634" w:sz="12" w:space="1" w:themeColor="accent2" w:themeShade="BF"/>
      </w:pBdr>
      <w:outlineLvl w:val="0"/>
    </w:pPr>
  </w:style>
  <w:style w:type="paragraph" w:styleId="790">
    <w:name w:val="Heading 2"/>
    <w:basedOn w:val="788"/>
    <w:next w:val="788"/>
    <w:link w:val="802"/>
    <w:qFormat/>
    <w:unhideWhenUsed/>
    <w:rPr>
      <w:caps/>
      <w:color w:val="632423" w:themeColor="accent2" w:themeShade="80"/>
      <w:spacing w:val="15"/>
      <w:sz w:val="24"/>
      <w:szCs w:val="24"/>
    </w:rPr>
    <w:pPr>
      <w:jc w:val="center"/>
      <w:keepNext/>
      <w:spacing w:before="400"/>
      <w:pBdr>
        <w:bottom w:val="single" w:color="622423" w:sz="4" w:space="1" w:themeColor="accent2" w:themeShade="7F"/>
      </w:pBdr>
      <w:outlineLvl w:val="1"/>
    </w:pPr>
  </w:style>
  <w:style w:type="paragraph" w:styleId="791">
    <w:name w:val="Heading 3"/>
    <w:basedOn w:val="788"/>
    <w:next w:val="788"/>
    <w:link w:val="803"/>
    <w:qFormat/>
    <w:unhideWhenUsed/>
    <w:rPr>
      <w:caps/>
      <w:color w:val="622423" w:themeColor="accent2" w:themeShade="7F"/>
      <w:sz w:val="24"/>
      <w:szCs w:val="24"/>
    </w:rPr>
    <w:pPr>
      <w:jc w:val="center"/>
      <w:keepNext/>
      <w:spacing w:before="300"/>
      <w:pBdr>
        <w:top w:val="single" w:color="622423" w:sz="4" w:space="1" w:themeColor="accent2" w:themeShade="7F"/>
        <w:bottom w:val="single" w:color="622423" w:sz="4" w:space="1" w:themeColor="accent2" w:themeShade="7F"/>
      </w:pBdr>
      <w:outlineLvl w:val="2"/>
    </w:pPr>
  </w:style>
  <w:style w:type="paragraph" w:styleId="792">
    <w:name w:val="Heading 4"/>
    <w:basedOn w:val="788"/>
    <w:next w:val="788"/>
    <w:link w:val="804"/>
    <w:qFormat/>
    <w:unhideWhenUsed/>
    <w:rPr>
      <w:caps/>
      <w:color w:val="622423" w:themeColor="accent2" w:themeShade="7F"/>
      <w:spacing w:val="10"/>
    </w:rPr>
    <w:pPr>
      <w:jc w:val="center"/>
      <w:keepNext/>
      <w:spacing w:after="120" w:before="240"/>
      <w:pBdr>
        <w:bottom w:val="single" w:color="943634" w:sz="4" w:space="1" w:themeColor="accent2" w:themeShade="BF"/>
      </w:pBdr>
      <w:outlineLvl w:val="3"/>
    </w:pPr>
  </w:style>
  <w:style w:type="paragraph" w:styleId="793">
    <w:name w:val="Heading 5"/>
    <w:basedOn w:val="788"/>
    <w:next w:val="788"/>
    <w:link w:val="805"/>
    <w:qFormat/>
    <w:uiPriority w:val="9"/>
    <w:unhideWhenUsed/>
    <w:rPr>
      <w:caps/>
      <w:color w:val="622423" w:themeColor="accent2" w:themeShade="7F"/>
      <w:spacing w:val="10"/>
    </w:rPr>
    <w:pPr>
      <w:jc w:val="center"/>
      <w:spacing w:after="120" w:before="320"/>
      <w:outlineLvl w:val="4"/>
    </w:pPr>
  </w:style>
  <w:style w:type="paragraph" w:styleId="794">
    <w:name w:val="Heading 6"/>
    <w:basedOn w:val="788"/>
    <w:next w:val="788"/>
    <w:link w:val="806"/>
    <w:qFormat/>
    <w:uiPriority w:val="9"/>
    <w:semiHidden/>
    <w:unhideWhenUsed/>
    <w:rPr>
      <w:caps/>
      <w:color w:val="943634" w:themeColor="accent2" w:themeShade="BF"/>
      <w:spacing w:val="10"/>
    </w:rPr>
    <w:pPr>
      <w:jc w:val="center"/>
      <w:spacing w:after="120"/>
      <w:outlineLvl w:val="5"/>
    </w:pPr>
  </w:style>
  <w:style w:type="paragraph" w:styleId="795">
    <w:name w:val="Heading 7"/>
    <w:basedOn w:val="788"/>
    <w:next w:val="788"/>
    <w:link w:val="807"/>
    <w:qFormat/>
    <w:uiPriority w:val="9"/>
    <w:semiHidden/>
    <w:unhideWhenUsed/>
    <w:rPr>
      <w:i/>
      <w:iCs/>
      <w:caps/>
      <w:color w:val="943634" w:themeColor="accent2" w:themeShade="BF"/>
      <w:spacing w:val="10"/>
    </w:rPr>
    <w:pPr>
      <w:jc w:val="center"/>
      <w:spacing w:after="120"/>
      <w:outlineLvl w:val="6"/>
    </w:pPr>
  </w:style>
  <w:style w:type="paragraph" w:styleId="796">
    <w:name w:val="Heading 8"/>
    <w:basedOn w:val="788"/>
    <w:next w:val="788"/>
    <w:link w:val="808"/>
    <w:qFormat/>
    <w:uiPriority w:val="9"/>
    <w:semiHidden/>
    <w:unhideWhenUsed/>
    <w:rPr>
      <w:caps/>
      <w:spacing w:val="10"/>
      <w:sz w:val="20"/>
      <w:szCs w:val="20"/>
    </w:rPr>
    <w:pPr>
      <w:jc w:val="center"/>
      <w:spacing w:after="120"/>
      <w:outlineLvl w:val="7"/>
    </w:pPr>
  </w:style>
  <w:style w:type="paragraph" w:styleId="797">
    <w:name w:val="Heading 9"/>
    <w:basedOn w:val="788"/>
    <w:next w:val="788"/>
    <w:link w:val="809"/>
    <w:qFormat/>
    <w:uiPriority w:val="9"/>
    <w:semiHidden/>
    <w:unhideWhenUsed/>
    <w:rPr>
      <w:i/>
      <w:iCs/>
      <w:caps/>
      <w:spacing w:val="10"/>
      <w:sz w:val="20"/>
      <w:szCs w:val="20"/>
    </w:rPr>
    <w:pPr>
      <w:jc w:val="center"/>
      <w:spacing w:after="120"/>
      <w:outlineLvl w:val="8"/>
    </w:pPr>
  </w:style>
  <w:style w:type="character" w:styleId="798" w:default="1">
    <w:name w:val="Default Paragraph Font"/>
    <w:uiPriority w:val="1"/>
    <w:semiHidden/>
    <w:unhideWhenUsed/>
  </w:style>
  <w:style w:type="table" w:styleId="799" w:default="1">
    <w:name w:val="Normal Table"/>
    <w:uiPriority w:val="99"/>
    <w:semiHidden/>
    <w:unhideWhenUsed/>
    <w:tblPr>
      <w:tblInd w:w="0" w:type="dxa"/>
      <w:tblCellMar>
        <w:left w:w="108" w:type="dxa"/>
        <w:top w:w="0" w:type="dxa"/>
        <w:right w:w="108" w:type="dxa"/>
        <w:bottom w:w="0" w:type="dxa"/>
      </w:tblCellMar>
    </w:tblPr>
  </w:style>
  <w:style w:type="numbering" w:styleId="800" w:default="1">
    <w:name w:val="No List"/>
    <w:uiPriority w:val="99"/>
    <w:semiHidden/>
    <w:unhideWhenUsed/>
  </w:style>
  <w:style w:type="character" w:styleId="801" w:customStyle="1">
    <w:name w:val="Titre 1 Car"/>
    <w:basedOn w:val="798"/>
    <w:link w:val="789"/>
    <w:uiPriority w:val="9"/>
    <w:rPr>
      <w:caps/>
      <w:color w:val="632423" w:themeColor="accent2" w:themeShade="80"/>
      <w:spacing w:val="20"/>
      <w:sz w:val="28"/>
      <w:szCs w:val="28"/>
    </w:rPr>
  </w:style>
  <w:style w:type="character" w:styleId="802" w:customStyle="1">
    <w:name w:val="Titre 2 Car"/>
    <w:basedOn w:val="798"/>
    <w:link w:val="790"/>
    <w:rPr>
      <w:caps/>
      <w:color w:val="632423" w:themeColor="accent2" w:themeShade="80"/>
      <w:spacing w:val="15"/>
      <w:sz w:val="24"/>
      <w:szCs w:val="24"/>
    </w:rPr>
  </w:style>
  <w:style w:type="character" w:styleId="803" w:customStyle="1">
    <w:name w:val="Titre 3 Car"/>
    <w:basedOn w:val="798"/>
    <w:link w:val="791"/>
    <w:rPr>
      <w:caps/>
      <w:color w:val="622423" w:themeColor="accent2" w:themeShade="7F"/>
      <w:sz w:val="24"/>
      <w:szCs w:val="24"/>
    </w:rPr>
  </w:style>
  <w:style w:type="character" w:styleId="804" w:customStyle="1">
    <w:name w:val="Titre 4 Car"/>
    <w:basedOn w:val="798"/>
    <w:link w:val="792"/>
    <w:rPr>
      <w:caps/>
      <w:color w:val="622423" w:themeColor="accent2" w:themeShade="7F"/>
      <w:spacing w:val="10"/>
    </w:rPr>
  </w:style>
  <w:style w:type="character" w:styleId="805" w:customStyle="1">
    <w:name w:val="Titre 5 Car"/>
    <w:basedOn w:val="798"/>
    <w:link w:val="793"/>
    <w:uiPriority w:val="9"/>
    <w:rPr>
      <w:caps/>
      <w:color w:val="622423" w:themeColor="accent2" w:themeShade="7F"/>
      <w:spacing w:val="10"/>
    </w:rPr>
  </w:style>
  <w:style w:type="character" w:styleId="806" w:customStyle="1">
    <w:name w:val="Titre 6 Car"/>
    <w:basedOn w:val="798"/>
    <w:link w:val="794"/>
    <w:uiPriority w:val="9"/>
    <w:semiHidden/>
    <w:rPr>
      <w:caps/>
      <w:color w:val="943634" w:themeColor="accent2" w:themeShade="BF"/>
      <w:spacing w:val="10"/>
    </w:rPr>
  </w:style>
  <w:style w:type="character" w:styleId="807" w:customStyle="1">
    <w:name w:val="Titre 7 Car"/>
    <w:basedOn w:val="798"/>
    <w:link w:val="795"/>
    <w:uiPriority w:val="9"/>
    <w:semiHidden/>
    <w:rPr>
      <w:i/>
      <w:iCs/>
      <w:caps/>
      <w:color w:val="943634" w:themeColor="accent2" w:themeShade="BF"/>
      <w:spacing w:val="10"/>
    </w:rPr>
  </w:style>
  <w:style w:type="character" w:styleId="808" w:customStyle="1">
    <w:name w:val="Titre 8 Car"/>
    <w:basedOn w:val="798"/>
    <w:link w:val="796"/>
    <w:uiPriority w:val="9"/>
    <w:semiHidden/>
    <w:rPr>
      <w:caps/>
      <w:spacing w:val="10"/>
      <w:sz w:val="20"/>
      <w:szCs w:val="20"/>
    </w:rPr>
  </w:style>
  <w:style w:type="character" w:styleId="809" w:customStyle="1">
    <w:name w:val="Titre 9 Car"/>
    <w:basedOn w:val="798"/>
    <w:link w:val="797"/>
    <w:uiPriority w:val="9"/>
    <w:semiHidden/>
    <w:rPr>
      <w:i/>
      <w:iCs/>
      <w:caps/>
      <w:spacing w:val="10"/>
      <w:sz w:val="20"/>
      <w:szCs w:val="20"/>
    </w:rPr>
  </w:style>
  <w:style w:type="paragraph" w:styleId="810">
    <w:name w:val="Title"/>
    <w:basedOn w:val="788"/>
    <w:next w:val="788"/>
    <w:link w:val="811"/>
    <w:qFormat/>
    <w:uiPriority w:val="10"/>
    <w:rPr>
      <w:caps/>
      <w:color w:val="632423" w:themeColor="accent2" w:themeShade="80"/>
      <w:spacing w:val="50"/>
      <w:sz w:val="44"/>
      <w:szCs w:val="44"/>
    </w:rPr>
    <w:pPr>
      <w:jc w:val="center"/>
      <w:spacing w:lineRule="auto" w:line="240" w:after="300" w:before="500"/>
      <w:pBdr>
        <w:top w:val="single" w:color="632423" w:sz="2" w:space="1" w:themeColor="accent2" w:themeShade="80"/>
        <w:bottom w:val="single" w:color="632423" w:sz="2" w:space="6" w:themeColor="accent2" w:themeShade="80"/>
      </w:pBdr>
    </w:pPr>
  </w:style>
  <w:style w:type="character" w:styleId="811" w:customStyle="1">
    <w:name w:val="Titre Car"/>
    <w:basedOn w:val="798"/>
    <w:link w:val="810"/>
    <w:uiPriority w:val="10"/>
    <w:rPr>
      <w:caps/>
      <w:color w:val="632423" w:themeColor="accent2" w:themeShade="80"/>
      <w:spacing w:val="50"/>
      <w:sz w:val="44"/>
      <w:szCs w:val="44"/>
    </w:rPr>
  </w:style>
  <w:style w:type="character" w:styleId="812">
    <w:name w:val="Hyperlink"/>
    <w:uiPriority w:val="99"/>
    <w:rPr>
      <w:color w:val="0000FF"/>
      <w:u w:val="single"/>
    </w:rPr>
  </w:style>
  <w:style w:type="character" w:styleId="813">
    <w:name w:val="FollowedHyperlink"/>
    <w:rPr>
      <w:color w:val="800080"/>
      <w:u w:val="single"/>
    </w:rPr>
  </w:style>
  <w:style w:type="paragraph" w:styleId="814">
    <w:name w:val="Quote"/>
    <w:basedOn w:val="788"/>
    <w:next w:val="788"/>
    <w:link w:val="815"/>
    <w:qFormat/>
    <w:uiPriority w:val="29"/>
    <w:rPr>
      <w:i/>
      <w:iCs/>
    </w:rPr>
  </w:style>
  <w:style w:type="character" w:styleId="815" w:customStyle="1">
    <w:name w:val="Citation Car"/>
    <w:basedOn w:val="798"/>
    <w:link w:val="814"/>
    <w:uiPriority w:val="29"/>
    <w:rPr>
      <w:i/>
      <w:iCs/>
    </w:rPr>
  </w:style>
  <w:style w:type="paragraph" w:styleId="816">
    <w:name w:val="Normal (Web)"/>
    <w:basedOn w:val="788"/>
    <w:uiPriority w:val="99"/>
    <w:unhideWhenUsed/>
    <w:rPr>
      <w:rFonts w:ascii="Times New Roman" w:hAnsi="Times New Roman" w:cs="Times New Roman" w:eastAsia="Times New Roman"/>
      <w:sz w:val="24"/>
      <w:szCs w:val="24"/>
    </w:rPr>
    <w:pPr>
      <w:jc w:val="left"/>
      <w:spacing w:lineRule="auto" w:line="240" w:after="100" w:afterAutospacing="1" w:before="100" w:beforeAutospacing="1"/>
    </w:pPr>
  </w:style>
  <w:style w:type="character" w:styleId="817">
    <w:name w:val="Strong"/>
    <w:qFormat/>
    <w:uiPriority w:val="22"/>
    <w:rPr>
      <w:b/>
      <w:bCs/>
      <w:color w:val="943634" w:themeColor="accent2" w:themeShade="BF"/>
      <w:spacing w:val="5"/>
    </w:rPr>
  </w:style>
  <w:style w:type="paragraph" w:styleId="818">
    <w:name w:val="Balloon Text"/>
    <w:basedOn w:val="788"/>
    <w:link w:val="819"/>
    <w:rPr>
      <w:rFonts w:ascii="Tahoma" w:hAnsi="Tahoma" w:cs="Tahoma"/>
      <w:sz w:val="16"/>
      <w:szCs w:val="16"/>
    </w:rPr>
    <w:pPr>
      <w:spacing w:lineRule="auto" w:line="240" w:after="0"/>
    </w:pPr>
  </w:style>
  <w:style w:type="character" w:styleId="819" w:customStyle="1">
    <w:name w:val="Texte de bulles Car"/>
    <w:basedOn w:val="798"/>
    <w:link w:val="818"/>
    <w:rPr>
      <w:rFonts w:ascii="Tahoma" w:hAnsi="Tahoma" w:cs="Tahoma"/>
      <w:sz w:val="16"/>
      <w:szCs w:val="16"/>
    </w:rPr>
  </w:style>
  <w:style w:type="paragraph" w:styleId="820">
    <w:name w:val="toc 1"/>
    <w:basedOn w:val="788"/>
    <w:next w:val="788"/>
    <w:uiPriority w:val="39"/>
    <w:pPr>
      <w:tabs>
        <w:tab w:val="right" w:pos="9203" w:leader="dot"/>
      </w:tabs>
    </w:pPr>
  </w:style>
  <w:style w:type="paragraph" w:styleId="821">
    <w:name w:val="toc 2"/>
    <w:basedOn w:val="788"/>
    <w:next w:val="788"/>
    <w:uiPriority w:val="39"/>
    <w:pPr>
      <w:ind w:left="240"/>
      <w:tabs>
        <w:tab w:val="right" w:pos="9203" w:leader="dot"/>
      </w:tabs>
    </w:pPr>
  </w:style>
  <w:style w:type="paragraph" w:styleId="822">
    <w:name w:val="toc 3"/>
    <w:basedOn w:val="788"/>
    <w:next w:val="788"/>
    <w:uiPriority w:val="39"/>
    <w:pPr>
      <w:ind w:left="480"/>
      <w:tabs>
        <w:tab w:val="right" w:pos="9203" w:leader="dot"/>
      </w:tabs>
    </w:pPr>
  </w:style>
  <w:style w:type="paragraph" w:styleId="823">
    <w:name w:val="toc 4"/>
    <w:basedOn w:val="788"/>
    <w:next w:val="788"/>
    <w:uiPriority w:val="39"/>
    <w:pPr>
      <w:ind w:left="720"/>
    </w:pPr>
  </w:style>
  <w:style w:type="paragraph" w:styleId="824">
    <w:name w:val="toc 5"/>
    <w:basedOn w:val="788"/>
    <w:next w:val="788"/>
    <w:uiPriority w:val="39"/>
    <w:pPr>
      <w:ind w:left="960"/>
      <w:tabs>
        <w:tab w:val="right" w:pos="9203" w:leader="dot"/>
      </w:tabs>
    </w:pPr>
  </w:style>
  <w:style w:type="paragraph" w:styleId="825">
    <w:name w:val="toc 6"/>
    <w:basedOn w:val="788"/>
    <w:next w:val="788"/>
    <w:semiHidden/>
    <w:pPr>
      <w:ind w:left="1200"/>
    </w:pPr>
  </w:style>
  <w:style w:type="paragraph" w:styleId="826">
    <w:name w:val="toc 7"/>
    <w:basedOn w:val="788"/>
    <w:next w:val="788"/>
    <w:semiHidden/>
    <w:pPr>
      <w:ind w:left="1440"/>
    </w:pPr>
  </w:style>
  <w:style w:type="paragraph" w:styleId="827">
    <w:name w:val="toc 8"/>
    <w:basedOn w:val="788"/>
    <w:next w:val="788"/>
    <w:semiHidden/>
    <w:pPr>
      <w:ind w:left="1680"/>
    </w:pPr>
  </w:style>
  <w:style w:type="paragraph" w:styleId="828">
    <w:name w:val="toc 9"/>
    <w:basedOn w:val="788"/>
    <w:next w:val="788"/>
    <w:semiHidden/>
    <w:pPr>
      <w:ind w:left="1920"/>
    </w:pPr>
  </w:style>
  <w:style w:type="paragraph" w:styleId="829">
    <w:name w:val="Footer"/>
    <w:basedOn w:val="788"/>
    <w:link w:val="830"/>
    <w:uiPriority w:val="99"/>
    <w:pPr>
      <w:ind w:left="284" w:right="284"/>
      <w:jc w:val="left"/>
      <w:tabs>
        <w:tab w:val="right" w:pos="8789" w:leader="none"/>
      </w:tabs>
    </w:pPr>
  </w:style>
  <w:style w:type="character" w:styleId="830" w:customStyle="1">
    <w:name w:val="Pied de page Car"/>
    <w:link w:val="829"/>
    <w:uiPriority w:val="99"/>
  </w:style>
  <w:style w:type="paragraph" w:styleId="831">
    <w:name w:val="Header"/>
    <w:basedOn w:val="788"/>
    <w:pPr>
      <w:ind w:left="284" w:right="284"/>
      <w:jc w:val="center"/>
      <w:tabs>
        <w:tab w:val="center" w:pos="4536" w:leader="none"/>
        <w:tab w:val="right" w:pos="8789" w:leader="none"/>
      </w:tabs>
    </w:pPr>
  </w:style>
  <w:style w:type="paragraph" w:styleId="832">
    <w:name w:val="footnote text"/>
    <w:basedOn w:val="788"/>
    <w:semiHidden/>
    <w:rPr>
      <w:sz w:val="20"/>
      <w:szCs w:val="20"/>
    </w:rPr>
  </w:style>
  <w:style w:type="character" w:styleId="833">
    <w:name w:val="footnote reference"/>
    <w:semiHidden/>
    <w:rPr>
      <w:vertAlign w:val="superscript"/>
    </w:rPr>
  </w:style>
  <w:style w:type="paragraph" w:styleId="834">
    <w:name w:val="annotation subject"/>
    <w:basedOn w:val="835"/>
    <w:next w:val="835"/>
    <w:link w:val="837"/>
    <w:rPr>
      <w:b/>
      <w:bCs/>
    </w:rPr>
    <w:pPr>
      <w:spacing w:lineRule="auto" w:line="240"/>
    </w:pPr>
  </w:style>
  <w:style w:type="paragraph" w:styleId="835">
    <w:name w:val="annotation text"/>
    <w:basedOn w:val="788"/>
    <w:link w:val="836"/>
    <w:rPr>
      <w:sz w:val="20"/>
      <w:szCs w:val="20"/>
    </w:rPr>
  </w:style>
  <w:style w:type="character" w:styleId="836" w:customStyle="1">
    <w:name w:val="Commentaire Car"/>
    <w:basedOn w:val="798"/>
    <w:link w:val="835"/>
  </w:style>
  <w:style w:type="character" w:styleId="837" w:customStyle="1">
    <w:name w:val="Objet du commentaire Car"/>
    <w:basedOn w:val="836"/>
    <w:link w:val="834"/>
    <w:rPr>
      <w:b/>
      <w:bCs/>
      <w:sz w:val="20"/>
      <w:szCs w:val="20"/>
    </w:rPr>
  </w:style>
  <w:style w:type="paragraph" w:styleId="838">
    <w:name w:val="List Paragraph"/>
    <w:basedOn w:val="788"/>
    <w:link w:val="839"/>
    <w:qFormat/>
    <w:uiPriority w:val="99"/>
    <w:pPr>
      <w:contextualSpacing w:val="true"/>
      <w:ind w:left="720"/>
    </w:pPr>
  </w:style>
  <w:style w:type="character" w:styleId="839" w:customStyle="1">
    <w:name w:val="Paragraphe de liste Car"/>
    <w:basedOn w:val="798"/>
    <w:link w:val="838"/>
    <w:uiPriority w:val="99"/>
  </w:style>
  <w:style w:type="table" w:styleId="840">
    <w:name w:val="Table Grid"/>
    <w:basedOn w:val="799"/>
    <w:uiPriority w:val="59"/>
    <w:rPr>
      <w:rFonts w:ascii="Calibri" w:hAnsi="Calibri" w:cs="Times New Roman" w:eastAsia="Times New Roman"/>
      <w:lang w:eastAsia="en-US"/>
    </w:rPr>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paragraph" w:styleId="841">
    <w:name w:val="Subtitle"/>
    <w:basedOn w:val="788"/>
    <w:next w:val="788"/>
    <w:link w:val="842"/>
    <w:qFormat/>
    <w:uiPriority w:val="11"/>
    <w:rPr>
      <w:caps/>
      <w:spacing w:val="20"/>
      <w:sz w:val="18"/>
      <w:szCs w:val="18"/>
    </w:rPr>
    <w:pPr>
      <w:jc w:val="center"/>
      <w:spacing w:lineRule="auto" w:line="240" w:after="560"/>
    </w:pPr>
  </w:style>
  <w:style w:type="character" w:styleId="842" w:customStyle="1">
    <w:name w:val="Sous-titre Car"/>
    <w:basedOn w:val="798"/>
    <w:link w:val="841"/>
    <w:uiPriority w:val="11"/>
    <w:rPr>
      <w:caps/>
      <w:spacing w:val="20"/>
      <w:sz w:val="18"/>
      <w:szCs w:val="18"/>
    </w:rPr>
  </w:style>
  <w:style w:type="paragraph" w:styleId="843">
    <w:name w:val="Caption"/>
    <w:basedOn w:val="788"/>
    <w:next w:val="788"/>
    <w:qFormat/>
    <w:uiPriority w:val="35"/>
    <w:unhideWhenUsed/>
    <w:rPr>
      <w:caps/>
      <w:spacing w:val="10"/>
      <w:sz w:val="18"/>
      <w:szCs w:val="18"/>
    </w:rPr>
    <w:pPr>
      <w:jc w:val="center"/>
    </w:pPr>
  </w:style>
  <w:style w:type="paragraph" w:styleId="844" w:customStyle="1">
    <w:name w:val="Paragraphe de liste numérotée"/>
    <w:basedOn w:val="838"/>
    <w:link w:val="845"/>
    <w:pPr>
      <w:ind w:left="924" w:hanging="357"/>
    </w:pPr>
  </w:style>
  <w:style w:type="character" w:styleId="845" w:customStyle="1">
    <w:name w:val="Paragraphe de liste numérotée Car"/>
    <w:basedOn w:val="839"/>
    <w:link w:val="844"/>
  </w:style>
  <w:style w:type="paragraph" w:styleId="846">
    <w:name w:val="Revision"/>
    <w:uiPriority w:val="99"/>
    <w:hidden/>
    <w:semiHidden/>
    <w:rPr>
      <w:sz w:val="24"/>
      <w:szCs w:val="24"/>
    </w:rPr>
  </w:style>
  <w:style w:type="character" w:styleId="847">
    <w:name w:val="Subtle Emphasis"/>
    <w:qFormat/>
    <w:uiPriority w:val="19"/>
    <w:rPr>
      <w:i/>
      <w:iCs/>
    </w:rPr>
  </w:style>
  <w:style w:type="character" w:styleId="848">
    <w:name w:val="Emphasis"/>
    <w:qFormat/>
    <w:uiPriority w:val="20"/>
    <w:rPr>
      <w:caps/>
      <w:spacing w:val="5"/>
      <w:sz w:val="20"/>
      <w:szCs w:val="20"/>
    </w:rPr>
  </w:style>
  <w:style w:type="paragraph" w:styleId="849">
    <w:name w:val="No Spacing"/>
    <w:basedOn w:val="788"/>
    <w:link w:val="850"/>
    <w:qFormat/>
    <w:uiPriority w:val="1"/>
    <w:pPr>
      <w:spacing w:lineRule="auto" w:line="240" w:after="0"/>
    </w:pPr>
  </w:style>
  <w:style w:type="character" w:styleId="850" w:customStyle="1">
    <w:name w:val="Sans interligne Car"/>
    <w:basedOn w:val="798"/>
    <w:link w:val="849"/>
    <w:uiPriority w:val="1"/>
  </w:style>
  <w:style w:type="paragraph" w:styleId="851">
    <w:name w:val="Intense Quote"/>
    <w:basedOn w:val="788"/>
    <w:next w:val="788"/>
    <w:link w:val="852"/>
    <w:qFormat/>
    <w:uiPriority w:val="30"/>
    <w:rPr>
      <w:caps/>
      <w:color w:val="622423" w:themeColor="accent2" w:themeShade="7F"/>
      <w:spacing w:val="5"/>
      <w:sz w:val="20"/>
      <w:szCs w:val="20"/>
    </w:rPr>
    <w:pPr>
      <w:ind w:left="1440" w:right="1440"/>
      <w:spacing w:lineRule="auto" w:line="300" w:before="160"/>
      <w:pBdr>
        <w:top w:val="single" w:color="632423" w:sz="2" w:space="10" w:themeColor="accent2" w:themeShade="80"/>
        <w:bottom w:val="single" w:color="632423" w:sz="2" w:space="4" w:themeColor="accent2" w:themeShade="80"/>
      </w:pBdr>
    </w:pPr>
  </w:style>
  <w:style w:type="character" w:styleId="852" w:customStyle="1">
    <w:name w:val="Citation intense Car"/>
    <w:basedOn w:val="798"/>
    <w:link w:val="851"/>
    <w:uiPriority w:val="30"/>
    <w:rPr>
      <w:caps/>
      <w:color w:val="622423" w:themeColor="accent2" w:themeShade="7F"/>
      <w:spacing w:val="5"/>
      <w:sz w:val="20"/>
      <w:szCs w:val="20"/>
    </w:rPr>
  </w:style>
  <w:style w:type="character" w:styleId="853">
    <w:name w:val="Intense Emphasis"/>
    <w:qFormat/>
    <w:uiPriority w:val="21"/>
    <w:rPr>
      <w:i/>
      <w:iCs/>
      <w:caps/>
      <w:spacing w:val="10"/>
      <w:sz w:val="20"/>
      <w:szCs w:val="20"/>
    </w:rPr>
  </w:style>
  <w:style w:type="character" w:styleId="854">
    <w:name w:val="Subtle Reference"/>
    <w:basedOn w:val="798"/>
    <w:qFormat/>
    <w:uiPriority w:val="31"/>
    <w:rPr>
      <w:rFonts w:ascii="Calibri" w:hAnsi="Calibri" w:cs="Calibri" w:eastAsia="Calibri"/>
      <w:i/>
      <w:iCs/>
      <w:color w:val="622423" w:themeColor="accent2" w:themeShade="7F"/>
    </w:rPr>
  </w:style>
  <w:style w:type="character" w:styleId="855">
    <w:name w:val="Intense Reference"/>
    <w:qFormat/>
    <w:uiPriority w:val="32"/>
    <w:rPr>
      <w:rFonts w:ascii="Calibri" w:hAnsi="Calibri" w:cs="Calibri" w:eastAsia="Calibri"/>
      <w:b/>
      <w:bCs/>
      <w:i/>
      <w:iCs/>
      <w:color w:val="622423" w:themeColor="accent2" w:themeShade="7F"/>
    </w:rPr>
  </w:style>
  <w:style w:type="character" w:styleId="856">
    <w:name w:val="Book Title"/>
    <w:qFormat/>
    <w:uiPriority w:val="33"/>
    <w:rPr>
      <w:caps/>
      <w:color w:val="622423" w:themeColor="accent2" w:themeShade="7F"/>
      <w:spacing w:val="5"/>
    </w:rPr>
  </w:style>
  <w:style w:type="paragraph" w:styleId="857">
    <w:name w:val="TOC Heading"/>
    <w:basedOn w:val="789"/>
    <w:next w:val="788"/>
    <w:qFormat/>
    <w:uiPriority w:val="39"/>
    <w:semiHidden/>
    <w:unhideWhenUsed/>
    <w:rPr>
      <w:lang w:bidi="en-US"/>
    </w:rPr>
    <w:pPr>
      <w:outlineLvl w:val="9"/>
    </w:pPr>
  </w:style>
  <w:style w:type="character" w:styleId="858">
    <w:name w:val="annotation reference"/>
    <w:basedOn w:val="798"/>
    <w:rPr>
      <w:sz w:val="16"/>
      <w:szCs w:val="16"/>
    </w:rPr>
  </w:style>
  <w:style w:type="paragraph" w:styleId="859">
    <w:name w:val="List Number"/>
    <w:basedOn w:val="788"/>
    <w:pPr>
      <w:numPr>
        <w:numId w:val="23"/>
      </w:numPr>
      <w:contextualSpacing w:val="true"/>
    </w:pPr>
  </w:style>
  <w:style w:type="paragraph" w:styleId="860">
    <w:name w:val="List Number 2"/>
    <w:basedOn w:val="788"/>
    <w:pPr>
      <w:contextualSpacing w:val="true"/>
      <w:ind w:left="643" w:hanging="360"/>
      <w:tabs>
        <w:tab w:val="num" w:pos="643" w:leader="none"/>
      </w:tabs>
    </w:pPr>
  </w:style>
  <w:style w:type="table" w:styleId="861" w:customStyle="1">
    <w:name w:val="Tableau"/>
    <w:basedOn w:val="799"/>
    <w:uiPriority w:val="99"/>
    <w:pPr>
      <w:spacing w:lineRule="auto" w:line="240" w:after="60" w:before="60"/>
    </w:pPr>
    <w:tblPr>
      <w:tblStyleRowBandSize w:val="1"/>
      <w:tblBorders>
        <w:left w:val="single" w:color="000000" w:sz="4" w:space="0"/>
        <w:top w:val="single" w:color="000000" w:sz="4" w:space="0"/>
        <w:right w:val="single" w:color="000000" w:sz="4" w:space="0"/>
        <w:bottom w:val="single" w:color="000000" w:sz="4" w:space="0"/>
        <w:insideV w:val="single" w:color="000000" w:sz="4" w:space="0"/>
      </w:tblBorders>
    </w:tblPr>
    <w:trPr>
      <w:cantSplit/>
    </w:trPr>
    <w:tcPr>
      <w:shd w:val="clear" w:color="auto" w:fill="auto"/>
    </w:tcPr>
    <w:tblStylePr w:type="band1Horz">
      <w:tcPr>
        <w:shd w:val="clear" w:fill="F2DBDB" w:color="F2DBDB" w:themeFill="accent2" w:themeFillTint="33"/>
      </w:tcPr>
    </w:tblStylePr>
    <w:tblStylePr w:type="firstRow">
      <w:rPr>
        <w:b/>
        <w:caps/>
        <w:smallCaps w:val="false"/>
        <w:color w:val="632423" w:themeColor="accent2" w:themeShade="80"/>
      </w:rPr>
      <w:pPr>
        <w:jc w:val="center"/>
      </w:pPr>
      <w:trPr>
        <w:cantSplit w:val="false"/>
        <w:tblHeader/>
      </w:trPr>
    </w:tblStylePr>
  </w:style>
  <w:style w:type="paragraph" w:styleId="862">
    <w:name w:val="toa heading"/>
    <w:basedOn w:val="788"/>
    <w:next w:val="788"/>
    <w:rPr>
      <w:b/>
      <w:bCs/>
      <w:sz w:val="24"/>
      <w:szCs w:val="24"/>
    </w:rPr>
    <w:pPr>
      <w:spacing w:before="120"/>
    </w:pPr>
  </w:style>
  <w:style w:type="paragraph" w:styleId="863">
    <w:name w:val="List"/>
    <w:basedOn w:val="788"/>
    <w:pPr>
      <w:contextualSpacing w:val="true"/>
      <w:ind w:left="283" w:hanging="283"/>
    </w:pPr>
  </w:style>
  <w:style w:type="paragraph" w:styleId="864">
    <w:name w:val="List 2"/>
    <w:basedOn w:val="788"/>
    <w:pPr>
      <w:contextualSpacing w:val="true"/>
      <w:ind w:left="566" w:hanging="283"/>
    </w:pPr>
  </w:style>
  <w:style w:type="paragraph" w:styleId="865">
    <w:name w:val="List Bullet"/>
    <w:basedOn w:val="788"/>
    <w:pPr>
      <w:numPr>
        <w:numId w:val="9"/>
      </w:numPr>
      <w:contextualSpacing w:val="true"/>
      <w:ind w:left="584" w:hanging="471"/>
      <w:tabs>
        <w:tab w:val="clear" w:pos="360" w:leader="none"/>
        <w:tab w:val="left" w:pos="584" w:leader="none"/>
      </w:tabs>
    </w:pPr>
  </w:style>
  <w:style w:type="paragraph" w:styleId="866">
    <w:name w:val="List Bullet 2"/>
    <w:basedOn w:val="788"/>
    <w:pPr>
      <w:numPr>
        <w:numId w:val="10"/>
      </w:numPr>
      <w:contextualSpacing w:val="true"/>
      <w:ind w:left="754" w:hanging="357"/>
      <w:tabs>
        <w:tab w:val="clear" w:pos="643" w:leader="none"/>
        <w:tab w:val="left" w:pos="754" w:leader="none"/>
      </w:tabs>
    </w:pPr>
  </w:style>
  <w:style w:type="paragraph" w:styleId="867">
    <w:name w:val="List Continue"/>
    <w:basedOn w:val="788"/>
    <w:pPr>
      <w:contextualSpacing w:val="true"/>
      <w:ind w:left="283"/>
      <w:spacing w:after="120"/>
    </w:pPr>
  </w:style>
  <w:style w:type="character" w:styleId="868">
    <w:name w:val="Placeholder Text"/>
    <w:basedOn w:val="798"/>
    <w:uiPriority w:val="99"/>
    <w:semiHidden/>
    <w:rPr>
      <w:color w:val="808080"/>
    </w:rPr>
  </w:style>
  <w:style w:type="paragraph" w:styleId="869" w:customStyle="1">
    <w:name w:val="REVISIONS"/>
    <w:basedOn w:val="788"/>
    <w:qFormat/>
    <w:pPr>
      <w:shd w:val="clear" w:fill="FFFF00" w:color="FFFF00"/>
    </w:pPr>
  </w:style>
  <w:style w:type="character" w:styleId="870" w:customStyle="1">
    <w:name w:val="texte11_arial_gris"/>
    <w:basedOn w:val="798"/>
  </w:style>
  <w:style w:type="character" w:styleId="871" w:customStyle="1">
    <w:name w:val="Unresolved Mention"/>
    <w:basedOn w:val="798"/>
    <w:uiPriority w:val="99"/>
    <w:semiHidden/>
    <w:unhideWhenUsed/>
    <w:rPr>
      <w:color w:val="605E5C"/>
      <w:shd w:val="clear" w:fill="E1DFDD" w:color="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5.png"/><Relationship Id="rId13" Type="http://schemas.openxmlformats.org/officeDocument/2006/relationships/hyperlink" Target="https://www.univ-smb.fr/locie/" TargetMode="External"/><Relationship Id="rId14" Type="http://schemas.openxmlformats.org/officeDocument/2006/relationships/image" Target="media/image6.png"/><Relationship Id="rId15" Type="http://schemas.openxmlformats.org/officeDocument/2006/relationships/hyperlink" Target="http://fr.wikipedia.org/wiki/1979" TargetMode="External"/><Relationship Id="rId16" Type="http://schemas.openxmlformats.org/officeDocument/2006/relationships/hyperlink" Target="http://www.llsh.univ-savoie.fr/" TargetMode="External"/><Relationship Id="rId17" Type="http://schemas.openxmlformats.org/officeDocument/2006/relationships/hyperlink" Target="https://www.fac-droit.univ-smb.fr/fr/accueil/" TargetMode="External"/><Relationship Id="rId18" Type="http://schemas.openxmlformats.org/officeDocument/2006/relationships/hyperlink" Target="http://www.cism.univ-savoie.fr/" TargetMode="External"/><Relationship Id="rId19" Type="http://schemas.openxmlformats.org/officeDocument/2006/relationships/hyperlink" Target="http://www.univ-savoie.fr/index.php?id=143" TargetMode="External"/><Relationship Id="rId20" Type="http://schemas.openxmlformats.org/officeDocument/2006/relationships/hyperlink" Target="http://www.polytech.univ-savoie.fr/qualytech/organigramme_polytech_annecy-chambery/default.htm" TargetMode="External"/><Relationship Id="rId21" Type="http://schemas.openxmlformats.org/officeDocument/2006/relationships/hyperlink" Target="https://doctorat.univ-grenoble-alpes.fr/fr/pendant-la-these/la-formation-durant-la-these/parcours-labels/" TargetMode="External"/><Relationship Id="rId22" Type="http://schemas.openxmlformats.org/officeDocument/2006/relationships/hyperlink" Target="https://doctorat.univ-grenoble-alpes.fr/fr/acces-rapides/espace-personnel/" TargetMode="Externa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hyperlink" Target="https://espaces-collaboratifs.grenet.fr/share/page/site/locie-qualit/dashboard" TargetMode="External"/><Relationship Id="rId26" Type="http://schemas.openxmlformats.org/officeDocument/2006/relationships/image" Target="media/image9.png"/><Relationship Id="rId27" Type="http://schemas.openxmlformats.org/officeDocument/2006/relationships/hyperlink" Target="https://www.adum.fr/index.pl" TargetMode="External"/><Relationship Id="rId28" Type="http://schemas.openxmlformats.org/officeDocument/2006/relationships/hyperlink" Target="https://onlyoffice-ds.grenet.fr/6.1.1-53/web-apps/apps/documenteditor/main/secretariat.locie@univ-smb.fr" TargetMode="External"/><Relationship Id="rId29" Type="http://schemas.openxmlformats.org/officeDocument/2006/relationships/hyperlink" Target="https://cvec.etudiant.gouv.fr/" TargetMode="External"/><Relationship Id="rId30" Type="http://schemas.openxmlformats.org/officeDocument/2006/relationships/hyperlink" Target="https://iaprimo-usmb.grenet.fr/iaprimo-usmb/ident1.jsf" TargetMode="External"/><Relationship Id="rId31" Type="http://schemas.openxmlformats.org/officeDocument/2006/relationships/hyperlink" Target="https://pjweb-usmb.grenet.fr/pjweb-usmb/page/login.jsf" TargetMode="External"/><Relationship Id="rId32" Type="http://schemas.openxmlformats.org/officeDocument/2006/relationships/image" Target="media/image10.png"/><Relationship Id="rId33" Type="http://schemas.openxmlformats.org/officeDocument/2006/relationships/hyperlink" Target="http://www.scd.univ-savoie.fr/" TargetMode="External"/><Relationship Id="rId34" Type="http://schemas.openxmlformats.org/officeDocument/2006/relationships/hyperlink" Target="http://enthese.hypotheses.org/" TargetMode="External"/><Relationship Id="rId35" Type="http://schemas.openxmlformats.org/officeDocument/2006/relationships/hyperlink" Target="http://www.mydocpro.org/fr" TargetMode="External"/><Relationship Id="rId36" Type="http://schemas.openxmlformats.org/officeDocument/2006/relationships/hyperlink" Target="http://www.abes.fr/Theses/Espace-pour-les-doctorants" TargetMode="External"/><Relationship Id="rId37" Type="http://schemas.openxmlformats.org/officeDocument/2006/relationships/hyperlink" Target="http://cielmondoctorat.tumblr.com/" TargetMode="External"/><Relationship Id="rId38" Type="http://schemas.openxmlformats.org/officeDocument/2006/relationships/hyperlink" Target="https://www.adum.fr/identification.pl?menu_transparent=oui&amp;site=siseo&amp;redirection=attDOCTEUR" TargetMode="External"/><Relationship Id="rId39" Type="http://schemas.openxmlformats.org/officeDocument/2006/relationships/hyperlink" Target="https://www.adum.fr/as/ed/siseo/page.pl?page=puSoutenance" TargetMode="External"/><Relationship Id="rId40" Type="http://schemas.openxmlformats.org/officeDocument/2006/relationships/hyperlink" Target="http://www.intelliagence.fr/" TargetMode="External"/><Relationship Id="rId41" Type="http://schemas.openxmlformats.org/officeDocument/2006/relationships/hyperlink" Target="http://www.cpcnu.fr/" TargetMode="External"/><Relationship Id="rId42" Type="http://schemas.openxmlformats.org/officeDocument/2006/relationships/hyperlink" Target="http://www.dgdr.cnrs.fr/" TargetMode="External"/><Relationship Id="rId43" Type="http://schemas.openxmlformats.org/officeDocument/2006/relationships/hyperlink" Target="http://guilde.jeunes-chercheurs.org/Alire/guide/apres/apresse4.html" TargetMode="External"/><Relationship Id="rId44" Type="http://schemas.openxmlformats.org/officeDocument/2006/relationships/hyperlink" Target="https://www.edx.org/" TargetMode="External"/><Relationship Id="rId45" Type="http://schemas.openxmlformats.org/officeDocument/2006/relationships/hyperlink" Target="https://openclassrooms.com/" TargetMode="External"/><Relationship Id="rId46" Type="http://schemas.openxmlformats.org/officeDocument/2006/relationships/hyperlink" Target="http://inkscape.org/download/?lang=fr" TargetMode="External"/><Relationship Id="rId47" Type="http://schemas.openxmlformats.org/officeDocument/2006/relationships/hyperlink" Target="http://www.openoffice.org/fr/" TargetMode="External"/><Relationship Id="rId48" Type="http://schemas.openxmlformats.org/officeDocument/2006/relationships/hyperlink" Target="http://www.gimp.org" TargetMode="External"/><Relationship Id="rId49" Type="http://schemas.openxmlformats.org/officeDocument/2006/relationships/hyperlink" Target="http://vue.tufts.edu" TargetMode="External"/><Relationship Id="rId50" Type="http://schemas.openxmlformats.org/officeDocument/2006/relationships/hyperlink" Target="https://openclassrooms.com/courses/redigez-des-documents-de-qualite-avec-latex" TargetMode="External"/><Relationship Id="rId51" Type="http://schemas.openxmlformats.org/officeDocument/2006/relationships/hyperlink" Target="https://www.univ-smb.fr/bu/" TargetMode="External"/><Relationship Id="rId52" Type="http://schemas.openxmlformats.org/officeDocument/2006/relationships/hyperlink" Target="https://www.univ-smb.fr/bu/toutes-les-ressources-numeriques/" TargetMode="External"/><Relationship Id="rId53" Type="http://schemas.openxmlformats.org/officeDocument/2006/relationships/hyperlink" Target="https://scholar.google.fr/" TargetMode="External"/><Relationship Id="rId54" Type="http://schemas.openxmlformats.org/officeDocument/2006/relationships/hyperlink" Target="http://www.scd.univ-savoie.fr/" TargetMode="External"/><Relationship Id="rId55" Type="http://schemas.openxmlformats.org/officeDocument/2006/relationships/hyperlink" Target="http://bibliost2i.inist.fr/" TargetMode="External"/><Relationship Id="rId56" Type="http://schemas.openxmlformats.org/officeDocument/2006/relationships/hyperlink" Target="http://tel.archives-ouvertes.fr/" TargetMode="External"/><Relationship Id="rId57" Type="http://schemas.openxmlformats.org/officeDocument/2006/relationships/hyperlink" Target="http://hal.archives-ouvertes.fr/" TargetMode="External"/><Relationship Id="rId58" Type="http://schemas.openxmlformats.org/officeDocument/2006/relationships/hyperlink" Target="https://synchro.grandchambery.fr/" TargetMode="External"/><Relationship Id="rId59" Type="http://schemas.openxmlformats.org/officeDocument/2006/relationships/hyperlink" Target="https://www.grandchambery.fr/2816-mobilite.htm" TargetMode="External"/><Relationship Id="rId60" Type="http://schemas.openxmlformats.org/officeDocument/2006/relationships/hyperlink" Target="https://www.aixlesbains.fr/Cadre-de-vie/Transports-et-deplacements" TargetMode="External"/><Relationship Id="rId61" Type="http://schemas.openxmlformats.org/officeDocument/2006/relationships/hyperlink" Target="https://www.oui.sncf/" TargetMode="External"/><Relationship Id="rId62" Type="http://schemas.openxmlformats.org/officeDocument/2006/relationships/hyperlink" Target="http://rouelibre.net/" TargetMode="External"/><Relationship Id="rId63" Type="http://schemas.openxmlformats.org/officeDocument/2006/relationships/image" Target="media/image11.emf"/><Relationship Id="rId64" Type="http://schemas.openxmlformats.org/officeDocument/2006/relationships/hyperlink" Target="http://www.savoie.pref.gouv.fr" TargetMode="External"/><Relationship Id="rId65" Type="http://schemas.openxmlformats.org/officeDocument/2006/relationships/image" Target="media/image12.png"/><Relationship Id="rId66" Type="http://schemas.openxmlformats.org/officeDocument/2006/relationships/image" Target="media/image13.png"/><Relationship Id="rId67" Type="http://schemas.openxmlformats.org/officeDocument/2006/relationships/image" Target="media/image14.png"/><Relationship Id="rId68" Type="http://schemas.openxmlformats.org/officeDocument/2006/relationships/image" Target="media/image15.png"/><Relationship Id="rId69" Type="http://schemas.openxmlformats.org/officeDocument/2006/relationships/hyperlink" Target="https://www.adum.fr/index.pl" TargetMode="External"/><Relationship Id="rId70" Type="http://schemas.openxmlformats.org/officeDocument/2006/relationships/hyperlink" Target="mailto:gestionnaire-edsie.ddrv@univ-smb.fr" TargetMode="External"/><Relationship Id="rId71" Type="http://schemas.openxmlformats.org/officeDocument/2006/relationships/hyperlink" Target="mailto:gestionnaire-edcst.ddrv@univ-smb.fr" TargetMode="External"/><Relationship Id="rId72" Type="http://schemas.openxmlformats.org/officeDocument/2006/relationships/hyperlink" Target="https://www.adum.fr/index.pl" TargetMode="External"/><Relationship Id="rId73" Type="http://schemas.openxmlformats.org/officeDocument/2006/relationships/hyperlink" Target="mailto:gestionnaire-edsie.ddrv@univ-smb.fr" TargetMode="External"/><Relationship Id="rId74" Type="http://schemas.openxmlformats.org/officeDocument/2006/relationships/hyperlink" Target="mailto:gestionnaire-edcst.ddrv@univ-smb.fr" TargetMode="External"/><Relationship Id="rId75" Type="http://schemas.openxmlformats.org/officeDocument/2006/relationships/hyperlink" Target="https://www.univ-smb.fr/locie/organigramme/"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jp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ONLYOFFICE/6.1.1.53</Application>
  <Company>LOCIE - Université de Savoie</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d’Accueil du LOCIE</dc:title>
  <dc:creator>Augustin CHARVET;Mickael Rabouille</dc:creator>
  <dc:description>Version : 1.0</dc:description>
  <cp:lastModifiedBy>Odile Baudin</cp:lastModifiedBy>
  <cp:revision>16</cp:revision>
  <dcterms:created xsi:type="dcterms:W3CDTF">2022-01-06T15:42:00Z</dcterms:created>
  <dcterms:modified xsi:type="dcterms:W3CDTF">2022-05-13T13:48:09Z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http://www.zotero.org/styles/building-and-environment</vt:lpwstr>
  </property>
  <property fmtid="{D5CDD505-2E9C-101B-9397-08002B2CF9AE}" pid="11" name="Mendeley Recent Style Name 4_1">
    <vt:lpwstr>Building and Environment</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16th edition (author-date)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7th edition</vt:lpwstr>
  </property>
</Properties>
</file>