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7092" w:rsidRDefault="00237092">
      <w:pPr>
        <w:rPr>
          <w:lang w:val="en-US"/>
        </w:rPr>
      </w:pPr>
      <w:r>
        <w:rPr>
          <w:lang w:val="en-US"/>
        </w:rPr>
        <w:t>ABOUT US –</w:t>
      </w:r>
    </w:p>
    <w:p w:rsidR="00237092" w:rsidRDefault="00237092">
      <w:pPr>
        <w:rPr>
          <w:lang w:val="en-US"/>
        </w:rPr>
      </w:pPr>
      <w:proofErr w:type="spellStart"/>
      <w:r>
        <w:rPr>
          <w:lang w:val="en-US"/>
        </w:rPr>
        <w:t>eVOULT</w:t>
      </w:r>
      <w:proofErr w:type="spellEnd"/>
      <w:r>
        <w:rPr>
          <w:lang w:val="en-US"/>
        </w:rPr>
        <w:t xml:space="preserve"> CYRPTO BANKING SYSTEM</w:t>
      </w:r>
    </w:p>
    <w:p w:rsidR="00237092" w:rsidRDefault="00237092">
      <w:pPr>
        <w:rPr>
          <w:lang w:val="en-US"/>
        </w:rPr>
      </w:pPr>
    </w:p>
    <w:p w:rsidR="00237092" w:rsidRPr="00237092" w:rsidRDefault="00237092" w:rsidP="00237092">
      <w:pPr>
        <w:spacing w:after="240" w:line="480" w:lineRule="atLeast"/>
        <w:outlineLvl w:val="1"/>
        <w:rPr>
          <w:rFonts w:ascii="Segoe UI" w:eastAsia="Times New Roman" w:hAnsi="Segoe UI" w:cs="Segoe UI"/>
          <w:b/>
          <w:bCs/>
          <w:color w:val="0F1115"/>
          <w:kern w:val="0"/>
          <w:sz w:val="33"/>
          <w:szCs w:val="33"/>
          <w14:ligatures w14:val="none"/>
        </w:rPr>
      </w:pPr>
      <w:r w:rsidRPr="00237092">
        <w:rPr>
          <w:rFonts w:ascii="Segoe UI" w:eastAsia="Times New Roman" w:hAnsi="Segoe UI" w:cs="Segoe UI"/>
          <w:b/>
          <w:bCs/>
          <w:color w:val="0F1115"/>
          <w:kern w:val="0"/>
          <w:sz w:val="33"/>
          <w:szCs w:val="33"/>
          <w14:ligatures w14:val="none"/>
        </w:rPr>
        <w:t xml:space="preserve">The Odyssey of </w:t>
      </w:r>
      <w:proofErr w:type="spellStart"/>
      <w:r w:rsidRPr="00237092">
        <w:rPr>
          <w:rFonts w:ascii="Segoe UI" w:eastAsia="Times New Roman" w:hAnsi="Segoe UI" w:cs="Segoe UI"/>
          <w:b/>
          <w:bCs/>
          <w:color w:val="0F1115"/>
          <w:kern w:val="0"/>
          <w:sz w:val="33"/>
          <w:szCs w:val="33"/>
          <w14:ligatures w14:val="none"/>
        </w:rPr>
        <w:t>eVAULT</w:t>
      </w:r>
      <w:proofErr w:type="spellEnd"/>
      <w:r w:rsidRPr="00237092">
        <w:rPr>
          <w:rFonts w:ascii="Segoe UI" w:eastAsia="Times New Roman" w:hAnsi="Segoe UI" w:cs="Segoe UI"/>
          <w:b/>
          <w:bCs/>
          <w:color w:val="0F1115"/>
          <w:kern w:val="0"/>
          <w:sz w:val="33"/>
          <w:szCs w:val="33"/>
          <w14:ligatures w14:val="none"/>
        </w:rPr>
        <w:t xml:space="preserve"> Crypto: From Crypto Winter to the Banking Frontier (2020-2026)</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b/>
          <w:bCs/>
          <w:color w:val="0F1115"/>
          <w:kern w:val="0"/>
          <w14:ligatures w14:val="none"/>
        </w:rPr>
        <w:t xml:space="preserve">2020: </w:t>
      </w:r>
      <w:r>
        <w:rPr>
          <w:rFonts w:ascii="Segoe UI" w:eastAsia="Times New Roman" w:hAnsi="Segoe UI" w:cs="Segoe UI"/>
          <w:b/>
          <w:bCs/>
          <w:color w:val="0F1115"/>
          <w:kern w:val="0"/>
          <w14:ligatures w14:val="none"/>
        </w:rPr>
        <w:t>BEGENING OF CRYPTO BANKING SYSTEM</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Our genesis was not in euphoria, but in resilience. As 2020 dawned, the crypto landscape was thawing from the prolonged “Crypto Winter,” only to face a global pandemic’s paralyzing uncertainty. It was in this climate of scarcity and fear that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Crypto</w:t>
      </w:r>
      <w:r w:rsidRPr="00237092">
        <w:rPr>
          <w:rFonts w:ascii="Segoe UI" w:eastAsia="Times New Roman" w:hAnsi="Segoe UI" w:cs="Segoe UI"/>
          <w:color w:val="0F1115"/>
          <w:kern w:val="0"/>
          <w14:ligatures w14:val="none"/>
        </w:rPr>
        <w:t> was forged. Our founding vision was clear: the future would not be a battle between decentralized digital assets and traditional finance, but a fusion. We saw a world where the self-sovereignty of crypto could merge with the trusted utility of banking. While others hibernated, we built our foundational vault.</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Our initial offering, launched in late 2020, was the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Secure Terminal</w:t>
      </w:r>
      <w:r w:rsidRPr="00237092">
        <w:rPr>
          <w:rFonts w:ascii="Segoe UI" w:eastAsia="Times New Roman" w:hAnsi="Segoe UI" w:cs="Segoe UI"/>
          <w:color w:val="0F1115"/>
          <w:kern w:val="0"/>
          <w14:ligatures w14:val="none"/>
        </w:rPr>
        <w:t>. More than a trading platform, it was a fortress. We prioritized institutional-grade security paired with an intuitive interface, integrating multi-signature wallet technology from day one. For our early community—a blend of security-conscious holders and agile traders—we offered “Time-Lock Vaults,” giving users granular control over transaction execution to thwart impulsive errors and external threats. In an era questioning crypto’s safety, our name became our promise: security as a first principle.</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b/>
          <w:bCs/>
          <w:color w:val="0F1115"/>
          <w:kern w:val="0"/>
          <w14:ligatures w14:val="none"/>
        </w:rPr>
        <w:t>2021-2022: Securing the Bull, Engineering the Bridge</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 xml:space="preserve">The parabolic rise of 2021 tested our infrastructure to its core. As networks strained and exchange outages became commonplace, </w:t>
      </w:r>
      <w:proofErr w:type="spellStart"/>
      <w:r w:rsidRPr="00237092">
        <w:rPr>
          <w:rFonts w:ascii="Segoe UI" w:eastAsia="Times New Roman" w:hAnsi="Segoe UI" w:cs="Segoe UI"/>
          <w:color w:val="0F1115"/>
          <w:kern w:val="0"/>
          <w14:ligatures w14:val="none"/>
        </w:rPr>
        <w:t>eVAULT’s</w:t>
      </w:r>
      <w:proofErr w:type="spellEnd"/>
      <w:r w:rsidRPr="00237092">
        <w:rPr>
          <w:rFonts w:ascii="Segoe UI" w:eastAsia="Times New Roman" w:hAnsi="Segoe UI" w:cs="Segoe UI"/>
          <w:color w:val="0F1115"/>
          <w:kern w:val="0"/>
          <w14:ligatures w14:val="none"/>
        </w:rPr>
        <w:t xml:space="preserve"> systems stood unshaken. Our focus on robust architecture over rapid feature bloat paid dividends in trust. Flush with this validation, we unveiled our master plan: </w:t>
      </w:r>
      <w:r w:rsidRPr="00237092">
        <w:rPr>
          <w:rFonts w:ascii="Segoe UI" w:eastAsia="Times New Roman" w:hAnsi="Segoe UI" w:cs="Segoe UI"/>
          <w:b/>
          <w:bCs/>
          <w:color w:val="0F1115"/>
          <w:kern w:val="0"/>
          <w14:ligatures w14:val="none"/>
        </w:rPr>
        <w:t xml:space="preserve">Project </w:t>
      </w:r>
      <w:proofErr w:type="spellStart"/>
      <w:r>
        <w:rPr>
          <w:rFonts w:ascii="Segoe UI" w:eastAsia="Times New Roman" w:hAnsi="Segoe UI" w:cs="Segoe UI"/>
          <w:b/>
          <w:bCs/>
          <w:color w:val="0F1115"/>
          <w:kern w:val="0"/>
          <w14:ligatures w14:val="none"/>
        </w:rPr>
        <w:t>evoult</w:t>
      </w:r>
      <w:proofErr w:type="spellEnd"/>
      <w:r w:rsidRPr="00237092">
        <w:rPr>
          <w:rFonts w:ascii="Segoe UI" w:eastAsia="Times New Roman" w:hAnsi="Segoe UI" w:cs="Segoe UI"/>
          <w:color w:val="0F1115"/>
          <w:kern w:val="0"/>
          <w14:ligatures w14:val="none"/>
        </w:rPr>
        <w:t>—the initiative to build a seamless bridge between the crypto vault and the traditional financial world.</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lastRenderedPageBreak/>
        <w:t xml:space="preserve">In 2022, as the market again turned bearish, our commitment deepened. We strategically acquired a pivotal European EMI (Electronic Money Institution) license, embedding regulatory compliance into our DNA. The first fruits of </w:t>
      </w:r>
      <w:proofErr w:type="spellStart"/>
      <w:r>
        <w:rPr>
          <w:rFonts w:ascii="Segoe UI" w:eastAsia="Times New Roman" w:hAnsi="Segoe UI" w:cs="Segoe UI"/>
          <w:color w:val="0F1115"/>
          <w:kern w:val="0"/>
          <w14:ligatures w14:val="none"/>
        </w:rPr>
        <w:t>evoult</w:t>
      </w:r>
      <w:proofErr w:type="spellEnd"/>
      <w:r>
        <w:rPr>
          <w:rFonts w:ascii="Segoe UI" w:eastAsia="Times New Roman" w:hAnsi="Segoe UI" w:cs="Segoe UI"/>
          <w:color w:val="0F1115"/>
          <w:kern w:val="0"/>
          <w14:ligatures w14:val="none"/>
        </w:rPr>
        <w:t xml:space="preserve"> card</w:t>
      </w:r>
      <w:r w:rsidRPr="00237092">
        <w:rPr>
          <w:rFonts w:ascii="Segoe UI" w:eastAsia="Times New Roman" w:hAnsi="Segoe UI" w:cs="Segoe UI"/>
          <w:color w:val="0F1115"/>
          <w:kern w:val="0"/>
          <w14:ligatures w14:val="none"/>
        </w:rPr>
        <w:t xml:space="preserve"> launched: direct, low-cost fiat ramps and the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Nexus Card</w:t>
      </w:r>
      <w:r w:rsidRPr="00237092">
        <w:rPr>
          <w:rFonts w:ascii="Segoe UI" w:eastAsia="Times New Roman" w:hAnsi="Segoe UI" w:cs="Segoe UI"/>
          <w:color w:val="0F1115"/>
          <w:kern w:val="0"/>
          <w14:ligatures w14:val="none"/>
        </w:rPr>
        <w:t xml:space="preserve">. This was a revelation—users could now store Bitcoin in their secure vault and spend its value, converted in real-time, anywhere Visa was accepted. The </w:t>
      </w:r>
      <w:proofErr w:type="spellStart"/>
      <w:r w:rsidRPr="00237092">
        <w:rPr>
          <w:rFonts w:ascii="Segoe UI" w:eastAsia="Times New Roman" w:hAnsi="Segoe UI" w:cs="Segoe UI"/>
          <w:color w:val="0F1115"/>
          <w:kern w:val="0"/>
          <w14:ligatures w14:val="none"/>
        </w:rPr>
        <w:t>eVAULT</w:t>
      </w:r>
      <w:proofErr w:type="spellEnd"/>
      <w:r w:rsidRPr="00237092">
        <w:rPr>
          <w:rFonts w:ascii="Segoe UI" w:eastAsia="Times New Roman" w:hAnsi="Segoe UI" w:cs="Segoe UI"/>
          <w:color w:val="0F1115"/>
          <w:kern w:val="0"/>
          <w14:ligatures w14:val="none"/>
        </w:rPr>
        <w:t xml:space="preserve"> was no longer just storage; it was </w:t>
      </w:r>
      <w:proofErr w:type="spellStart"/>
      <w:r w:rsidRPr="00237092">
        <w:rPr>
          <w:rFonts w:ascii="Segoe UI" w:eastAsia="Times New Roman" w:hAnsi="Segoe UI" w:cs="Segoe UI"/>
          <w:color w:val="0F1115"/>
          <w:kern w:val="0"/>
          <w14:ligatures w14:val="none"/>
        </w:rPr>
        <w:t>a</w:t>
      </w:r>
      <w:proofErr w:type="spellEnd"/>
      <w:r w:rsidRPr="00237092">
        <w:rPr>
          <w:rFonts w:ascii="Segoe UI" w:eastAsia="Times New Roman" w:hAnsi="Segoe UI" w:cs="Segoe UI"/>
          <w:color w:val="0F1115"/>
          <w:kern w:val="0"/>
          <w14:ligatures w14:val="none"/>
        </w:rPr>
        <w:t xml:space="preserve"> active financial command </w:t>
      </w:r>
      <w:proofErr w:type="spellStart"/>
      <w:r w:rsidRPr="00237092">
        <w:rPr>
          <w:rFonts w:ascii="Segoe UI" w:eastAsia="Times New Roman" w:hAnsi="Segoe UI" w:cs="Segoe UI"/>
          <w:color w:val="0F1115"/>
          <w:kern w:val="0"/>
          <w14:ligatures w14:val="none"/>
        </w:rPr>
        <w:t>center</w:t>
      </w:r>
      <w:proofErr w:type="spellEnd"/>
      <w:r w:rsidRPr="00237092">
        <w:rPr>
          <w:rFonts w:ascii="Segoe UI" w:eastAsia="Times New Roman" w:hAnsi="Segoe UI" w:cs="Segoe UI"/>
          <w:color w:val="0F1115"/>
          <w:kern w:val="0"/>
          <w14:ligatures w14:val="none"/>
        </w:rPr>
        <w:t>.</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b/>
          <w:bCs/>
          <w:color w:val="0F1115"/>
          <w:kern w:val="0"/>
          <w14:ligatures w14:val="none"/>
        </w:rPr>
        <w:t>2023: The Fortress in the Storm and the Institutional Gate</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 xml:space="preserve">The catastrophic collapses of 2023 validated our paranoid focus on security and transparency. While centralized counterparts failed, </w:t>
      </w:r>
      <w:proofErr w:type="spellStart"/>
      <w:r w:rsidRPr="00237092">
        <w:rPr>
          <w:rFonts w:ascii="Segoe UI" w:eastAsia="Times New Roman" w:hAnsi="Segoe UI" w:cs="Segoe UI"/>
          <w:color w:val="0F1115"/>
          <w:kern w:val="0"/>
          <w14:ligatures w14:val="none"/>
        </w:rPr>
        <w:t>eVAULT’s</w:t>
      </w:r>
      <w:proofErr w:type="spellEnd"/>
      <w:r w:rsidRPr="00237092">
        <w:rPr>
          <w:rFonts w:ascii="Segoe UI" w:eastAsia="Times New Roman" w:hAnsi="Segoe UI" w:cs="Segoe UI"/>
          <w:color w:val="0F1115"/>
          <w:kern w:val="0"/>
          <w14:ligatures w14:val="none"/>
        </w:rPr>
        <w:t xml:space="preserve"> model shone. We didn’t just claim to be secure; we proved it through continuous, verifiable proof-of-reserves and third-party smart contract audits. Our non-custodial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w:t>
      </w:r>
      <w:proofErr w:type="spellStart"/>
      <w:r w:rsidRPr="00237092">
        <w:rPr>
          <w:rFonts w:ascii="Segoe UI" w:eastAsia="Times New Roman" w:hAnsi="Segoe UI" w:cs="Segoe UI"/>
          <w:b/>
          <w:bCs/>
          <w:color w:val="0F1115"/>
          <w:kern w:val="0"/>
          <w14:ligatures w14:val="none"/>
        </w:rPr>
        <w:t>ColdLock</w:t>
      </w:r>
      <w:proofErr w:type="spellEnd"/>
      <w:r w:rsidRPr="00237092">
        <w:rPr>
          <w:rFonts w:ascii="Segoe UI" w:eastAsia="Times New Roman" w:hAnsi="Segoe UI" w:cs="Segoe UI"/>
          <w:color w:val="0F1115"/>
          <w:kern w:val="0"/>
          <w14:ligatures w14:val="none"/>
        </w:rPr>
        <w:t xml:space="preserve"> option saw record adoption, as the mantra “Not your keys, not your coins” evolved into “Your keys, secured by </w:t>
      </w:r>
      <w:proofErr w:type="spellStart"/>
      <w:r w:rsidRPr="00237092">
        <w:rPr>
          <w:rFonts w:ascii="Segoe UI" w:eastAsia="Times New Roman" w:hAnsi="Segoe UI" w:cs="Segoe UI"/>
          <w:color w:val="0F1115"/>
          <w:kern w:val="0"/>
          <w14:ligatures w14:val="none"/>
        </w:rPr>
        <w:t>eVAULT</w:t>
      </w:r>
      <w:proofErr w:type="spellEnd"/>
      <w:r>
        <w:rPr>
          <w:rFonts w:ascii="Segoe UI" w:eastAsia="Times New Roman" w:hAnsi="Segoe UI" w:cs="Segoe UI"/>
          <w:color w:val="0F1115"/>
          <w:kern w:val="0"/>
          <w14:ligatures w14:val="none"/>
        </w:rPr>
        <w:t xml:space="preserve"> Nexus</w:t>
      </w:r>
      <w:r w:rsidRPr="00237092">
        <w:rPr>
          <w:rFonts w:ascii="Segoe UI" w:eastAsia="Times New Roman" w:hAnsi="Segoe UI" w:cs="Segoe UI"/>
          <w:color w:val="0F1115"/>
          <w:kern w:val="0"/>
          <w14:ligatures w14:val="none"/>
        </w:rPr>
        <w:t>.”</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Simultaneously, we opened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Institutional</w:t>
      </w:r>
      <w:r w:rsidRPr="00237092">
        <w:rPr>
          <w:rFonts w:ascii="Segoe UI" w:eastAsia="Times New Roman" w:hAnsi="Segoe UI" w:cs="Segoe UI"/>
          <w:color w:val="0F1115"/>
          <w:kern w:val="0"/>
          <w14:ligatures w14:val="none"/>
        </w:rPr>
        <w:t xml:space="preserve">. Recognizing that the next wave of capital required more than a retail platform, we built a bespoke suite for funds, asset managers, and corporations. It featured compliant sub-account structures, direct prime brokerage connections, and API-first trading infrastructure. The world’s major financial players began using </w:t>
      </w:r>
      <w:proofErr w:type="spellStart"/>
      <w:r w:rsidRPr="00237092">
        <w:rPr>
          <w:rFonts w:ascii="Segoe UI" w:eastAsia="Times New Roman" w:hAnsi="Segoe UI" w:cs="Segoe UI"/>
          <w:color w:val="0F1115"/>
          <w:kern w:val="0"/>
          <w14:ligatures w14:val="none"/>
        </w:rPr>
        <w:t>eVAULT</w:t>
      </w:r>
      <w:proofErr w:type="spellEnd"/>
      <w:r w:rsidRPr="00237092">
        <w:rPr>
          <w:rFonts w:ascii="Segoe UI" w:eastAsia="Times New Roman" w:hAnsi="Segoe UI" w:cs="Segoe UI"/>
          <w:color w:val="0F1115"/>
          <w:kern w:val="0"/>
          <w14:ligatures w14:val="none"/>
        </w:rPr>
        <w:t xml:space="preserve"> not as a crypto experiment, but as the secure, professional-grade onramp they required.</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b/>
          <w:bCs/>
          <w:color w:val="0F1115"/>
          <w:kern w:val="0"/>
          <w14:ligatures w14:val="none"/>
        </w:rPr>
        <w:t>2024-2025: The Automated Vault and the Sentinel AI</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With our dual-platform foundation solid, we turned to intelligence and automation. In 2024, we launched the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Autopilot Engine</w:t>
      </w:r>
      <w:r w:rsidRPr="00237092">
        <w:rPr>
          <w:rFonts w:ascii="Segoe UI" w:eastAsia="Times New Roman" w:hAnsi="Segoe UI" w:cs="Segoe UI"/>
          <w:color w:val="0F1115"/>
          <w:kern w:val="0"/>
          <w14:ligatures w14:val="none"/>
        </w:rPr>
        <w:t>. This was a leap beyond basic DeFi aggregation. Users could set sophisticated financial goals—from “conservative yield” to “aggressive alpha”—and the Engine would autonomously allocate, manage, and rebalance assets across curated lending protocols, liquidity pools, and staking opportunities. The vault became active, a personal sovereign fund manager.</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The true evolution arrived in early 2025: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Sentinel</w:t>
      </w:r>
      <w:r w:rsidRPr="00237092">
        <w:rPr>
          <w:rFonts w:ascii="Segoe UI" w:eastAsia="Times New Roman" w:hAnsi="Segoe UI" w:cs="Segoe UI"/>
          <w:color w:val="0F1115"/>
          <w:kern w:val="0"/>
          <w14:ligatures w14:val="none"/>
        </w:rPr>
        <w:t xml:space="preserve">. This proprietary AI was built not just to </w:t>
      </w:r>
      <w:proofErr w:type="spellStart"/>
      <w:r w:rsidRPr="00237092">
        <w:rPr>
          <w:rFonts w:ascii="Segoe UI" w:eastAsia="Times New Roman" w:hAnsi="Segoe UI" w:cs="Segoe UI"/>
          <w:color w:val="0F1115"/>
          <w:kern w:val="0"/>
          <w14:ligatures w14:val="none"/>
        </w:rPr>
        <w:t>analyze</w:t>
      </w:r>
      <w:proofErr w:type="spellEnd"/>
      <w:r w:rsidRPr="00237092">
        <w:rPr>
          <w:rFonts w:ascii="Segoe UI" w:eastAsia="Times New Roman" w:hAnsi="Segoe UI" w:cs="Segoe UI"/>
          <w:color w:val="0F1115"/>
          <w:kern w:val="0"/>
          <w14:ligatures w14:val="none"/>
        </w:rPr>
        <w:t xml:space="preserve"> markets, but to guard and grow assets. Sentinel monitored </w:t>
      </w:r>
      <w:r w:rsidRPr="00237092">
        <w:rPr>
          <w:rFonts w:ascii="Segoe UI" w:eastAsia="Times New Roman" w:hAnsi="Segoe UI" w:cs="Segoe UI"/>
          <w:color w:val="0F1115"/>
          <w:kern w:val="0"/>
          <w14:ligatures w14:val="none"/>
        </w:rPr>
        <w:lastRenderedPageBreak/>
        <w:t>for anomalous wallet activity, provided predictive slippage alerts on trades, generated automated tax-loss harvesting strategies, and offered plain-English insights on on-chain whale movements. It transformed the user from a manual operator to a strategic overseer of their automated financial fortress.</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b/>
          <w:bCs/>
          <w:color w:val="0F1115"/>
          <w:kern w:val="0"/>
          <w14:ligatures w14:val="none"/>
        </w:rPr>
        <w:t>2026: The Embedded Financial Layer &amp; Global Expansion</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 xml:space="preserve">Today, </w:t>
      </w:r>
      <w:proofErr w:type="spellStart"/>
      <w:r w:rsidRPr="00237092">
        <w:rPr>
          <w:rFonts w:ascii="Segoe UI" w:eastAsia="Times New Roman" w:hAnsi="Segoe UI" w:cs="Segoe UI"/>
          <w:color w:val="0F1115"/>
          <w:kern w:val="0"/>
          <w14:ligatures w14:val="none"/>
        </w:rPr>
        <w:t>eVAULT</w:t>
      </w:r>
      <w:proofErr w:type="spellEnd"/>
      <w:r w:rsidRPr="00237092">
        <w:rPr>
          <w:rFonts w:ascii="Segoe UI" w:eastAsia="Times New Roman" w:hAnsi="Segoe UI" w:cs="Segoe UI"/>
          <w:color w:val="0F1115"/>
          <w:kern w:val="0"/>
          <w14:ligatures w14:val="none"/>
        </w:rPr>
        <w:t xml:space="preserve"> Crypto is evolving from a premier application into a pervasive financial layer. Our terminal and vault remain core, but our technology is now embedded via APIs in gaming platforms, creator monetization tools, and enterprise treasury systems. The </w:t>
      </w:r>
      <w:proofErr w:type="spellStart"/>
      <w:r w:rsidRPr="00237092">
        <w:rPr>
          <w:rFonts w:ascii="Segoe UI" w:eastAsia="Times New Roman" w:hAnsi="Segoe UI" w:cs="Segoe UI"/>
          <w:color w:val="0F1115"/>
          <w:kern w:val="0"/>
          <w14:ligatures w14:val="none"/>
        </w:rPr>
        <w:t>eVAULT</w:t>
      </w:r>
      <w:proofErr w:type="spellEnd"/>
      <w:r w:rsidRPr="00237092">
        <w:rPr>
          <w:rFonts w:ascii="Segoe UI" w:eastAsia="Times New Roman" w:hAnsi="Segoe UI" w:cs="Segoe UI"/>
          <w:color w:val="0F1115"/>
          <w:kern w:val="0"/>
          <w14:ligatures w14:val="none"/>
        </w:rPr>
        <w:t xml:space="preserve"> Nexus Card is a global standard for crypto-native spending.</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Our current frontier is twofold: </w:t>
      </w:r>
      <w:r w:rsidRPr="00237092">
        <w:rPr>
          <w:rFonts w:ascii="Segoe UI" w:eastAsia="Times New Roman" w:hAnsi="Segoe UI" w:cs="Segoe UI"/>
          <w:b/>
          <w:bCs/>
          <w:color w:val="0F1115"/>
          <w:kern w:val="0"/>
          <w14:ligatures w14:val="none"/>
        </w:rPr>
        <w:t>geographic and philosophical</w:t>
      </w:r>
      <w:r w:rsidRPr="00237092">
        <w:rPr>
          <w:rFonts w:ascii="Segoe UI" w:eastAsia="Times New Roman" w:hAnsi="Segoe UI" w:cs="Segoe UI"/>
          <w:color w:val="0F1115"/>
          <w:kern w:val="0"/>
          <w14:ligatures w14:val="none"/>
        </w:rPr>
        <w:t>. We are at the forefront of </w:t>
      </w:r>
      <w:r w:rsidRPr="00237092">
        <w:rPr>
          <w:rFonts w:ascii="Segoe UI" w:eastAsia="Times New Roman" w:hAnsi="Segoe UI" w:cs="Segoe UI"/>
          <w:b/>
          <w:bCs/>
          <w:color w:val="0F1115"/>
          <w:kern w:val="0"/>
          <w14:ligatures w14:val="none"/>
        </w:rPr>
        <w:t>Regulated DeFi (</w:t>
      </w:r>
      <w:proofErr w:type="spellStart"/>
      <w:r w:rsidRPr="00237092">
        <w:rPr>
          <w:rFonts w:ascii="Segoe UI" w:eastAsia="Times New Roman" w:hAnsi="Segoe UI" w:cs="Segoe UI"/>
          <w:b/>
          <w:bCs/>
          <w:color w:val="0F1115"/>
          <w:kern w:val="0"/>
          <w14:ligatures w14:val="none"/>
        </w:rPr>
        <w:t>ReDeFi</w:t>
      </w:r>
      <w:proofErr w:type="spellEnd"/>
      <w:r w:rsidRPr="00237092">
        <w:rPr>
          <w:rFonts w:ascii="Segoe UI" w:eastAsia="Times New Roman" w:hAnsi="Segoe UI" w:cs="Segoe UI"/>
          <w:b/>
          <w:bCs/>
          <w:color w:val="0F1115"/>
          <w:kern w:val="0"/>
          <w14:ligatures w14:val="none"/>
        </w:rPr>
        <w:t>)</w:t>
      </w:r>
      <w:r w:rsidRPr="00237092">
        <w:rPr>
          <w:rFonts w:ascii="Segoe UI" w:eastAsia="Times New Roman" w:hAnsi="Segoe UI" w:cs="Segoe UI"/>
          <w:color w:val="0F1115"/>
          <w:kern w:val="0"/>
          <w14:ligatures w14:val="none"/>
        </w:rPr>
        <w:t xml:space="preserve">, working with financial authorities in the </w:t>
      </w:r>
      <w:r>
        <w:rPr>
          <w:rFonts w:ascii="Segoe UI" w:eastAsia="Times New Roman" w:hAnsi="Segoe UI" w:cs="Segoe UI"/>
          <w:color w:val="0F1115"/>
          <w:kern w:val="0"/>
          <w14:ligatures w14:val="none"/>
        </w:rPr>
        <w:t xml:space="preserve">Hong Kong </w:t>
      </w:r>
      <w:r w:rsidRPr="00237092">
        <w:rPr>
          <w:rFonts w:ascii="Segoe UI" w:eastAsia="Times New Roman" w:hAnsi="Segoe UI" w:cs="Segoe UI"/>
          <w:color w:val="0F1115"/>
          <w:kern w:val="0"/>
          <w14:ligatures w14:val="none"/>
        </w:rPr>
        <w:t>and Singapore to pilot licensed, decentralized liquidity pools. Furthermore, we’ve introduced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Legacy Protocols</w:t>
      </w:r>
      <w:r w:rsidRPr="00237092">
        <w:rPr>
          <w:rFonts w:ascii="Segoe UI" w:eastAsia="Times New Roman" w:hAnsi="Segoe UI" w:cs="Segoe UI"/>
          <w:color w:val="0F1115"/>
          <w:kern w:val="0"/>
          <w14:ligatures w14:val="none"/>
        </w:rPr>
        <w:t>, enabling users to program sophisticated inheritance and succession rules directly into their asset management strategies, ensuring their digital wealth transcends generations.</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b/>
          <w:bCs/>
          <w:color w:val="0F1115"/>
          <w:kern w:val="0"/>
          <w14:ligatures w14:val="none"/>
        </w:rPr>
        <w:t>The Unbroken Thread: Security, Sovereignty, Synthesis</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The journey from the cautious dawn of 2020 to the integrated reality of 2026 has been guided by an unbreakable triad of principles: </w:t>
      </w:r>
      <w:r w:rsidRPr="00237092">
        <w:rPr>
          <w:rFonts w:ascii="Segoe UI" w:eastAsia="Times New Roman" w:hAnsi="Segoe UI" w:cs="Segoe UI"/>
          <w:b/>
          <w:bCs/>
          <w:color w:val="0F1115"/>
          <w:kern w:val="0"/>
          <w14:ligatures w14:val="none"/>
        </w:rPr>
        <w:t>Security, User Sovereignty, and Pragmatic Synthesis.</w:t>
      </w:r>
    </w:p>
    <w:p w:rsidR="00237092" w:rsidRPr="00237092" w:rsidRDefault="00237092" w:rsidP="00237092">
      <w:pPr>
        <w:spacing w:before="240" w:after="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We never wavered on security; it is our namesake and our covenant. We championed sovereignty, providing tools for both ultimate self-custody and secure, insured custodial convenience. And we synthesized the best of all worlds—merging crypto’s innovation with banking’s reach, DeFi’s yields with institutional safeguards, and AI’s power with human oversight.</w:t>
      </w:r>
    </w:p>
    <w:p w:rsidR="00237092" w:rsidRPr="00237092" w:rsidRDefault="00237092" w:rsidP="00237092">
      <w:pPr>
        <w:spacing w:before="240" w:line="420" w:lineRule="atLeast"/>
        <w:rPr>
          <w:rFonts w:ascii="Segoe UI" w:eastAsia="Times New Roman" w:hAnsi="Segoe UI" w:cs="Segoe UI"/>
          <w:color w:val="0F1115"/>
          <w:kern w:val="0"/>
          <w14:ligatures w14:val="none"/>
        </w:rPr>
      </w:pPr>
      <w:r w:rsidRPr="00237092">
        <w:rPr>
          <w:rFonts w:ascii="Segoe UI" w:eastAsia="Times New Roman" w:hAnsi="Segoe UI" w:cs="Segoe UI"/>
          <w:color w:val="0F1115"/>
          <w:kern w:val="0"/>
          <w14:ligatures w14:val="none"/>
        </w:rPr>
        <w:t xml:space="preserve">Navigating through black swan events, regulatory evolutions, and technological leaps, </w:t>
      </w:r>
      <w:proofErr w:type="spellStart"/>
      <w:r w:rsidRPr="00237092">
        <w:rPr>
          <w:rFonts w:ascii="Segoe UI" w:eastAsia="Times New Roman" w:hAnsi="Segoe UI" w:cs="Segoe UI"/>
          <w:color w:val="0F1115"/>
          <w:kern w:val="0"/>
          <w14:ligatures w14:val="none"/>
        </w:rPr>
        <w:t>eVAULT</w:t>
      </w:r>
      <w:proofErr w:type="spellEnd"/>
      <w:r w:rsidRPr="00237092">
        <w:rPr>
          <w:rFonts w:ascii="Segoe UI" w:eastAsia="Times New Roman" w:hAnsi="Segoe UI" w:cs="Segoe UI"/>
          <w:color w:val="0F1115"/>
          <w:kern w:val="0"/>
          <w14:ligatures w14:val="none"/>
        </w:rPr>
        <w:t xml:space="preserve"> Crypto did not merely adapt to the changing world of digital asset management and banking. We built the secure, intelligent, and interconnected infrastructure that now defines it. The future of finance isn't just digital; it's vaulted. </w:t>
      </w:r>
      <w:r w:rsidRPr="00237092">
        <w:rPr>
          <w:rFonts w:ascii="Segoe UI" w:eastAsia="Times New Roman" w:hAnsi="Segoe UI" w:cs="Segoe UI"/>
          <w:color w:val="0F1115"/>
          <w:kern w:val="0"/>
          <w14:ligatures w14:val="none"/>
        </w:rPr>
        <w:lastRenderedPageBreak/>
        <w:t>And from its inception in the deepest winter to its position today, </w:t>
      </w:r>
      <w:proofErr w:type="spellStart"/>
      <w:r w:rsidRPr="00237092">
        <w:rPr>
          <w:rFonts w:ascii="Segoe UI" w:eastAsia="Times New Roman" w:hAnsi="Segoe UI" w:cs="Segoe UI"/>
          <w:b/>
          <w:bCs/>
          <w:color w:val="0F1115"/>
          <w:kern w:val="0"/>
          <w14:ligatures w14:val="none"/>
        </w:rPr>
        <w:t>eVAULT</w:t>
      </w:r>
      <w:proofErr w:type="spellEnd"/>
      <w:r w:rsidRPr="00237092">
        <w:rPr>
          <w:rFonts w:ascii="Segoe UI" w:eastAsia="Times New Roman" w:hAnsi="Segoe UI" w:cs="Segoe UI"/>
          <w:b/>
          <w:bCs/>
          <w:color w:val="0F1115"/>
          <w:kern w:val="0"/>
          <w14:ligatures w14:val="none"/>
        </w:rPr>
        <w:t xml:space="preserve"> Crypto</w:t>
      </w:r>
      <w:r w:rsidRPr="00237092">
        <w:rPr>
          <w:rFonts w:ascii="Segoe UI" w:eastAsia="Times New Roman" w:hAnsi="Segoe UI" w:cs="Segoe UI"/>
          <w:color w:val="0F1115"/>
          <w:kern w:val="0"/>
          <w14:ligatures w14:val="none"/>
        </w:rPr>
        <w:t> has been, and remains, the trusted guardian at the frontier of value.</w:t>
      </w:r>
    </w:p>
    <w:p w:rsidR="00237092" w:rsidRPr="00237092" w:rsidRDefault="00237092" w:rsidP="00237092">
      <w:pPr>
        <w:spacing w:after="0" w:line="360" w:lineRule="atLeast"/>
        <w:rPr>
          <w:rFonts w:ascii="Times New Roman" w:eastAsia="Times New Roman" w:hAnsi="Times New Roman" w:cs="Times New Roman"/>
          <w:color w:val="0F1115"/>
          <w:kern w:val="0"/>
          <w14:ligatures w14:val="none"/>
        </w:rPr>
      </w:pPr>
    </w:p>
    <w:p w:rsidR="00237092" w:rsidRPr="00237092" w:rsidRDefault="00237092"/>
    <w:sectPr w:rsidR="00237092" w:rsidRPr="00237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92"/>
    <w:rsid w:val="00237092"/>
    <w:rsid w:val="00A6753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5B5C220"/>
  <w15:chartTrackingRefBased/>
  <w15:docId w15:val="{6F708265-26FE-754B-B534-D76B8F6AD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092"/>
    <w:rPr>
      <w:rFonts w:eastAsiaTheme="majorEastAsia" w:cstheme="majorBidi"/>
      <w:color w:val="272727" w:themeColor="text1" w:themeTint="D8"/>
    </w:rPr>
  </w:style>
  <w:style w:type="paragraph" w:styleId="Title">
    <w:name w:val="Title"/>
    <w:basedOn w:val="Normal"/>
    <w:next w:val="Normal"/>
    <w:link w:val="TitleChar"/>
    <w:uiPriority w:val="10"/>
    <w:qFormat/>
    <w:rsid w:val="00237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092"/>
    <w:pPr>
      <w:spacing w:before="160"/>
      <w:jc w:val="center"/>
    </w:pPr>
    <w:rPr>
      <w:i/>
      <w:iCs/>
      <w:color w:val="404040" w:themeColor="text1" w:themeTint="BF"/>
    </w:rPr>
  </w:style>
  <w:style w:type="character" w:customStyle="1" w:styleId="QuoteChar">
    <w:name w:val="Quote Char"/>
    <w:basedOn w:val="DefaultParagraphFont"/>
    <w:link w:val="Quote"/>
    <w:uiPriority w:val="29"/>
    <w:rsid w:val="00237092"/>
    <w:rPr>
      <w:i/>
      <w:iCs/>
      <w:color w:val="404040" w:themeColor="text1" w:themeTint="BF"/>
    </w:rPr>
  </w:style>
  <w:style w:type="paragraph" w:styleId="ListParagraph">
    <w:name w:val="List Paragraph"/>
    <w:basedOn w:val="Normal"/>
    <w:uiPriority w:val="34"/>
    <w:qFormat/>
    <w:rsid w:val="00237092"/>
    <w:pPr>
      <w:ind w:left="720"/>
      <w:contextualSpacing/>
    </w:pPr>
  </w:style>
  <w:style w:type="character" w:styleId="IntenseEmphasis">
    <w:name w:val="Intense Emphasis"/>
    <w:basedOn w:val="DefaultParagraphFont"/>
    <w:uiPriority w:val="21"/>
    <w:qFormat/>
    <w:rsid w:val="00237092"/>
    <w:rPr>
      <w:i/>
      <w:iCs/>
      <w:color w:val="0F4761" w:themeColor="accent1" w:themeShade="BF"/>
    </w:rPr>
  </w:style>
  <w:style w:type="paragraph" w:styleId="IntenseQuote">
    <w:name w:val="Intense Quote"/>
    <w:basedOn w:val="Normal"/>
    <w:next w:val="Normal"/>
    <w:link w:val="IntenseQuoteChar"/>
    <w:uiPriority w:val="30"/>
    <w:qFormat/>
    <w:rsid w:val="00237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092"/>
    <w:rPr>
      <w:i/>
      <w:iCs/>
      <w:color w:val="0F4761" w:themeColor="accent1" w:themeShade="BF"/>
    </w:rPr>
  </w:style>
  <w:style w:type="character" w:styleId="IntenseReference">
    <w:name w:val="Intense Reference"/>
    <w:basedOn w:val="DefaultParagraphFont"/>
    <w:uiPriority w:val="32"/>
    <w:qFormat/>
    <w:rsid w:val="00237092"/>
    <w:rPr>
      <w:b/>
      <w:bCs/>
      <w:smallCaps/>
      <w:color w:val="0F4761" w:themeColor="accent1" w:themeShade="BF"/>
      <w:spacing w:val="5"/>
    </w:rPr>
  </w:style>
  <w:style w:type="paragraph" w:customStyle="1" w:styleId="ds-markdown-paragraph">
    <w:name w:val="ds-markdown-paragraph"/>
    <w:basedOn w:val="Normal"/>
    <w:rsid w:val="002370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70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375703">
      <w:bodyDiv w:val="1"/>
      <w:marLeft w:val="0"/>
      <w:marRight w:val="0"/>
      <w:marTop w:val="0"/>
      <w:marBottom w:val="0"/>
      <w:divBdr>
        <w:top w:val="none" w:sz="0" w:space="0" w:color="auto"/>
        <w:left w:val="none" w:sz="0" w:space="0" w:color="auto"/>
        <w:bottom w:val="none" w:sz="0" w:space="0" w:color="auto"/>
        <w:right w:val="none" w:sz="0" w:space="0" w:color="auto"/>
      </w:divBdr>
      <w:divsChild>
        <w:div w:id="1810128477">
          <w:marLeft w:val="660"/>
          <w:marRight w:val="660"/>
          <w:marTop w:val="0"/>
          <w:marBottom w:val="360"/>
          <w:divBdr>
            <w:top w:val="none" w:sz="0" w:space="0" w:color="auto"/>
            <w:left w:val="none" w:sz="0" w:space="0" w:color="auto"/>
            <w:bottom w:val="none" w:sz="0" w:space="0" w:color="auto"/>
            <w:right w:val="none" w:sz="0" w:space="0" w:color="auto"/>
          </w:divBdr>
          <w:divsChild>
            <w:div w:id="1749419375">
              <w:marLeft w:val="0"/>
              <w:marRight w:val="0"/>
              <w:marTop w:val="0"/>
              <w:marBottom w:val="0"/>
              <w:divBdr>
                <w:top w:val="none" w:sz="0" w:space="0" w:color="auto"/>
                <w:left w:val="none" w:sz="0" w:space="0" w:color="auto"/>
                <w:bottom w:val="none" w:sz="0" w:space="0" w:color="auto"/>
                <w:right w:val="none" w:sz="0" w:space="0" w:color="auto"/>
              </w:divBdr>
              <w:divsChild>
                <w:div w:id="1699699180">
                  <w:marLeft w:val="0"/>
                  <w:marRight w:val="0"/>
                  <w:marTop w:val="0"/>
                  <w:marBottom w:val="0"/>
                  <w:divBdr>
                    <w:top w:val="none" w:sz="0" w:space="0" w:color="auto"/>
                    <w:left w:val="none" w:sz="0" w:space="0" w:color="auto"/>
                    <w:bottom w:val="none" w:sz="0" w:space="0" w:color="auto"/>
                    <w:right w:val="none" w:sz="0" w:space="0" w:color="auto"/>
                  </w:divBdr>
                  <w:divsChild>
                    <w:div w:id="9909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1724">
          <w:marLeft w:val="480"/>
          <w:marRight w:val="480"/>
          <w:marTop w:val="100"/>
          <w:marBottom w:val="0"/>
          <w:divBdr>
            <w:top w:val="none" w:sz="0" w:space="0" w:color="auto"/>
            <w:left w:val="none" w:sz="0" w:space="0" w:color="auto"/>
            <w:bottom w:val="none" w:sz="0" w:space="0" w:color="auto"/>
            <w:right w:val="none" w:sz="0" w:space="0" w:color="auto"/>
          </w:divBdr>
          <w:divsChild>
            <w:div w:id="1586957303">
              <w:marLeft w:val="0"/>
              <w:marRight w:val="0"/>
              <w:marTop w:val="0"/>
              <w:marBottom w:val="0"/>
              <w:divBdr>
                <w:top w:val="none" w:sz="0" w:space="0" w:color="auto"/>
                <w:left w:val="none" w:sz="0" w:space="0" w:color="auto"/>
                <w:bottom w:val="none" w:sz="0" w:space="0" w:color="auto"/>
                <w:right w:val="none" w:sz="0" w:space="0" w:color="auto"/>
              </w:divBdr>
              <w:divsChild>
                <w:div w:id="832259326">
                  <w:marLeft w:val="0"/>
                  <w:marRight w:val="0"/>
                  <w:marTop w:val="0"/>
                  <w:marBottom w:val="0"/>
                  <w:divBdr>
                    <w:top w:val="single" w:sz="6" w:space="0" w:color="auto"/>
                    <w:left w:val="single" w:sz="6" w:space="0" w:color="auto"/>
                    <w:bottom w:val="single" w:sz="6" w:space="0" w:color="auto"/>
                    <w:right w:val="single" w:sz="6" w:space="0" w:color="auto"/>
                  </w:divBdr>
                  <w:divsChild>
                    <w:div w:id="2016027872">
                      <w:marLeft w:val="0"/>
                      <w:marRight w:val="0"/>
                      <w:marTop w:val="0"/>
                      <w:marBottom w:val="0"/>
                      <w:divBdr>
                        <w:top w:val="none" w:sz="0" w:space="0" w:color="auto"/>
                        <w:left w:val="none" w:sz="0" w:space="0" w:color="auto"/>
                        <w:bottom w:val="none" w:sz="0" w:space="0" w:color="auto"/>
                        <w:right w:val="none" w:sz="0" w:space="0" w:color="auto"/>
                      </w:divBdr>
                      <w:divsChild>
                        <w:div w:id="1621180410">
                          <w:marLeft w:val="0"/>
                          <w:marRight w:val="0"/>
                          <w:marTop w:val="0"/>
                          <w:marBottom w:val="0"/>
                          <w:divBdr>
                            <w:top w:val="none" w:sz="0" w:space="0" w:color="auto"/>
                            <w:left w:val="none" w:sz="0" w:space="0" w:color="auto"/>
                            <w:bottom w:val="none" w:sz="0" w:space="0" w:color="auto"/>
                            <w:right w:val="none" w:sz="0" w:space="0" w:color="auto"/>
                          </w:divBdr>
                          <w:divsChild>
                            <w:div w:id="744038174">
                              <w:marLeft w:val="0"/>
                              <w:marRight w:val="0"/>
                              <w:marTop w:val="0"/>
                              <w:marBottom w:val="0"/>
                              <w:divBdr>
                                <w:top w:val="none" w:sz="0" w:space="0" w:color="auto"/>
                                <w:left w:val="none" w:sz="0" w:space="0" w:color="auto"/>
                                <w:bottom w:val="none" w:sz="0" w:space="0" w:color="auto"/>
                                <w:right w:val="none" w:sz="0" w:space="0" w:color="auto"/>
                              </w:divBdr>
                              <w:divsChild>
                                <w:div w:id="8117526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natani</dc:creator>
  <cp:keywords/>
  <dc:description/>
  <cp:lastModifiedBy>pradeep natani</cp:lastModifiedBy>
  <cp:revision>1</cp:revision>
  <dcterms:created xsi:type="dcterms:W3CDTF">2026-01-12T06:32:00Z</dcterms:created>
  <dcterms:modified xsi:type="dcterms:W3CDTF">2026-01-12T06:36:00Z</dcterms:modified>
</cp:coreProperties>
</file>