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34D9D4" w14:textId="0D8FD48B" w:rsidR="004F318F" w:rsidRPr="001F7BE7" w:rsidRDefault="00767737" w:rsidP="001F7BE7">
      <w:pPr>
        <w:jc w:val="center"/>
        <w:rPr>
          <w:rFonts w:ascii="Cambria" w:hAnsi="Cambria"/>
          <w:color w:val="7F7F7F" w:themeColor="text1" w:themeTint="80"/>
          <w:sz w:val="28"/>
        </w:rPr>
      </w:pPr>
      <w:r>
        <w:rPr>
          <w:rFonts w:ascii="Cambria" w:hAnsi="Cambria"/>
          <w:b/>
          <w:color w:val="7F7F7F" w:themeColor="text1" w:themeTint="80"/>
          <w:sz w:val="28"/>
        </w:rPr>
        <w:t>Extending Criminal Liability</w:t>
      </w:r>
    </w:p>
    <w:p w14:paraId="5529EBC3" w14:textId="453C410B" w:rsidR="007B4D4D" w:rsidRPr="008F285F" w:rsidRDefault="00F07DF4" w:rsidP="001F7BE7">
      <w:pPr>
        <w:rPr>
          <w:sz w:val="22"/>
          <w:szCs w:val="22"/>
        </w:rPr>
      </w:pPr>
      <w:r w:rsidRPr="008F285F">
        <w:rPr>
          <w:sz w:val="22"/>
          <w:szCs w:val="22"/>
        </w:rPr>
        <w:t>Criminality can be extended in two main ways</w:t>
      </w:r>
      <w:r w:rsidR="007B2014" w:rsidRPr="008F285F">
        <w:rPr>
          <w:sz w:val="22"/>
          <w:szCs w:val="22"/>
        </w:rPr>
        <w:t>:</w:t>
      </w:r>
    </w:p>
    <w:p w14:paraId="576DF119" w14:textId="1F251D85" w:rsidR="009D2314" w:rsidRPr="008F285F" w:rsidRDefault="007B2014" w:rsidP="009D2314">
      <w:pPr>
        <w:pStyle w:val="ListParagraph"/>
        <w:numPr>
          <w:ilvl w:val="0"/>
          <w:numId w:val="40"/>
        </w:numPr>
        <w:jc w:val="both"/>
        <w:rPr>
          <w:rFonts w:ascii="Cambria" w:hAnsi="Cambria"/>
          <w:sz w:val="22"/>
          <w:szCs w:val="22"/>
        </w:rPr>
      </w:pPr>
      <w:r w:rsidRPr="008F285F">
        <w:rPr>
          <w:rFonts w:ascii="Cambria" w:hAnsi="Cambria"/>
          <w:sz w:val="22"/>
          <w:szCs w:val="22"/>
        </w:rPr>
        <w:t>Criminal law can extend liability to members of a group, each of whom take part in the commission of an offence (‘</w:t>
      </w:r>
      <w:r w:rsidRPr="008F285F">
        <w:rPr>
          <w:rFonts w:ascii="Cambria" w:hAnsi="Cambria"/>
          <w:b/>
          <w:sz w:val="22"/>
          <w:szCs w:val="22"/>
        </w:rPr>
        <w:t>complicity law’</w:t>
      </w:r>
      <w:r w:rsidRPr="008F285F">
        <w:rPr>
          <w:rFonts w:ascii="Cambria" w:hAnsi="Cambria"/>
          <w:sz w:val="22"/>
          <w:szCs w:val="22"/>
        </w:rPr>
        <w:t>)</w:t>
      </w:r>
    </w:p>
    <w:p w14:paraId="7EDB65FB" w14:textId="20736A05" w:rsidR="00F07DF4" w:rsidRPr="008F285F" w:rsidRDefault="007B2014" w:rsidP="009D2314">
      <w:pPr>
        <w:pStyle w:val="ListParagraph"/>
        <w:numPr>
          <w:ilvl w:val="0"/>
          <w:numId w:val="40"/>
        </w:numPr>
        <w:jc w:val="both"/>
        <w:rPr>
          <w:rFonts w:ascii="Cambria" w:hAnsi="Cambria"/>
          <w:sz w:val="22"/>
          <w:szCs w:val="22"/>
        </w:rPr>
      </w:pPr>
      <w:r w:rsidRPr="008F285F">
        <w:rPr>
          <w:rFonts w:ascii="Cambria" w:hAnsi="Cambria"/>
          <w:sz w:val="22"/>
          <w:szCs w:val="22"/>
        </w:rPr>
        <w:t xml:space="preserve">Association of itself can be the basis for criminality under </w:t>
      </w:r>
      <w:r w:rsidR="00EC037A" w:rsidRPr="008F285F">
        <w:rPr>
          <w:rFonts w:ascii="Cambria" w:hAnsi="Cambria"/>
          <w:sz w:val="22"/>
          <w:szCs w:val="22"/>
        </w:rPr>
        <w:t>various</w:t>
      </w:r>
      <w:r w:rsidRPr="008F285F">
        <w:rPr>
          <w:rFonts w:ascii="Cambria" w:hAnsi="Cambria"/>
          <w:sz w:val="22"/>
          <w:szCs w:val="22"/>
        </w:rPr>
        <w:t xml:space="preserve"> common law and statutory rules</w:t>
      </w:r>
    </w:p>
    <w:p w14:paraId="5CB1BF4F" w14:textId="1DC81727" w:rsidR="00C21AB7" w:rsidRPr="000D1C36" w:rsidRDefault="00767737" w:rsidP="0013460C">
      <w:pPr>
        <w:spacing w:after="100"/>
        <w:jc w:val="center"/>
        <w:rPr>
          <w:rFonts w:ascii="Cambria" w:hAnsi="Cambria" w:cs="Times New Roman"/>
          <w:b/>
          <w:color w:val="595959" w:themeColor="text1" w:themeTint="A6"/>
          <w:szCs w:val="20"/>
          <w:lang w:val="en-US" w:eastAsia="en-US"/>
        </w:rPr>
      </w:pPr>
      <w:r>
        <w:rPr>
          <w:rFonts w:ascii="Cambria" w:hAnsi="Cambria" w:cs="Times New Roman"/>
          <w:b/>
          <w:bCs/>
          <w:color w:val="595959" w:themeColor="text1" w:themeTint="A6"/>
          <w:szCs w:val="20"/>
          <w:lang w:val="en-US" w:eastAsia="en-US"/>
        </w:rPr>
        <w:t>11.2 Comp</w:t>
      </w:r>
      <w:r w:rsidR="002E660F">
        <w:rPr>
          <w:rFonts w:ascii="Cambria" w:hAnsi="Cambria" w:cs="Times New Roman"/>
          <w:b/>
          <w:bCs/>
          <w:color w:val="595959" w:themeColor="text1" w:themeTint="A6"/>
          <w:szCs w:val="20"/>
          <w:lang w:val="en-US" w:eastAsia="en-US"/>
        </w:rPr>
        <w:t>licity</w:t>
      </w:r>
    </w:p>
    <w:p w14:paraId="64DFE216" w14:textId="5C0F73AC" w:rsidR="009D2314" w:rsidRPr="008F285F" w:rsidRDefault="009D2314" w:rsidP="0013460C">
      <w:pPr>
        <w:spacing w:after="100"/>
        <w:jc w:val="both"/>
        <w:rPr>
          <w:rFonts w:ascii="Cambria" w:hAnsi="Cambria" w:cs="Times New Roman"/>
          <w:sz w:val="22"/>
          <w:szCs w:val="22"/>
          <w:lang w:val="en-US" w:eastAsia="en-US"/>
        </w:rPr>
      </w:pPr>
      <w:r w:rsidRPr="008F285F">
        <w:rPr>
          <w:rFonts w:ascii="Cambria" w:hAnsi="Cambria" w:cs="Times New Roman"/>
          <w:sz w:val="22"/>
          <w:szCs w:val="22"/>
          <w:lang w:val="en-US" w:eastAsia="en-US"/>
        </w:rPr>
        <w:t>“Complicity” is not of itself an offence. It is a set of rules that can be invoked to extend criminal liability to persons other than the actual offender in three circumstances:</w:t>
      </w:r>
    </w:p>
    <w:p w14:paraId="7BF1418D" w14:textId="5B8A026F" w:rsidR="009D2314" w:rsidRPr="008F285F" w:rsidRDefault="009D2314" w:rsidP="009D2314">
      <w:pPr>
        <w:pStyle w:val="ListParagraph"/>
        <w:numPr>
          <w:ilvl w:val="0"/>
          <w:numId w:val="45"/>
        </w:numPr>
        <w:spacing w:after="0"/>
        <w:jc w:val="both"/>
        <w:rPr>
          <w:rFonts w:ascii="Cambria" w:hAnsi="Cambria" w:cs="Times New Roman"/>
          <w:sz w:val="22"/>
          <w:szCs w:val="22"/>
          <w:lang w:val="en-US" w:eastAsia="en-US"/>
        </w:rPr>
      </w:pPr>
      <w:r w:rsidRPr="008F285F">
        <w:rPr>
          <w:rFonts w:ascii="Cambria" w:hAnsi="Cambria" w:cs="Times New Roman"/>
          <w:sz w:val="22"/>
          <w:szCs w:val="22"/>
          <w:lang w:val="en-US" w:eastAsia="en-US"/>
        </w:rPr>
        <w:t>Join</w:t>
      </w:r>
      <w:r w:rsidR="00EF101A" w:rsidRPr="008F285F">
        <w:rPr>
          <w:rFonts w:ascii="Cambria" w:hAnsi="Cambria" w:cs="Times New Roman"/>
          <w:sz w:val="22"/>
          <w:szCs w:val="22"/>
          <w:lang w:val="en-US" w:eastAsia="en-US"/>
        </w:rPr>
        <w:t>t</w:t>
      </w:r>
      <w:r w:rsidRPr="008F285F">
        <w:rPr>
          <w:rFonts w:ascii="Cambria" w:hAnsi="Cambria" w:cs="Times New Roman"/>
          <w:sz w:val="22"/>
          <w:szCs w:val="22"/>
          <w:lang w:val="en-US" w:eastAsia="en-US"/>
        </w:rPr>
        <w:t xml:space="preserve"> criminal enterprise – where two or more persons agree to commit a crime and one or all of the participants carry out the necessary conduct elements</w:t>
      </w:r>
    </w:p>
    <w:p w14:paraId="27EE8930" w14:textId="7EC1D2EB" w:rsidR="001C0D42" w:rsidRPr="008F285F" w:rsidRDefault="009D2314" w:rsidP="009D2314">
      <w:pPr>
        <w:pStyle w:val="ListParagraph"/>
        <w:numPr>
          <w:ilvl w:val="0"/>
          <w:numId w:val="45"/>
        </w:numPr>
        <w:spacing w:after="0"/>
        <w:jc w:val="both"/>
        <w:rPr>
          <w:rFonts w:ascii="Cambria" w:hAnsi="Cambria" w:cs="Times New Roman"/>
          <w:sz w:val="22"/>
          <w:szCs w:val="22"/>
          <w:lang w:val="en-US" w:eastAsia="en-US"/>
        </w:rPr>
      </w:pPr>
      <w:r w:rsidRPr="008F285F">
        <w:rPr>
          <w:rFonts w:ascii="Cambria" w:hAnsi="Cambria" w:cs="Times New Roman"/>
          <w:sz w:val="22"/>
          <w:szCs w:val="22"/>
          <w:lang w:val="en-US" w:eastAsia="en-US"/>
        </w:rPr>
        <w:t>Extend</w:t>
      </w:r>
      <w:r w:rsidR="007342FE" w:rsidRPr="008F285F">
        <w:rPr>
          <w:rFonts w:ascii="Cambria" w:hAnsi="Cambria" w:cs="Times New Roman"/>
          <w:sz w:val="22"/>
          <w:szCs w:val="22"/>
          <w:lang w:val="en-US" w:eastAsia="en-US"/>
        </w:rPr>
        <w:t>ed joint criminal enterprise – w</w:t>
      </w:r>
      <w:r w:rsidRPr="008F285F">
        <w:rPr>
          <w:rFonts w:ascii="Cambria" w:hAnsi="Cambria" w:cs="Times New Roman"/>
          <w:sz w:val="22"/>
          <w:szCs w:val="22"/>
          <w:lang w:val="en-US" w:eastAsia="en-US"/>
        </w:rPr>
        <w:t xml:space="preserve">here, during the course of a </w:t>
      </w:r>
      <w:r w:rsidR="001C0D42" w:rsidRPr="008F285F">
        <w:rPr>
          <w:rFonts w:ascii="Cambria" w:hAnsi="Cambria" w:cs="Times New Roman"/>
          <w:sz w:val="22"/>
          <w:szCs w:val="22"/>
          <w:lang w:val="en-US" w:eastAsia="en-US"/>
        </w:rPr>
        <w:t>joint</w:t>
      </w:r>
      <w:r w:rsidRPr="008F285F">
        <w:rPr>
          <w:rFonts w:ascii="Cambria" w:hAnsi="Cambria" w:cs="Times New Roman"/>
          <w:sz w:val="22"/>
          <w:szCs w:val="22"/>
          <w:lang w:val="en-US" w:eastAsia="en-US"/>
        </w:rPr>
        <w:t xml:space="preserve"> criminal enterprise, one member of the group commits an additional crime, the other members of the group may also be liable for that additional crime</w:t>
      </w:r>
    </w:p>
    <w:p w14:paraId="7A11723A" w14:textId="77777777" w:rsidR="001C0D42" w:rsidRPr="008F285F" w:rsidRDefault="009D2314" w:rsidP="001C0D42">
      <w:pPr>
        <w:pStyle w:val="ListParagraph"/>
        <w:numPr>
          <w:ilvl w:val="0"/>
          <w:numId w:val="45"/>
        </w:numPr>
        <w:spacing w:after="0"/>
        <w:jc w:val="both"/>
        <w:rPr>
          <w:rFonts w:ascii="Cambria" w:hAnsi="Cambria" w:cs="Times New Roman"/>
          <w:sz w:val="22"/>
          <w:szCs w:val="22"/>
          <w:lang w:val="en-US" w:eastAsia="en-US"/>
        </w:rPr>
      </w:pPr>
      <w:r w:rsidRPr="008F285F">
        <w:rPr>
          <w:rFonts w:ascii="Cambria" w:hAnsi="Cambria" w:cs="Times New Roman"/>
          <w:sz w:val="22"/>
          <w:szCs w:val="22"/>
          <w:lang w:val="en-US" w:eastAsia="en-US"/>
        </w:rPr>
        <w:t>Accessorial liability – Where a person ‘aids, abets, counsels or procures’ the commission of a crime by another person. This can be divided into further categories:</w:t>
      </w:r>
    </w:p>
    <w:p w14:paraId="0F2DDB4E" w14:textId="04A71618" w:rsidR="001C0D42" w:rsidRPr="008F285F" w:rsidRDefault="001C0D42" w:rsidP="001C0D42">
      <w:pPr>
        <w:pStyle w:val="ListParagraph"/>
        <w:numPr>
          <w:ilvl w:val="1"/>
          <w:numId w:val="45"/>
        </w:numPr>
        <w:spacing w:after="0"/>
        <w:jc w:val="both"/>
        <w:rPr>
          <w:rFonts w:ascii="Cambria" w:hAnsi="Cambria" w:cs="Times New Roman"/>
          <w:sz w:val="22"/>
          <w:szCs w:val="22"/>
          <w:lang w:val="en-US" w:eastAsia="en-US"/>
        </w:rPr>
      </w:pPr>
      <w:r w:rsidRPr="008F285F">
        <w:rPr>
          <w:rFonts w:ascii="Cambria" w:hAnsi="Cambria" w:cs="Times New Roman"/>
          <w:sz w:val="22"/>
          <w:szCs w:val="22"/>
          <w:lang w:val="en-US" w:eastAsia="en-US"/>
        </w:rPr>
        <w:t>Principal in the first degree -</w:t>
      </w:r>
      <w:r w:rsidR="009D2314" w:rsidRPr="008F285F">
        <w:rPr>
          <w:rFonts w:ascii="Cambria" w:hAnsi="Cambria" w:cs="Times New Roman"/>
          <w:sz w:val="22"/>
          <w:szCs w:val="22"/>
          <w:lang w:val="en-US" w:eastAsia="en-US"/>
        </w:rPr>
        <w:t xml:space="preserve"> where a person provides assistance or encouragement at the scene</w:t>
      </w:r>
    </w:p>
    <w:p w14:paraId="44D4C1EA" w14:textId="6D42FB34" w:rsidR="009D2314" w:rsidRDefault="009D2314" w:rsidP="001C0D42">
      <w:pPr>
        <w:pStyle w:val="ListParagraph"/>
        <w:numPr>
          <w:ilvl w:val="1"/>
          <w:numId w:val="45"/>
        </w:numPr>
        <w:spacing w:after="0"/>
        <w:jc w:val="both"/>
        <w:rPr>
          <w:rFonts w:ascii="Cambria" w:hAnsi="Cambria" w:cs="Times New Roman"/>
          <w:sz w:val="22"/>
          <w:szCs w:val="22"/>
          <w:lang w:val="en-US" w:eastAsia="en-US"/>
        </w:rPr>
      </w:pPr>
      <w:r w:rsidRPr="008F285F">
        <w:rPr>
          <w:rFonts w:ascii="Cambria" w:hAnsi="Cambria" w:cs="Times New Roman"/>
          <w:sz w:val="22"/>
          <w:szCs w:val="22"/>
          <w:lang w:val="en-US" w:eastAsia="en-US"/>
        </w:rPr>
        <w:t>Accessory before the fact – where a person is not present at the scene but has earlier provided assistance or encouragement</w:t>
      </w:r>
    </w:p>
    <w:p w14:paraId="1B31F3C5" w14:textId="77777777" w:rsidR="005123AF" w:rsidRPr="008F285F" w:rsidRDefault="005123AF" w:rsidP="005123AF">
      <w:pPr>
        <w:pStyle w:val="ListParagraph"/>
        <w:spacing w:after="0"/>
        <w:ind w:left="1440"/>
        <w:jc w:val="both"/>
        <w:rPr>
          <w:rFonts w:ascii="Cambria" w:hAnsi="Cambria" w:cs="Times New Roman"/>
          <w:sz w:val="22"/>
          <w:szCs w:val="22"/>
          <w:lang w:val="en-US" w:eastAsia="en-US"/>
        </w:rPr>
      </w:pPr>
    </w:p>
    <w:p w14:paraId="04F5CF5C" w14:textId="12D0800A" w:rsidR="000B5EA9" w:rsidRPr="008F285F" w:rsidRDefault="000B5EA9" w:rsidP="000B5EA9">
      <w:pPr>
        <w:spacing w:after="0"/>
        <w:jc w:val="center"/>
        <w:rPr>
          <w:rFonts w:ascii="Cambria" w:hAnsi="Cambria" w:cs="Times New Roman"/>
          <w:b/>
          <w:sz w:val="22"/>
          <w:szCs w:val="22"/>
          <w:lang w:val="en-US" w:eastAsia="en-US"/>
        </w:rPr>
      </w:pPr>
      <w:r w:rsidRPr="008F285F">
        <w:rPr>
          <w:rFonts w:ascii="Cambria" w:hAnsi="Cambria" w:cs="Times New Roman"/>
          <w:b/>
          <w:sz w:val="22"/>
          <w:szCs w:val="22"/>
          <w:lang w:val="en-US" w:eastAsia="en-US"/>
        </w:rPr>
        <w:t>11.2.2 Joint criminal enterprise</w:t>
      </w:r>
    </w:p>
    <w:p w14:paraId="6F38BDC7" w14:textId="77777777" w:rsidR="00DA730D" w:rsidRPr="008F285F" w:rsidRDefault="00DA730D" w:rsidP="00E85DFB">
      <w:pPr>
        <w:spacing w:after="0"/>
        <w:jc w:val="center"/>
        <w:rPr>
          <w:rFonts w:ascii="Cambria" w:hAnsi="Cambria" w:cs="Times New Roman"/>
          <w:i/>
          <w:sz w:val="22"/>
          <w:szCs w:val="22"/>
          <w:lang w:val="en-US" w:eastAsia="en-US"/>
        </w:rPr>
      </w:pPr>
    </w:p>
    <w:p w14:paraId="07D2F46F" w14:textId="2D92BA8E" w:rsidR="00E85DFB" w:rsidRPr="008F285F" w:rsidRDefault="00E85DFB" w:rsidP="00E85DFB">
      <w:pPr>
        <w:spacing w:after="0"/>
        <w:jc w:val="center"/>
        <w:rPr>
          <w:rFonts w:ascii="Cambria" w:hAnsi="Cambria" w:cs="Times New Roman"/>
          <w:sz w:val="22"/>
          <w:szCs w:val="22"/>
          <w:lang w:val="en-US" w:eastAsia="en-US"/>
        </w:rPr>
      </w:pPr>
      <w:r w:rsidRPr="008F285F">
        <w:rPr>
          <w:rFonts w:ascii="Cambria" w:hAnsi="Cambria" w:cs="Times New Roman"/>
          <w:i/>
          <w:sz w:val="22"/>
          <w:szCs w:val="22"/>
          <w:lang w:val="en-US" w:eastAsia="en-US"/>
        </w:rPr>
        <w:t xml:space="preserve">Osland </w:t>
      </w:r>
      <w:r w:rsidRPr="008F285F">
        <w:rPr>
          <w:rFonts w:ascii="Cambria" w:hAnsi="Cambria" w:cs="Times New Roman"/>
          <w:sz w:val="22"/>
          <w:szCs w:val="22"/>
          <w:lang w:val="en-US" w:eastAsia="en-US"/>
        </w:rPr>
        <w:t>(1998) 159 ALR 170</w:t>
      </w:r>
    </w:p>
    <w:p w14:paraId="35DB312F" w14:textId="34FA9B70" w:rsidR="00DA730D" w:rsidRPr="008F285F" w:rsidRDefault="00DA730D" w:rsidP="00DA730D">
      <w:pPr>
        <w:spacing w:after="0"/>
        <w:jc w:val="both"/>
        <w:rPr>
          <w:rFonts w:ascii="Cambria" w:hAnsi="Cambria" w:cs="Times New Roman"/>
          <w:b/>
          <w:sz w:val="22"/>
          <w:szCs w:val="22"/>
          <w:lang w:val="en-US" w:eastAsia="en-US"/>
        </w:rPr>
      </w:pPr>
      <w:r w:rsidRPr="008F285F">
        <w:rPr>
          <w:rFonts w:ascii="Cambria" w:hAnsi="Cambria" w:cs="Times New Roman"/>
          <w:b/>
          <w:sz w:val="22"/>
          <w:szCs w:val="22"/>
          <w:lang w:val="en-US" w:eastAsia="en-US"/>
        </w:rPr>
        <w:t>Facts</w:t>
      </w:r>
    </w:p>
    <w:p w14:paraId="39C2F8E3" w14:textId="29B11BDD" w:rsidR="00E85DFB" w:rsidRPr="008F285F" w:rsidRDefault="00DA730D" w:rsidP="00DA730D">
      <w:pPr>
        <w:spacing w:after="0"/>
        <w:jc w:val="both"/>
        <w:rPr>
          <w:rFonts w:ascii="Cambria" w:hAnsi="Cambria" w:cs="Times New Roman"/>
          <w:sz w:val="22"/>
          <w:szCs w:val="22"/>
          <w:lang w:val="en-US" w:eastAsia="en-US"/>
        </w:rPr>
      </w:pPr>
      <w:r w:rsidRPr="008F285F">
        <w:rPr>
          <w:rFonts w:ascii="Cambria" w:hAnsi="Cambria" w:cs="Times New Roman"/>
          <w:sz w:val="22"/>
          <w:szCs w:val="22"/>
          <w:lang w:val="en-US" w:eastAsia="en-US"/>
        </w:rPr>
        <w:t xml:space="preserve">Heather Osland and her son, David Albion were charged with murder. The Crown case was that they </w:t>
      </w:r>
      <w:r w:rsidR="00A149C3" w:rsidRPr="008F285F">
        <w:rPr>
          <w:rFonts w:ascii="Cambria" w:hAnsi="Cambria" w:cs="Times New Roman"/>
          <w:sz w:val="22"/>
          <w:szCs w:val="22"/>
          <w:lang w:val="en-US" w:eastAsia="en-US"/>
        </w:rPr>
        <w:t>had</w:t>
      </w:r>
      <w:r w:rsidRPr="008F285F">
        <w:rPr>
          <w:rFonts w:ascii="Cambria" w:hAnsi="Cambria" w:cs="Times New Roman"/>
          <w:sz w:val="22"/>
          <w:szCs w:val="22"/>
          <w:lang w:val="en-US" w:eastAsia="en-US"/>
        </w:rPr>
        <w:t xml:space="preserve"> both reached an agreement to murder Frank Osland. The plan was implemented when Heather Osland mixed a sedative into her husband’s dinner and Albion bashed him to death with a metal pipe</w:t>
      </w:r>
      <w:r w:rsidR="004E6C9A" w:rsidRPr="008F285F">
        <w:rPr>
          <w:rFonts w:ascii="Cambria" w:hAnsi="Cambria" w:cs="Times New Roman"/>
          <w:sz w:val="22"/>
          <w:szCs w:val="22"/>
          <w:lang w:val="en-US" w:eastAsia="en-US"/>
        </w:rPr>
        <w:t xml:space="preserve">. </w:t>
      </w:r>
      <w:r w:rsidRPr="008F285F">
        <w:rPr>
          <w:rFonts w:ascii="Cambria" w:hAnsi="Cambria" w:cs="Times New Roman"/>
          <w:sz w:val="22"/>
          <w:szCs w:val="22"/>
          <w:lang w:val="en-US" w:eastAsia="en-US"/>
        </w:rPr>
        <w:t>Osland was convicted but Albion was acquitted. Osland appealed arguing that, since the Crown case was that she and Albion were jointly responsible for the murder of the victim, her conviction was inconsistent with the jury’s failure to convict Albion</w:t>
      </w:r>
      <w:r w:rsidR="00935D08" w:rsidRPr="008F285F">
        <w:rPr>
          <w:rFonts w:ascii="Cambria" w:hAnsi="Cambria" w:cs="Times New Roman"/>
          <w:sz w:val="22"/>
          <w:szCs w:val="22"/>
          <w:lang w:val="en-US" w:eastAsia="en-US"/>
        </w:rPr>
        <w:t>.</w:t>
      </w:r>
    </w:p>
    <w:p w14:paraId="33C566EB" w14:textId="39975A46" w:rsidR="00935D08" w:rsidRPr="008F285F" w:rsidRDefault="00935D08" w:rsidP="00DA730D">
      <w:pPr>
        <w:spacing w:after="0"/>
        <w:jc w:val="both"/>
        <w:rPr>
          <w:rFonts w:ascii="Cambria" w:hAnsi="Cambria" w:cs="Times New Roman"/>
          <w:b/>
          <w:sz w:val="22"/>
          <w:szCs w:val="22"/>
          <w:lang w:val="en-US" w:eastAsia="en-US"/>
        </w:rPr>
      </w:pPr>
      <w:r w:rsidRPr="008F285F">
        <w:rPr>
          <w:rFonts w:ascii="Cambria" w:hAnsi="Cambria" w:cs="Times New Roman"/>
          <w:b/>
          <w:sz w:val="22"/>
          <w:szCs w:val="22"/>
          <w:lang w:val="en-US" w:eastAsia="en-US"/>
        </w:rPr>
        <w:t>Holding</w:t>
      </w:r>
    </w:p>
    <w:p w14:paraId="6EF49F7C" w14:textId="1B5F5041" w:rsidR="00935D08" w:rsidRPr="008F285F" w:rsidRDefault="00935D08" w:rsidP="00DA730D">
      <w:pPr>
        <w:spacing w:after="0"/>
        <w:jc w:val="both"/>
        <w:rPr>
          <w:rFonts w:ascii="Cambria" w:hAnsi="Cambria" w:cs="Times New Roman"/>
          <w:sz w:val="22"/>
          <w:szCs w:val="22"/>
          <w:lang w:val="en-US" w:eastAsia="en-US"/>
        </w:rPr>
      </w:pPr>
      <w:r w:rsidRPr="008F285F">
        <w:rPr>
          <w:rFonts w:ascii="Cambria" w:hAnsi="Cambria" w:cs="Times New Roman"/>
          <w:sz w:val="22"/>
          <w:szCs w:val="22"/>
          <w:lang w:val="en-US" w:eastAsia="en-US"/>
        </w:rPr>
        <w:t>There was ‘no flaw in reasoning’ and the conviction can be upheld</w:t>
      </w:r>
    </w:p>
    <w:p w14:paraId="3296892F" w14:textId="5419930F" w:rsidR="00935D08" w:rsidRPr="008F285F" w:rsidRDefault="00935D08" w:rsidP="00DA730D">
      <w:pPr>
        <w:spacing w:after="0"/>
        <w:jc w:val="both"/>
        <w:rPr>
          <w:rFonts w:ascii="Cambria" w:hAnsi="Cambria" w:cs="Times New Roman"/>
          <w:b/>
          <w:sz w:val="22"/>
          <w:szCs w:val="22"/>
          <w:lang w:val="en-US" w:eastAsia="en-US"/>
        </w:rPr>
      </w:pPr>
      <w:r w:rsidRPr="008F285F">
        <w:rPr>
          <w:rFonts w:ascii="Cambria" w:hAnsi="Cambria" w:cs="Times New Roman"/>
          <w:b/>
          <w:sz w:val="22"/>
          <w:szCs w:val="22"/>
          <w:lang w:val="en-US" w:eastAsia="en-US"/>
        </w:rPr>
        <w:t>Reasons</w:t>
      </w:r>
    </w:p>
    <w:p w14:paraId="7EB50433" w14:textId="77777777" w:rsidR="00935D08" w:rsidRPr="008F285F" w:rsidRDefault="00935D08" w:rsidP="00935D08">
      <w:pPr>
        <w:pStyle w:val="ListParagraph"/>
        <w:numPr>
          <w:ilvl w:val="0"/>
          <w:numId w:val="31"/>
        </w:numPr>
        <w:jc w:val="both"/>
        <w:rPr>
          <w:rFonts w:ascii="Cambria" w:hAnsi="Cambria"/>
          <w:sz w:val="22"/>
          <w:szCs w:val="22"/>
          <w:lang w:val="en-US"/>
        </w:rPr>
      </w:pPr>
      <w:r w:rsidRPr="008F285F">
        <w:rPr>
          <w:rFonts w:ascii="Cambria" w:hAnsi="Cambria"/>
          <w:sz w:val="22"/>
          <w:szCs w:val="22"/>
          <w:lang w:val="en-US"/>
        </w:rPr>
        <w:t>(McHugh J) There are two broad types of liability:</w:t>
      </w:r>
    </w:p>
    <w:p w14:paraId="016F04A7" w14:textId="0FED4BFC" w:rsidR="00935D08" w:rsidRPr="008F285F" w:rsidRDefault="00935D08" w:rsidP="00935D08">
      <w:pPr>
        <w:pStyle w:val="ListParagraph"/>
        <w:numPr>
          <w:ilvl w:val="1"/>
          <w:numId w:val="31"/>
        </w:numPr>
        <w:jc w:val="both"/>
        <w:rPr>
          <w:rFonts w:ascii="Cambria" w:hAnsi="Cambria"/>
          <w:sz w:val="22"/>
          <w:szCs w:val="22"/>
          <w:lang w:val="en-US"/>
        </w:rPr>
      </w:pPr>
      <w:r w:rsidRPr="008F285F">
        <w:rPr>
          <w:rFonts w:ascii="Cambria" w:hAnsi="Cambria"/>
          <w:sz w:val="22"/>
          <w:szCs w:val="22"/>
          <w:lang w:val="en-US"/>
        </w:rPr>
        <w:t xml:space="preserve">Derivative liability </w:t>
      </w:r>
      <w:r w:rsidR="00FA1803" w:rsidRPr="008F285F">
        <w:rPr>
          <w:rFonts w:ascii="Cambria" w:hAnsi="Cambria"/>
          <w:sz w:val="22"/>
          <w:szCs w:val="22"/>
          <w:lang w:val="en-US"/>
        </w:rPr>
        <w:t>–</w:t>
      </w:r>
      <w:r w:rsidRPr="008F285F">
        <w:rPr>
          <w:rFonts w:ascii="Cambria" w:hAnsi="Cambria"/>
          <w:sz w:val="22"/>
          <w:szCs w:val="22"/>
          <w:lang w:val="en-US"/>
        </w:rPr>
        <w:t xml:space="preserve"> </w:t>
      </w:r>
      <w:r w:rsidR="00FA1803" w:rsidRPr="008F285F">
        <w:rPr>
          <w:rFonts w:ascii="Cambria" w:hAnsi="Cambria"/>
          <w:sz w:val="22"/>
          <w:szCs w:val="22"/>
          <w:lang w:val="en-US"/>
        </w:rPr>
        <w:t xml:space="preserve">this occurs when </w:t>
      </w:r>
      <w:r w:rsidR="001F4059" w:rsidRPr="008F285F">
        <w:rPr>
          <w:rFonts w:ascii="Cambria" w:hAnsi="Cambria"/>
          <w:sz w:val="22"/>
          <w:szCs w:val="22"/>
          <w:lang w:val="en-US"/>
        </w:rPr>
        <w:t>the accused aids</w:t>
      </w:r>
      <w:r w:rsidRPr="008F285F">
        <w:rPr>
          <w:rFonts w:ascii="Cambria" w:hAnsi="Cambria"/>
          <w:sz w:val="22"/>
          <w:szCs w:val="22"/>
          <w:lang w:val="en-US"/>
        </w:rPr>
        <w:t xml:space="preserve"> in the commission of a crime without being present at the crime </w:t>
      </w:r>
    </w:p>
    <w:p w14:paraId="1B123258" w14:textId="5E8F1715" w:rsidR="00935D08" w:rsidRPr="008F285F" w:rsidRDefault="00A7393D" w:rsidP="00935D08">
      <w:pPr>
        <w:pStyle w:val="ListParagraph"/>
        <w:numPr>
          <w:ilvl w:val="1"/>
          <w:numId w:val="31"/>
        </w:numPr>
        <w:jc w:val="both"/>
        <w:rPr>
          <w:rFonts w:ascii="Cambria" w:hAnsi="Cambria"/>
          <w:sz w:val="22"/>
          <w:szCs w:val="22"/>
          <w:lang w:val="en-US"/>
        </w:rPr>
      </w:pPr>
      <w:r w:rsidRPr="008F285F">
        <w:rPr>
          <w:rFonts w:ascii="Cambria" w:hAnsi="Cambria"/>
          <w:sz w:val="22"/>
          <w:szCs w:val="22"/>
          <w:lang w:val="en-US"/>
        </w:rPr>
        <w:t>Principal in the first degree</w:t>
      </w:r>
      <w:r w:rsidR="00935D08" w:rsidRPr="008F285F">
        <w:rPr>
          <w:rFonts w:ascii="Cambria" w:hAnsi="Cambria"/>
          <w:sz w:val="22"/>
          <w:szCs w:val="22"/>
          <w:lang w:val="en-US"/>
        </w:rPr>
        <w:t>:</w:t>
      </w:r>
    </w:p>
    <w:p w14:paraId="24220BE0" w14:textId="2C7F1FB0" w:rsidR="00935D08" w:rsidRPr="008F285F" w:rsidRDefault="00CC475E" w:rsidP="00935D08">
      <w:pPr>
        <w:pStyle w:val="ListParagraph"/>
        <w:numPr>
          <w:ilvl w:val="2"/>
          <w:numId w:val="31"/>
        </w:numPr>
        <w:jc w:val="both"/>
        <w:rPr>
          <w:rFonts w:ascii="Cambria" w:hAnsi="Cambria"/>
          <w:sz w:val="22"/>
          <w:szCs w:val="22"/>
          <w:lang w:val="en-US"/>
        </w:rPr>
      </w:pPr>
      <w:r w:rsidRPr="008F285F">
        <w:rPr>
          <w:rFonts w:ascii="Cambria" w:hAnsi="Cambria"/>
          <w:sz w:val="22"/>
          <w:szCs w:val="22"/>
          <w:lang w:val="en-US"/>
        </w:rPr>
        <w:t xml:space="preserve">This can occur when the accused </w:t>
      </w:r>
      <w:r w:rsidR="00935D08" w:rsidRPr="008F285F">
        <w:rPr>
          <w:rFonts w:ascii="Cambria" w:hAnsi="Cambria"/>
          <w:sz w:val="22"/>
          <w:szCs w:val="22"/>
          <w:lang w:val="en-US"/>
        </w:rPr>
        <w:t>commits the act which form the whole or part of the actus reus</w:t>
      </w:r>
    </w:p>
    <w:p w14:paraId="7C0D1618" w14:textId="6CF36059" w:rsidR="007E7ECE" w:rsidRPr="008F285F" w:rsidRDefault="00A7393D" w:rsidP="007E7ECE">
      <w:pPr>
        <w:pStyle w:val="ListParagraph"/>
        <w:numPr>
          <w:ilvl w:val="2"/>
          <w:numId w:val="31"/>
        </w:numPr>
        <w:jc w:val="both"/>
        <w:rPr>
          <w:rFonts w:ascii="Cambria" w:hAnsi="Cambria"/>
          <w:sz w:val="22"/>
          <w:szCs w:val="22"/>
          <w:lang w:val="en-US"/>
        </w:rPr>
      </w:pPr>
      <w:r w:rsidRPr="008F285F">
        <w:rPr>
          <w:rFonts w:ascii="Cambria" w:hAnsi="Cambria"/>
          <w:sz w:val="22"/>
          <w:szCs w:val="22"/>
          <w:lang w:val="en-US"/>
        </w:rPr>
        <w:t>However, t</w:t>
      </w:r>
      <w:r w:rsidR="006F2C0A" w:rsidRPr="008F285F">
        <w:rPr>
          <w:rFonts w:ascii="Cambria" w:hAnsi="Cambria"/>
          <w:sz w:val="22"/>
          <w:szCs w:val="22"/>
          <w:lang w:val="en-US"/>
        </w:rPr>
        <w:t>his can also occur where the accused is</w:t>
      </w:r>
      <w:r w:rsidR="007E7ECE" w:rsidRPr="008F285F">
        <w:rPr>
          <w:rFonts w:ascii="Cambria" w:hAnsi="Cambria"/>
          <w:sz w:val="22"/>
          <w:szCs w:val="22"/>
          <w:lang w:val="en-US"/>
        </w:rPr>
        <w:t xml:space="preserve"> present at the scene and </w:t>
      </w:r>
      <w:r w:rsidR="00D92440" w:rsidRPr="008F285F">
        <w:rPr>
          <w:rFonts w:ascii="Cambria" w:hAnsi="Cambria"/>
          <w:sz w:val="22"/>
          <w:szCs w:val="22"/>
          <w:lang w:val="en-US"/>
        </w:rPr>
        <w:t>agrees</w:t>
      </w:r>
      <w:r w:rsidR="007E7ECE" w:rsidRPr="008F285F">
        <w:rPr>
          <w:rFonts w:ascii="Cambria" w:hAnsi="Cambria"/>
          <w:sz w:val="22"/>
          <w:szCs w:val="22"/>
          <w:lang w:val="en-US"/>
        </w:rPr>
        <w:t xml:space="preserve"> w</w:t>
      </w:r>
      <w:r w:rsidR="00485DF5" w:rsidRPr="008F285F">
        <w:rPr>
          <w:rFonts w:ascii="Cambria" w:hAnsi="Cambria"/>
          <w:sz w:val="22"/>
          <w:szCs w:val="22"/>
          <w:lang w:val="en-US"/>
        </w:rPr>
        <w:t>ith another to commit the crime. I</w:t>
      </w:r>
      <w:r w:rsidR="007E7ECE" w:rsidRPr="008F285F">
        <w:rPr>
          <w:rFonts w:ascii="Cambria" w:hAnsi="Cambria"/>
          <w:sz w:val="22"/>
          <w:szCs w:val="22"/>
          <w:lang w:val="en-US"/>
        </w:rPr>
        <w:t xml:space="preserve">n this case the </w:t>
      </w:r>
      <w:r w:rsidR="0023667C" w:rsidRPr="008F285F">
        <w:rPr>
          <w:rFonts w:ascii="Cambria" w:hAnsi="Cambria"/>
          <w:sz w:val="22"/>
          <w:szCs w:val="22"/>
          <w:lang w:val="en-US"/>
        </w:rPr>
        <w:t>accused</w:t>
      </w:r>
      <w:r w:rsidR="007E7ECE" w:rsidRPr="008F285F">
        <w:rPr>
          <w:rFonts w:ascii="Cambria" w:hAnsi="Cambria"/>
          <w:sz w:val="22"/>
          <w:szCs w:val="22"/>
          <w:lang w:val="en-US"/>
        </w:rPr>
        <w:t xml:space="preserve"> will be responsible for the actus reus (so if the actual perpetrator has a defence such as insanity, this will not assist</w:t>
      </w:r>
      <w:r w:rsidR="000D0A23" w:rsidRPr="008F285F">
        <w:rPr>
          <w:rFonts w:ascii="Cambria" w:hAnsi="Cambria"/>
          <w:sz w:val="22"/>
          <w:szCs w:val="22"/>
          <w:lang w:val="en-US"/>
        </w:rPr>
        <w:t xml:space="preserve"> the accused</w:t>
      </w:r>
      <w:r w:rsidR="007E7ECE" w:rsidRPr="008F285F">
        <w:rPr>
          <w:rFonts w:ascii="Cambria" w:hAnsi="Cambria"/>
          <w:sz w:val="22"/>
          <w:szCs w:val="22"/>
          <w:lang w:val="en-US"/>
        </w:rPr>
        <w:t>)</w:t>
      </w:r>
      <w:r w:rsidR="00310D61" w:rsidRPr="008F285F">
        <w:rPr>
          <w:rFonts w:ascii="Cambria" w:hAnsi="Cambria"/>
          <w:sz w:val="22"/>
          <w:szCs w:val="22"/>
          <w:lang w:val="en-US"/>
        </w:rPr>
        <w:t>.</w:t>
      </w:r>
    </w:p>
    <w:p w14:paraId="3F993E98" w14:textId="4FC432B6" w:rsidR="00935D08" w:rsidRPr="008F285F" w:rsidRDefault="00047503" w:rsidP="000F4D41">
      <w:pPr>
        <w:pStyle w:val="ListParagraph"/>
        <w:numPr>
          <w:ilvl w:val="0"/>
          <w:numId w:val="31"/>
        </w:numPr>
        <w:jc w:val="both"/>
        <w:rPr>
          <w:rFonts w:ascii="Cambria" w:hAnsi="Cambria"/>
          <w:sz w:val="22"/>
          <w:szCs w:val="22"/>
          <w:lang w:val="en-US"/>
        </w:rPr>
      </w:pPr>
      <w:r w:rsidRPr="008F285F">
        <w:rPr>
          <w:rFonts w:ascii="Cambria" w:hAnsi="Cambria"/>
          <w:sz w:val="22"/>
          <w:szCs w:val="22"/>
          <w:lang w:val="en-US"/>
        </w:rPr>
        <w:t>The instant case involves being present</w:t>
      </w:r>
      <w:r w:rsidR="00935D08" w:rsidRPr="008F285F">
        <w:rPr>
          <w:rFonts w:ascii="Cambria" w:hAnsi="Cambria"/>
          <w:sz w:val="22"/>
          <w:szCs w:val="22"/>
          <w:lang w:val="en-US"/>
        </w:rPr>
        <w:t xml:space="preserve"> at t</w:t>
      </w:r>
      <w:r w:rsidRPr="008F285F">
        <w:rPr>
          <w:rFonts w:ascii="Cambria" w:hAnsi="Cambria"/>
          <w:sz w:val="22"/>
          <w:szCs w:val="22"/>
          <w:lang w:val="en-US"/>
        </w:rPr>
        <w:t xml:space="preserve">he scene and acting in concert. Therefore, </w:t>
      </w:r>
      <w:r w:rsidR="00935D08" w:rsidRPr="008F285F">
        <w:rPr>
          <w:rFonts w:ascii="Cambria" w:hAnsi="Cambria"/>
          <w:sz w:val="22"/>
          <w:szCs w:val="22"/>
          <w:lang w:val="en-US"/>
        </w:rPr>
        <w:t xml:space="preserve">the jury were entitled to convict Mrs Osland </w:t>
      </w:r>
      <w:r w:rsidR="00BC3230" w:rsidRPr="008F285F">
        <w:rPr>
          <w:rFonts w:ascii="Cambria" w:hAnsi="Cambria"/>
          <w:sz w:val="22"/>
          <w:szCs w:val="22"/>
          <w:lang w:val="en-US"/>
        </w:rPr>
        <w:t>whilst</w:t>
      </w:r>
      <w:r w:rsidR="00935D08" w:rsidRPr="008F285F">
        <w:rPr>
          <w:rFonts w:ascii="Cambria" w:hAnsi="Cambria"/>
          <w:sz w:val="22"/>
          <w:szCs w:val="22"/>
          <w:lang w:val="en-US"/>
        </w:rPr>
        <w:t xml:space="preserve"> fail</w:t>
      </w:r>
      <w:r w:rsidR="00BC3230" w:rsidRPr="008F285F">
        <w:rPr>
          <w:rFonts w:ascii="Cambria" w:hAnsi="Cambria"/>
          <w:sz w:val="22"/>
          <w:szCs w:val="22"/>
          <w:lang w:val="en-US"/>
        </w:rPr>
        <w:t>ing</w:t>
      </w:r>
      <w:r w:rsidR="00935D08" w:rsidRPr="008F285F">
        <w:rPr>
          <w:rFonts w:ascii="Cambria" w:hAnsi="Cambria"/>
          <w:sz w:val="22"/>
          <w:szCs w:val="22"/>
          <w:lang w:val="en-US"/>
        </w:rPr>
        <w:t xml:space="preserve"> to reach agreement in respect of David Albion</w:t>
      </w:r>
      <w:r w:rsidR="00953EF1" w:rsidRPr="008F285F">
        <w:rPr>
          <w:rFonts w:ascii="Cambria" w:hAnsi="Cambria"/>
          <w:sz w:val="22"/>
          <w:szCs w:val="22"/>
          <w:lang w:val="en-US"/>
        </w:rPr>
        <w:t>,</w:t>
      </w:r>
      <w:r w:rsidR="00935D08" w:rsidRPr="008F285F">
        <w:rPr>
          <w:rFonts w:ascii="Cambria" w:hAnsi="Cambria"/>
          <w:sz w:val="22"/>
          <w:szCs w:val="22"/>
          <w:lang w:val="en-US"/>
        </w:rPr>
        <w:t xml:space="preserve"> whose criminal responsibility was </w:t>
      </w:r>
      <w:r w:rsidR="00953EF1" w:rsidRPr="008F285F">
        <w:rPr>
          <w:rFonts w:ascii="Cambria" w:hAnsi="Cambria"/>
          <w:sz w:val="22"/>
          <w:szCs w:val="22"/>
          <w:lang w:val="en-US"/>
        </w:rPr>
        <w:t>independent</w:t>
      </w:r>
      <w:r w:rsidR="00935D08" w:rsidRPr="008F285F">
        <w:rPr>
          <w:rFonts w:ascii="Cambria" w:hAnsi="Cambria"/>
          <w:sz w:val="22"/>
          <w:szCs w:val="22"/>
          <w:lang w:val="en-US"/>
        </w:rPr>
        <w:t xml:space="preserve"> of his mother’s</w:t>
      </w:r>
      <w:r w:rsidR="00310D61" w:rsidRPr="008F285F">
        <w:rPr>
          <w:rFonts w:ascii="Cambria" w:hAnsi="Cambria"/>
          <w:sz w:val="22"/>
          <w:szCs w:val="22"/>
          <w:lang w:val="en-US"/>
        </w:rPr>
        <w:t>.</w:t>
      </w:r>
    </w:p>
    <w:p w14:paraId="199E74D4" w14:textId="69254359" w:rsidR="00935D08" w:rsidRPr="008F285F" w:rsidRDefault="00935D08" w:rsidP="000F4D41">
      <w:pPr>
        <w:pStyle w:val="ListParagraph"/>
        <w:numPr>
          <w:ilvl w:val="0"/>
          <w:numId w:val="31"/>
        </w:numPr>
        <w:jc w:val="both"/>
        <w:rPr>
          <w:rFonts w:ascii="Cambria" w:hAnsi="Cambria" w:cs="Times New Roman"/>
          <w:sz w:val="22"/>
          <w:szCs w:val="22"/>
          <w:lang w:val="en-US" w:eastAsia="en-US"/>
        </w:rPr>
      </w:pPr>
      <w:r w:rsidRPr="008F285F">
        <w:rPr>
          <w:rFonts w:ascii="Cambria" w:hAnsi="Cambria"/>
          <w:sz w:val="22"/>
          <w:szCs w:val="22"/>
          <w:lang w:val="en-US"/>
        </w:rPr>
        <w:t xml:space="preserve">(Gaudron and Gummow JJ, dissent) </w:t>
      </w:r>
      <w:r w:rsidR="00953EF1" w:rsidRPr="008F285F">
        <w:rPr>
          <w:rFonts w:ascii="Cambria" w:hAnsi="Cambria"/>
          <w:sz w:val="22"/>
          <w:szCs w:val="22"/>
          <w:lang w:val="en-US"/>
        </w:rPr>
        <w:t>The prosecution</w:t>
      </w:r>
      <w:r w:rsidRPr="008F285F">
        <w:rPr>
          <w:rFonts w:ascii="Cambria" w:hAnsi="Cambria"/>
          <w:sz w:val="22"/>
          <w:szCs w:val="22"/>
          <w:lang w:val="en-US"/>
        </w:rPr>
        <w:t xml:space="preserve"> could not negative self-defence and provocation</w:t>
      </w:r>
      <w:r w:rsidR="00534D0A" w:rsidRPr="008F285F">
        <w:rPr>
          <w:rFonts w:ascii="Cambria" w:hAnsi="Cambria"/>
          <w:sz w:val="22"/>
          <w:szCs w:val="22"/>
          <w:lang w:val="en-US"/>
        </w:rPr>
        <w:t xml:space="preserve"> for Albion</w:t>
      </w:r>
      <w:r w:rsidRPr="008F285F">
        <w:rPr>
          <w:rFonts w:ascii="Cambria" w:hAnsi="Cambria"/>
          <w:sz w:val="22"/>
          <w:szCs w:val="22"/>
          <w:lang w:val="en-US"/>
        </w:rPr>
        <w:t xml:space="preserve">. Therefore there was no basis for the jury to determine that </w:t>
      </w:r>
      <w:r w:rsidR="00933C27" w:rsidRPr="008F285F">
        <w:rPr>
          <w:rFonts w:ascii="Cambria" w:hAnsi="Cambria"/>
          <w:sz w:val="22"/>
          <w:szCs w:val="22"/>
          <w:lang w:val="en-US"/>
        </w:rPr>
        <w:t>he</w:t>
      </w:r>
      <w:r w:rsidRPr="008F285F">
        <w:rPr>
          <w:rFonts w:ascii="Cambria" w:hAnsi="Cambria"/>
          <w:sz w:val="22"/>
          <w:szCs w:val="22"/>
          <w:lang w:val="en-US"/>
        </w:rPr>
        <w:t xml:space="preserve"> was acting as part of </w:t>
      </w:r>
      <w:r w:rsidR="00773C60" w:rsidRPr="008F285F">
        <w:rPr>
          <w:rFonts w:ascii="Cambria" w:hAnsi="Cambria"/>
          <w:sz w:val="22"/>
          <w:szCs w:val="22"/>
          <w:lang w:val="en-US"/>
        </w:rPr>
        <w:t xml:space="preserve">an arrangement with his mother and </w:t>
      </w:r>
      <w:r w:rsidRPr="008F285F">
        <w:rPr>
          <w:rFonts w:ascii="Cambria" w:hAnsi="Cambria"/>
          <w:sz w:val="22"/>
          <w:szCs w:val="22"/>
          <w:lang w:val="en-US"/>
        </w:rPr>
        <w:t>no basis</w:t>
      </w:r>
      <w:r w:rsidR="0036106D" w:rsidRPr="008F285F">
        <w:rPr>
          <w:rFonts w:ascii="Cambria" w:hAnsi="Cambria"/>
          <w:sz w:val="22"/>
          <w:szCs w:val="22"/>
          <w:lang w:val="en-US"/>
        </w:rPr>
        <w:t xml:space="preserve"> on which</w:t>
      </w:r>
      <w:r w:rsidRPr="008F285F">
        <w:rPr>
          <w:rFonts w:ascii="Cambria" w:hAnsi="Cambria"/>
          <w:sz w:val="22"/>
          <w:szCs w:val="22"/>
          <w:lang w:val="en-US"/>
        </w:rPr>
        <w:t xml:space="preserve"> to convict Osland.</w:t>
      </w:r>
      <w:r w:rsidR="000F4D41" w:rsidRPr="008F285F">
        <w:rPr>
          <w:rFonts w:ascii="Cambria" w:hAnsi="Cambria" w:cs="Times New Roman"/>
          <w:sz w:val="22"/>
          <w:szCs w:val="22"/>
          <w:lang w:val="en-US" w:eastAsia="en-US"/>
        </w:rPr>
        <w:t xml:space="preserve"> </w:t>
      </w:r>
    </w:p>
    <w:p w14:paraId="06B70F25" w14:textId="5884145D" w:rsidR="00EC037A" w:rsidRPr="008F285F" w:rsidRDefault="009D2314" w:rsidP="009D2314">
      <w:pPr>
        <w:spacing w:after="0"/>
        <w:jc w:val="both"/>
        <w:rPr>
          <w:rFonts w:ascii="Cambria" w:hAnsi="Cambria" w:cs="Times New Roman"/>
          <w:sz w:val="22"/>
          <w:szCs w:val="22"/>
          <w:lang w:val="en-US" w:eastAsia="en-US"/>
        </w:rPr>
      </w:pPr>
      <w:r w:rsidRPr="008F285F">
        <w:rPr>
          <w:rFonts w:ascii="Cambria" w:hAnsi="Cambria" w:cs="Times New Roman"/>
          <w:i/>
          <w:sz w:val="22"/>
          <w:szCs w:val="22"/>
          <w:lang w:val="en-US" w:eastAsia="en-US"/>
        </w:rPr>
        <w:t>Osland</w:t>
      </w:r>
      <w:r w:rsidRPr="008F285F">
        <w:rPr>
          <w:rFonts w:ascii="Cambria" w:hAnsi="Cambria" w:cs="Times New Roman"/>
          <w:sz w:val="22"/>
          <w:szCs w:val="22"/>
          <w:lang w:val="en-US" w:eastAsia="en-US"/>
        </w:rPr>
        <w:t xml:space="preserve"> confirms that the liability of a participant in a joint criminal enterprise is not derivative – it is primary. </w:t>
      </w:r>
      <w:r w:rsidR="00171B56" w:rsidRPr="008F285F">
        <w:rPr>
          <w:rFonts w:ascii="Cambria" w:hAnsi="Cambria" w:cs="Times New Roman"/>
          <w:sz w:val="22"/>
          <w:szCs w:val="22"/>
          <w:lang w:val="en-US" w:eastAsia="en-US"/>
        </w:rPr>
        <w:t>This is a key point of distinction between the rules relating to joint criminal enterprise and the rules relating to accessorial liability</w:t>
      </w:r>
      <w:r w:rsidR="009C17FD" w:rsidRPr="008F285F">
        <w:rPr>
          <w:rFonts w:ascii="Cambria" w:hAnsi="Cambria" w:cs="Times New Roman"/>
          <w:sz w:val="22"/>
          <w:szCs w:val="22"/>
          <w:lang w:val="en-US" w:eastAsia="en-US"/>
        </w:rPr>
        <w:t xml:space="preserve">. If the case against Osland had been constructed on the basis of </w:t>
      </w:r>
      <w:r w:rsidR="009C17FD" w:rsidRPr="008F285F">
        <w:rPr>
          <w:rFonts w:ascii="Cambria" w:hAnsi="Cambria" w:cs="Times New Roman"/>
          <w:sz w:val="22"/>
          <w:szCs w:val="22"/>
          <w:lang w:val="en-US" w:eastAsia="en-US"/>
        </w:rPr>
        <w:lastRenderedPageBreak/>
        <w:t>accessorial liability, the jury’s failure to convict Albion would have rendered it impossible to convict Osland</w:t>
      </w:r>
      <w:r w:rsidR="000E2A9F" w:rsidRPr="008F285F">
        <w:rPr>
          <w:rFonts w:ascii="Cambria" w:hAnsi="Cambria" w:cs="Times New Roman"/>
          <w:sz w:val="22"/>
          <w:szCs w:val="22"/>
          <w:lang w:val="en-US" w:eastAsia="en-US"/>
        </w:rPr>
        <w:t>.</w:t>
      </w:r>
    </w:p>
    <w:p w14:paraId="371FA776" w14:textId="77777777" w:rsidR="00E85DFB" w:rsidRPr="008F285F" w:rsidRDefault="00E85DFB" w:rsidP="00B651E6">
      <w:pPr>
        <w:spacing w:after="0"/>
        <w:jc w:val="both"/>
        <w:rPr>
          <w:rFonts w:ascii="Cambria" w:hAnsi="Cambria" w:cs="Times New Roman"/>
          <w:b/>
          <w:sz w:val="22"/>
          <w:szCs w:val="22"/>
          <w:lang w:val="en-US" w:eastAsia="en-US"/>
        </w:rPr>
      </w:pPr>
    </w:p>
    <w:p w14:paraId="6703C5DA" w14:textId="69D8687A" w:rsidR="00481435" w:rsidRPr="008F285F" w:rsidRDefault="00E35ACA" w:rsidP="00B651E6">
      <w:pPr>
        <w:spacing w:after="0"/>
        <w:jc w:val="both"/>
        <w:rPr>
          <w:rFonts w:ascii="Cambria" w:hAnsi="Cambria" w:cs="Times New Roman"/>
          <w:b/>
          <w:sz w:val="22"/>
          <w:szCs w:val="22"/>
          <w:lang w:val="en-US" w:eastAsia="en-US"/>
        </w:rPr>
      </w:pPr>
      <w:r w:rsidRPr="008F285F">
        <w:rPr>
          <w:rFonts w:ascii="Cambria" w:hAnsi="Cambria" w:cs="Times New Roman"/>
          <w:b/>
          <w:sz w:val="22"/>
          <w:szCs w:val="22"/>
          <w:lang w:val="en-US" w:eastAsia="en-US"/>
        </w:rPr>
        <w:t>The presence requirement</w:t>
      </w:r>
    </w:p>
    <w:p w14:paraId="50980294" w14:textId="616E9590" w:rsidR="00732DB4" w:rsidRPr="008F285F" w:rsidRDefault="00732DB4" w:rsidP="00732DB4">
      <w:pPr>
        <w:spacing w:after="0"/>
        <w:jc w:val="both"/>
        <w:rPr>
          <w:rFonts w:ascii="Cambria" w:hAnsi="Cambria" w:cs="Times New Roman"/>
          <w:sz w:val="22"/>
          <w:szCs w:val="22"/>
          <w:lang w:eastAsia="en-US"/>
        </w:rPr>
      </w:pPr>
      <w:r w:rsidRPr="008F285F">
        <w:rPr>
          <w:rFonts w:ascii="Cambria" w:hAnsi="Cambria" w:cs="Times New Roman"/>
          <w:sz w:val="22"/>
          <w:szCs w:val="22"/>
          <w:lang w:eastAsia="en-US"/>
        </w:rPr>
        <w:t xml:space="preserve">Joint criminal enterprise requires presence at the scene (notwithstanding, per Gaudron and Gummow JJ in </w:t>
      </w:r>
      <w:r w:rsidRPr="008F285F">
        <w:rPr>
          <w:rFonts w:ascii="Cambria" w:hAnsi="Cambria" w:cs="Times New Roman"/>
          <w:i/>
          <w:sz w:val="22"/>
          <w:szCs w:val="22"/>
          <w:lang w:eastAsia="en-US"/>
        </w:rPr>
        <w:t>Osland</w:t>
      </w:r>
      <w:r w:rsidRPr="008F285F">
        <w:rPr>
          <w:rFonts w:ascii="Cambria" w:hAnsi="Cambria" w:cs="Times New Roman"/>
          <w:sz w:val="22"/>
          <w:szCs w:val="22"/>
          <w:lang w:eastAsia="en-US"/>
        </w:rPr>
        <w:t>, that this may be anomalous in principle) whereas accessorial liability does not. This has been qualified, distinguished or ignored in other cases:</w:t>
      </w:r>
    </w:p>
    <w:p w14:paraId="72A7DA2E" w14:textId="45397A88" w:rsidR="00732DB4" w:rsidRPr="008F285F" w:rsidRDefault="00732DB4" w:rsidP="00732DB4">
      <w:pPr>
        <w:pStyle w:val="ListParagraph"/>
        <w:numPr>
          <w:ilvl w:val="0"/>
          <w:numId w:val="47"/>
        </w:numPr>
        <w:spacing w:after="0"/>
        <w:jc w:val="both"/>
        <w:rPr>
          <w:rFonts w:ascii="Cambria" w:hAnsi="Cambria" w:cs="Times New Roman"/>
          <w:sz w:val="22"/>
          <w:szCs w:val="22"/>
          <w:lang w:eastAsia="en-US"/>
        </w:rPr>
      </w:pPr>
      <w:r w:rsidRPr="008F285F">
        <w:rPr>
          <w:rFonts w:ascii="Cambria" w:hAnsi="Cambria" w:cs="Times New Roman"/>
          <w:sz w:val="22"/>
          <w:szCs w:val="22"/>
          <w:lang w:eastAsia="en-US"/>
        </w:rPr>
        <w:t>Presence does not have to be continuous (</w:t>
      </w:r>
      <w:r w:rsidRPr="008F285F">
        <w:rPr>
          <w:rFonts w:ascii="Cambria" w:hAnsi="Cambria" w:cs="Times New Roman"/>
          <w:i/>
          <w:sz w:val="22"/>
          <w:szCs w:val="22"/>
          <w:lang w:eastAsia="en-US"/>
        </w:rPr>
        <w:t>Franklin</w:t>
      </w:r>
      <w:r w:rsidRPr="008F285F">
        <w:rPr>
          <w:rFonts w:ascii="Cambria" w:hAnsi="Cambria" w:cs="Times New Roman"/>
          <w:sz w:val="22"/>
          <w:szCs w:val="22"/>
          <w:lang w:eastAsia="en-US"/>
        </w:rPr>
        <w:t>)</w:t>
      </w:r>
    </w:p>
    <w:p w14:paraId="14A3AC21" w14:textId="77777777" w:rsidR="00732DB4" w:rsidRPr="008F285F" w:rsidRDefault="00732DB4" w:rsidP="00732DB4">
      <w:pPr>
        <w:pStyle w:val="ListParagraph"/>
        <w:numPr>
          <w:ilvl w:val="0"/>
          <w:numId w:val="47"/>
        </w:numPr>
        <w:spacing w:after="0"/>
        <w:jc w:val="both"/>
        <w:rPr>
          <w:rFonts w:ascii="Cambria" w:hAnsi="Cambria" w:cs="Times New Roman"/>
          <w:sz w:val="22"/>
          <w:szCs w:val="22"/>
          <w:lang w:eastAsia="en-US"/>
        </w:rPr>
      </w:pPr>
      <w:r w:rsidRPr="008F285F">
        <w:rPr>
          <w:rFonts w:ascii="Cambria" w:hAnsi="Cambria" w:cs="Times New Roman"/>
          <w:sz w:val="22"/>
          <w:szCs w:val="22"/>
          <w:lang w:eastAsia="en-US"/>
        </w:rPr>
        <w:t xml:space="preserve">In </w:t>
      </w:r>
      <w:r w:rsidRPr="008F285F">
        <w:rPr>
          <w:rFonts w:ascii="Cambria" w:hAnsi="Cambria" w:cs="Times New Roman"/>
          <w:i/>
          <w:sz w:val="22"/>
          <w:szCs w:val="22"/>
          <w:lang w:eastAsia="en-US"/>
        </w:rPr>
        <w:t>Sutseski</w:t>
      </w:r>
      <w:r w:rsidRPr="008F285F">
        <w:rPr>
          <w:rFonts w:ascii="Cambria" w:hAnsi="Cambria" w:cs="Times New Roman"/>
          <w:sz w:val="22"/>
          <w:szCs w:val="22"/>
          <w:lang w:eastAsia="en-US"/>
        </w:rPr>
        <w:t xml:space="preserve">, there was an implicit interpretation that presence at the time of the agreement would suffice, contradicting the holding in </w:t>
      </w:r>
      <w:r w:rsidRPr="008F285F">
        <w:rPr>
          <w:rFonts w:ascii="Cambria" w:hAnsi="Cambria" w:cs="Times New Roman"/>
          <w:i/>
          <w:sz w:val="22"/>
          <w:szCs w:val="22"/>
          <w:lang w:eastAsia="en-US"/>
        </w:rPr>
        <w:t>Osland</w:t>
      </w:r>
      <w:r w:rsidRPr="008F285F">
        <w:rPr>
          <w:rFonts w:ascii="Cambria" w:hAnsi="Cambria" w:cs="Times New Roman"/>
          <w:sz w:val="22"/>
          <w:szCs w:val="22"/>
          <w:lang w:eastAsia="en-US"/>
        </w:rPr>
        <w:t xml:space="preserve"> that presence at the time of the commission of the offence was required</w:t>
      </w:r>
    </w:p>
    <w:p w14:paraId="1F77DD38" w14:textId="2E684F03" w:rsidR="00743F91" w:rsidRDefault="00732DB4" w:rsidP="008F285F">
      <w:pPr>
        <w:pStyle w:val="ListParagraph"/>
        <w:numPr>
          <w:ilvl w:val="0"/>
          <w:numId w:val="47"/>
        </w:numPr>
        <w:spacing w:after="0"/>
        <w:jc w:val="both"/>
        <w:rPr>
          <w:rFonts w:ascii="Cambria" w:hAnsi="Cambria" w:cs="Times New Roman"/>
          <w:sz w:val="22"/>
          <w:szCs w:val="22"/>
          <w:lang w:eastAsia="en-US"/>
        </w:rPr>
      </w:pPr>
      <w:r w:rsidRPr="008F285F">
        <w:rPr>
          <w:rFonts w:ascii="Cambria" w:hAnsi="Cambria" w:cs="Times New Roman"/>
          <w:sz w:val="22"/>
          <w:szCs w:val="22"/>
          <w:lang w:eastAsia="en-US"/>
        </w:rPr>
        <w:t xml:space="preserve">In </w:t>
      </w:r>
      <w:r w:rsidRPr="008F285F">
        <w:rPr>
          <w:rFonts w:ascii="Cambria" w:hAnsi="Cambria" w:cs="Times New Roman"/>
          <w:i/>
          <w:sz w:val="22"/>
          <w:szCs w:val="22"/>
          <w:lang w:eastAsia="en-US"/>
        </w:rPr>
        <w:t>Prochilo</w:t>
      </w:r>
      <w:r w:rsidRPr="008F285F">
        <w:rPr>
          <w:rFonts w:ascii="Cambria" w:hAnsi="Cambria" w:cs="Times New Roman"/>
          <w:sz w:val="22"/>
          <w:szCs w:val="22"/>
          <w:lang w:eastAsia="en-US"/>
        </w:rPr>
        <w:t>, it was held that presence at the scene of drug supply was one way of proving participation in joint criminal enterprise but that participation could be proved by telephone intercept tapes and listening device tapes</w:t>
      </w:r>
    </w:p>
    <w:p w14:paraId="72AC015A" w14:textId="77777777" w:rsidR="008F285F" w:rsidRPr="008F285F" w:rsidRDefault="008F285F" w:rsidP="008F285F">
      <w:pPr>
        <w:pStyle w:val="ListParagraph"/>
        <w:spacing w:after="0"/>
        <w:jc w:val="both"/>
        <w:rPr>
          <w:rFonts w:ascii="Cambria" w:hAnsi="Cambria" w:cs="Times New Roman"/>
          <w:sz w:val="22"/>
          <w:szCs w:val="22"/>
          <w:lang w:eastAsia="en-US"/>
        </w:rPr>
      </w:pPr>
    </w:p>
    <w:p w14:paraId="39D920A4" w14:textId="77777777" w:rsidR="00D25D2A" w:rsidRPr="008F285F" w:rsidRDefault="00732DB4" w:rsidP="00BD7B83">
      <w:pPr>
        <w:spacing w:after="0"/>
        <w:jc w:val="both"/>
        <w:rPr>
          <w:rFonts w:ascii="Cambria" w:hAnsi="Cambria" w:cs="Times New Roman"/>
          <w:b/>
          <w:sz w:val="22"/>
          <w:szCs w:val="22"/>
          <w:lang w:val="en-US" w:eastAsia="en-US"/>
        </w:rPr>
      </w:pPr>
      <w:r w:rsidRPr="008F285F">
        <w:rPr>
          <w:rFonts w:ascii="Cambria" w:hAnsi="Cambria" w:cs="Times New Roman"/>
          <w:b/>
          <w:sz w:val="22"/>
          <w:szCs w:val="22"/>
          <w:lang w:val="en-US" w:eastAsia="en-US"/>
        </w:rPr>
        <w:t>Proving agreement</w:t>
      </w:r>
    </w:p>
    <w:p w14:paraId="682EAC0C" w14:textId="59C60E2A" w:rsidR="00BD7B83" w:rsidRPr="008F285F" w:rsidRDefault="00BD7B83" w:rsidP="00BD7B83">
      <w:pPr>
        <w:spacing w:after="0"/>
        <w:jc w:val="both"/>
        <w:rPr>
          <w:rFonts w:ascii="Cambria" w:hAnsi="Cambria" w:cs="Times New Roman"/>
          <w:b/>
          <w:sz w:val="22"/>
          <w:szCs w:val="22"/>
          <w:lang w:val="en-US" w:eastAsia="en-US"/>
        </w:rPr>
      </w:pPr>
      <w:r w:rsidRPr="008F285F">
        <w:rPr>
          <w:rFonts w:ascii="Cambria" w:hAnsi="Cambria" w:cs="Times New Roman"/>
          <w:sz w:val="22"/>
          <w:szCs w:val="22"/>
          <w:lang w:eastAsia="en-US"/>
        </w:rPr>
        <w:t>In the case of conspiracy, the agreement to commit a crime or other unlawful act is itself the crime. In the case on joint criminal enterprise, the agreement extends liability to all parties to the agreement, irrespective of which of them complete the conduct elements of the offence</w:t>
      </w:r>
      <w:r w:rsidR="000D50C3" w:rsidRPr="008F285F">
        <w:rPr>
          <w:rFonts w:ascii="Cambria" w:hAnsi="Cambria" w:cs="Times New Roman"/>
          <w:sz w:val="22"/>
          <w:szCs w:val="22"/>
          <w:lang w:eastAsia="en-US"/>
        </w:rPr>
        <w:t xml:space="preserve">. </w:t>
      </w:r>
      <w:r w:rsidRPr="008F285F">
        <w:rPr>
          <w:rFonts w:ascii="Cambria" w:hAnsi="Cambria" w:cs="Times New Roman"/>
          <w:sz w:val="22"/>
          <w:szCs w:val="22"/>
          <w:lang w:eastAsia="en-US"/>
        </w:rPr>
        <w:t>The agreement threshold may be lower for a joint criminal enterprise, in that it could include ‘an unspoken understanding or arrangement amounting to an agreement’ (</w:t>
      </w:r>
      <w:r w:rsidRPr="008F285F">
        <w:rPr>
          <w:rFonts w:ascii="Cambria" w:hAnsi="Cambria" w:cs="Times New Roman"/>
          <w:i/>
          <w:sz w:val="22"/>
          <w:szCs w:val="22"/>
          <w:lang w:eastAsia="en-US"/>
        </w:rPr>
        <w:t>Tangye</w:t>
      </w:r>
      <w:r w:rsidRPr="008F285F">
        <w:rPr>
          <w:rFonts w:ascii="Cambria" w:hAnsi="Cambria" w:cs="Times New Roman"/>
          <w:sz w:val="22"/>
          <w:szCs w:val="22"/>
          <w:lang w:eastAsia="en-US"/>
        </w:rPr>
        <w:t xml:space="preserve"> affirmed in </w:t>
      </w:r>
      <w:r w:rsidRPr="008F285F">
        <w:rPr>
          <w:rFonts w:ascii="Cambria" w:hAnsi="Cambria" w:cs="Times New Roman"/>
          <w:i/>
          <w:sz w:val="22"/>
          <w:szCs w:val="22"/>
          <w:lang w:eastAsia="en-US"/>
        </w:rPr>
        <w:t>Kanaan</w:t>
      </w:r>
      <w:r w:rsidRPr="008F285F">
        <w:rPr>
          <w:rFonts w:ascii="Cambria" w:hAnsi="Cambria" w:cs="Times New Roman"/>
          <w:sz w:val="22"/>
          <w:szCs w:val="22"/>
          <w:lang w:eastAsia="en-US"/>
        </w:rPr>
        <w:t>)</w:t>
      </w:r>
    </w:p>
    <w:p w14:paraId="4C3AD864" w14:textId="77777777" w:rsidR="00FB2CD6" w:rsidRPr="008F285F" w:rsidRDefault="00FB2CD6" w:rsidP="00FB2CD6">
      <w:pPr>
        <w:spacing w:after="0"/>
        <w:jc w:val="both"/>
        <w:rPr>
          <w:rFonts w:ascii="Cambria" w:hAnsi="Cambria" w:cs="Times New Roman"/>
          <w:sz w:val="22"/>
          <w:szCs w:val="22"/>
          <w:lang w:eastAsia="en-US"/>
        </w:rPr>
      </w:pPr>
    </w:p>
    <w:p w14:paraId="3626BC99" w14:textId="1847A4ED" w:rsidR="00BD7B83" w:rsidRPr="008F285F" w:rsidRDefault="00BD7B83" w:rsidP="00FB2CD6">
      <w:pPr>
        <w:spacing w:after="0"/>
        <w:jc w:val="both"/>
        <w:rPr>
          <w:rFonts w:ascii="Cambria" w:hAnsi="Cambria" w:cs="Times New Roman"/>
          <w:sz w:val="22"/>
          <w:szCs w:val="22"/>
          <w:lang w:eastAsia="en-US"/>
        </w:rPr>
      </w:pPr>
      <w:r w:rsidRPr="008F285F">
        <w:rPr>
          <w:rFonts w:ascii="Cambria" w:hAnsi="Cambria" w:cs="Times New Roman"/>
          <w:sz w:val="22"/>
          <w:szCs w:val="22"/>
          <w:lang w:eastAsia="en-US"/>
        </w:rPr>
        <w:t>However there still needs to be ‘mutuality of assistance’ as opposed to a mere ‘common intention’ (</w:t>
      </w:r>
      <w:r w:rsidRPr="008F285F">
        <w:rPr>
          <w:rFonts w:ascii="Cambria" w:hAnsi="Cambria" w:cs="Times New Roman"/>
          <w:i/>
          <w:sz w:val="22"/>
          <w:szCs w:val="22"/>
          <w:lang w:eastAsia="en-US"/>
        </w:rPr>
        <w:t>Taufahema</w:t>
      </w:r>
      <w:r w:rsidRPr="008F285F">
        <w:rPr>
          <w:rFonts w:ascii="Cambria" w:hAnsi="Cambria" w:cs="Times New Roman"/>
          <w:sz w:val="22"/>
          <w:szCs w:val="22"/>
          <w:lang w:eastAsia="en-US"/>
        </w:rPr>
        <w:t>)</w:t>
      </w:r>
      <w:r w:rsidR="000D50C3" w:rsidRPr="008F285F">
        <w:rPr>
          <w:rFonts w:ascii="Cambria" w:hAnsi="Cambria" w:cs="Times New Roman"/>
          <w:sz w:val="22"/>
          <w:szCs w:val="22"/>
          <w:lang w:eastAsia="en-US"/>
        </w:rPr>
        <w:t xml:space="preserve">. </w:t>
      </w:r>
      <w:r w:rsidRPr="008F285F">
        <w:rPr>
          <w:rFonts w:ascii="Cambria" w:hAnsi="Cambria" w:cs="Times New Roman"/>
          <w:sz w:val="22"/>
          <w:szCs w:val="22"/>
          <w:lang w:eastAsia="en-US"/>
        </w:rPr>
        <w:t xml:space="preserve">In </w:t>
      </w:r>
      <w:r w:rsidRPr="008F285F">
        <w:rPr>
          <w:rFonts w:ascii="Cambria" w:hAnsi="Cambria" w:cs="Times New Roman"/>
          <w:i/>
          <w:sz w:val="22"/>
          <w:szCs w:val="22"/>
          <w:lang w:eastAsia="en-US"/>
        </w:rPr>
        <w:t>Chishimba</w:t>
      </w:r>
      <w:r w:rsidRPr="008F285F">
        <w:rPr>
          <w:rFonts w:ascii="Cambria" w:hAnsi="Cambria" w:cs="Times New Roman"/>
          <w:sz w:val="22"/>
          <w:szCs w:val="22"/>
          <w:lang w:eastAsia="en-US"/>
        </w:rPr>
        <w:t>, three men were convicted of sexually assaulting a drunk 15 year old girl</w:t>
      </w:r>
      <w:r w:rsidR="00765D5E" w:rsidRPr="008F285F">
        <w:rPr>
          <w:rFonts w:ascii="Cambria" w:hAnsi="Cambria" w:cs="Times New Roman"/>
          <w:sz w:val="22"/>
          <w:szCs w:val="22"/>
          <w:lang w:eastAsia="en-US"/>
        </w:rPr>
        <w:t xml:space="preserve"> who had passed out on a bed</w:t>
      </w:r>
      <w:r w:rsidRPr="008F285F">
        <w:rPr>
          <w:rFonts w:ascii="Cambria" w:hAnsi="Cambria" w:cs="Times New Roman"/>
          <w:sz w:val="22"/>
          <w:szCs w:val="22"/>
          <w:lang w:eastAsia="en-US"/>
        </w:rPr>
        <w:t>. Macfarlan</w:t>
      </w:r>
      <w:r w:rsidR="000D50C3" w:rsidRPr="008F285F">
        <w:rPr>
          <w:rFonts w:ascii="Cambria" w:hAnsi="Cambria" w:cs="Times New Roman"/>
          <w:sz w:val="22"/>
          <w:szCs w:val="22"/>
          <w:lang w:eastAsia="en-US"/>
        </w:rPr>
        <w:t>e</w:t>
      </w:r>
      <w:r w:rsidRPr="008F285F">
        <w:rPr>
          <w:rFonts w:ascii="Cambria" w:hAnsi="Cambria" w:cs="Times New Roman"/>
          <w:sz w:val="22"/>
          <w:szCs w:val="22"/>
          <w:lang w:eastAsia="en-US"/>
        </w:rPr>
        <w:t xml:space="preserve"> JA ruled that the fact that the appellants were present in the bedroom when sexual intercourse took place did not, of itself, amount to encouragement for the purpose of establishing a joint criminal enterprise. Encouragement of sexual intercourse with the complainant was not proved beyond reasonable doubt and the </w:t>
      </w:r>
      <w:r w:rsidR="004F318F" w:rsidRPr="008F285F">
        <w:rPr>
          <w:rFonts w:ascii="Cambria" w:hAnsi="Cambria" w:cs="Times New Roman"/>
          <w:sz w:val="22"/>
          <w:szCs w:val="22"/>
          <w:lang w:eastAsia="en-US"/>
        </w:rPr>
        <w:t>conviction was</w:t>
      </w:r>
      <w:r w:rsidRPr="008F285F">
        <w:rPr>
          <w:rFonts w:ascii="Cambria" w:hAnsi="Cambria" w:cs="Times New Roman"/>
          <w:sz w:val="22"/>
          <w:szCs w:val="22"/>
          <w:lang w:eastAsia="en-US"/>
        </w:rPr>
        <w:t xml:space="preserve"> quashed.</w:t>
      </w:r>
    </w:p>
    <w:p w14:paraId="1F012570" w14:textId="77777777" w:rsidR="00B34793" w:rsidRPr="008F285F" w:rsidRDefault="00B34793" w:rsidP="00FB2CD6">
      <w:pPr>
        <w:spacing w:after="0"/>
        <w:jc w:val="both"/>
        <w:rPr>
          <w:rFonts w:ascii="Cambria" w:hAnsi="Cambria" w:cs="Times New Roman"/>
          <w:sz w:val="22"/>
          <w:szCs w:val="22"/>
          <w:lang w:eastAsia="en-US"/>
        </w:rPr>
      </w:pPr>
    </w:p>
    <w:p w14:paraId="54A7FDFA" w14:textId="63E8E644" w:rsidR="00407925" w:rsidRPr="008F285F" w:rsidRDefault="00951ED0" w:rsidP="00B651E6">
      <w:pPr>
        <w:spacing w:after="0"/>
        <w:jc w:val="both"/>
        <w:rPr>
          <w:rFonts w:ascii="Cambria" w:hAnsi="Cambria" w:cs="Times New Roman"/>
          <w:b/>
          <w:sz w:val="22"/>
          <w:szCs w:val="22"/>
          <w:lang w:val="en-US" w:eastAsia="en-US"/>
        </w:rPr>
      </w:pPr>
      <w:r w:rsidRPr="008F285F">
        <w:rPr>
          <w:rFonts w:ascii="Cambria" w:hAnsi="Cambria" w:cs="Times New Roman"/>
          <w:b/>
          <w:sz w:val="22"/>
          <w:szCs w:val="22"/>
          <w:lang w:val="en-US" w:eastAsia="en-US"/>
        </w:rPr>
        <w:t>Withdrawal from a joint criminal enterprise</w:t>
      </w:r>
    </w:p>
    <w:p w14:paraId="237CA387" w14:textId="5B026608" w:rsidR="00951ED0" w:rsidRPr="008F285F" w:rsidRDefault="00951ED0" w:rsidP="00951ED0">
      <w:pPr>
        <w:spacing w:after="0"/>
        <w:jc w:val="both"/>
        <w:rPr>
          <w:rFonts w:ascii="Cambria" w:hAnsi="Cambria" w:cs="Times New Roman"/>
          <w:sz w:val="22"/>
          <w:szCs w:val="22"/>
          <w:lang w:val="en-US" w:eastAsia="en-US"/>
        </w:rPr>
      </w:pPr>
      <w:r w:rsidRPr="008F285F">
        <w:rPr>
          <w:rFonts w:ascii="Cambria" w:hAnsi="Cambria" w:cs="Times New Roman"/>
          <w:sz w:val="22"/>
          <w:szCs w:val="22"/>
          <w:lang w:val="en-US" w:eastAsia="en-US"/>
        </w:rPr>
        <w:t>A withdrawal from a criminal enterprise requires ‘timely communication’ and the taking of reasonable steps to prevent the commission of the crime (</w:t>
      </w:r>
      <w:r w:rsidRPr="008F285F">
        <w:rPr>
          <w:rFonts w:ascii="Cambria" w:hAnsi="Cambria" w:cs="Times New Roman"/>
          <w:i/>
          <w:sz w:val="22"/>
          <w:szCs w:val="22"/>
          <w:lang w:val="en-US" w:eastAsia="en-US"/>
        </w:rPr>
        <w:t>White v Ridley</w:t>
      </w:r>
      <w:r w:rsidRPr="008F285F">
        <w:rPr>
          <w:rFonts w:ascii="Cambria" w:hAnsi="Cambria" w:cs="Times New Roman"/>
          <w:sz w:val="22"/>
          <w:szCs w:val="22"/>
          <w:lang w:val="en-US" w:eastAsia="en-US"/>
        </w:rPr>
        <w:t>). What is required to break the chain of causation and responsibility will depend upon the circumstances of each case. If, after communicating their withdrawal to the other participants, the accused honestly believes that they will not go ahead with the crime, no further ‘preventative steps’ will be required (</w:t>
      </w:r>
      <w:r w:rsidRPr="008F285F">
        <w:rPr>
          <w:rFonts w:ascii="Cambria" w:hAnsi="Cambria" w:cs="Times New Roman"/>
          <w:i/>
          <w:sz w:val="22"/>
          <w:szCs w:val="22"/>
          <w:lang w:val="en-US" w:eastAsia="en-US"/>
        </w:rPr>
        <w:t>Truong</w:t>
      </w:r>
      <w:r w:rsidRPr="008F285F">
        <w:rPr>
          <w:rFonts w:ascii="Cambria" w:hAnsi="Cambria" w:cs="Times New Roman"/>
          <w:sz w:val="22"/>
          <w:szCs w:val="22"/>
          <w:lang w:val="en-US" w:eastAsia="en-US"/>
        </w:rPr>
        <w:t xml:space="preserve">). </w:t>
      </w:r>
    </w:p>
    <w:p w14:paraId="3DC9D3EA" w14:textId="77777777" w:rsidR="00951ED0" w:rsidRPr="008F285F" w:rsidRDefault="00951ED0" w:rsidP="00655DC4">
      <w:pPr>
        <w:spacing w:after="0"/>
        <w:jc w:val="both"/>
        <w:rPr>
          <w:rFonts w:ascii="Cambria" w:hAnsi="Cambria" w:cs="Times New Roman"/>
          <w:b/>
          <w:sz w:val="22"/>
          <w:szCs w:val="22"/>
          <w:lang w:val="en-US" w:eastAsia="en-US"/>
        </w:rPr>
      </w:pPr>
    </w:p>
    <w:p w14:paraId="7A2EE516" w14:textId="44DD9DA6" w:rsidR="00493CC4" w:rsidRPr="008F285F" w:rsidRDefault="000B5EA9" w:rsidP="00240396">
      <w:pPr>
        <w:spacing w:after="100"/>
        <w:jc w:val="center"/>
        <w:rPr>
          <w:rFonts w:ascii="Cambria" w:hAnsi="Cambria" w:cs="Times New Roman"/>
          <w:b/>
          <w:sz w:val="22"/>
          <w:szCs w:val="22"/>
          <w:lang w:val="en-US" w:eastAsia="en-US"/>
        </w:rPr>
      </w:pPr>
      <w:r w:rsidRPr="008F285F">
        <w:rPr>
          <w:rFonts w:ascii="Cambria" w:hAnsi="Cambria" w:cs="Times New Roman"/>
          <w:b/>
          <w:sz w:val="22"/>
          <w:szCs w:val="22"/>
          <w:lang w:val="en-US" w:eastAsia="en-US"/>
        </w:rPr>
        <w:t xml:space="preserve">11.2.3 </w:t>
      </w:r>
      <w:r w:rsidR="00493CC4" w:rsidRPr="008F285F">
        <w:rPr>
          <w:rFonts w:ascii="Cambria" w:hAnsi="Cambria" w:cs="Times New Roman"/>
          <w:b/>
          <w:sz w:val="22"/>
          <w:szCs w:val="22"/>
          <w:lang w:val="en-US" w:eastAsia="en-US"/>
        </w:rPr>
        <w:t>Extended joint criminal enterprise</w:t>
      </w:r>
    </w:p>
    <w:p w14:paraId="4328C464" w14:textId="337C6A2B" w:rsidR="00655DC4" w:rsidRPr="008F285F" w:rsidRDefault="006B11C5" w:rsidP="00240396">
      <w:pPr>
        <w:spacing w:after="100"/>
        <w:jc w:val="both"/>
        <w:rPr>
          <w:rFonts w:ascii="Cambria" w:hAnsi="Cambria" w:cs="Times"/>
          <w:color w:val="38312B"/>
          <w:sz w:val="22"/>
          <w:szCs w:val="22"/>
        </w:rPr>
      </w:pPr>
      <w:r w:rsidRPr="008F285F">
        <w:rPr>
          <w:rFonts w:ascii="Cambria" w:hAnsi="Cambria"/>
          <w:color w:val="473F38"/>
          <w:sz w:val="22"/>
          <w:szCs w:val="22"/>
        </w:rPr>
        <w:t xml:space="preserve">Extended joint criminal enterprise </w:t>
      </w:r>
      <w:r w:rsidR="00A419DA" w:rsidRPr="008F285F">
        <w:rPr>
          <w:rFonts w:ascii="Cambria" w:hAnsi="Cambria"/>
          <w:color w:val="473F38"/>
          <w:sz w:val="22"/>
          <w:szCs w:val="22"/>
        </w:rPr>
        <w:t>is relevant</w:t>
      </w:r>
      <w:r w:rsidRPr="008F285F">
        <w:rPr>
          <w:rFonts w:ascii="Cambria" w:hAnsi="Cambria"/>
          <w:color w:val="473F38"/>
          <w:sz w:val="22"/>
          <w:szCs w:val="22"/>
        </w:rPr>
        <w:t xml:space="preserve"> when a participant commits another crime beyond that which was originally contemplated.</w:t>
      </w:r>
      <w:r w:rsidR="00BE21B4" w:rsidRPr="008F285F">
        <w:rPr>
          <w:rFonts w:ascii="Cambria" w:hAnsi="Cambria" w:cs="Times"/>
          <w:color w:val="38312B"/>
          <w:sz w:val="22"/>
          <w:szCs w:val="22"/>
        </w:rPr>
        <w:t xml:space="preserve"> </w:t>
      </w:r>
    </w:p>
    <w:p w14:paraId="59554B7F" w14:textId="4173F06E" w:rsidR="008274F5" w:rsidRPr="008F285F" w:rsidRDefault="008274F5" w:rsidP="008274F5">
      <w:pPr>
        <w:spacing w:after="0"/>
        <w:jc w:val="center"/>
        <w:rPr>
          <w:rFonts w:ascii="Cambria" w:hAnsi="Cambria" w:cs="Times New Roman"/>
          <w:sz w:val="22"/>
          <w:szCs w:val="22"/>
          <w:lang w:val="en-US" w:eastAsia="en-US"/>
        </w:rPr>
      </w:pPr>
      <w:r w:rsidRPr="008F285F">
        <w:rPr>
          <w:rFonts w:ascii="Cambria" w:hAnsi="Cambria" w:cs="Times New Roman"/>
          <w:i/>
          <w:sz w:val="22"/>
          <w:szCs w:val="22"/>
          <w:lang w:val="en-US" w:eastAsia="en-US"/>
        </w:rPr>
        <w:t xml:space="preserve">McAuliffe and McAuliffe </w:t>
      </w:r>
      <w:r w:rsidRPr="008F285F">
        <w:rPr>
          <w:rFonts w:ascii="Cambria" w:hAnsi="Cambria" w:cs="Times New Roman"/>
          <w:sz w:val="22"/>
          <w:szCs w:val="22"/>
          <w:lang w:val="en-US" w:eastAsia="en-US"/>
        </w:rPr>
        <w:t>(1995) 130 ALR 26</w:t>
      </w:r>
    </w:p>
    <w:p w14:paraId="383E3F53" w14:textId="77777777" w:rsidR="008274F5" w:rsidRPr="008F285F" w:rsidRDefault="008274F5" w:rsidP="008274F5">
      <w:pPr>
        <w:spacing w:after="0"/>
        <w:jc w:val="both"/>
        <w:rPr>
          <w:rFonts w:ascii="Cambria" w:hAnsi="Cambria" w:cs="Times New Roman"/>
          <w:b/>
          <w:sz w:val="22"/>
          <w:szCs w:val="22"/>
          <w:lang w:val="en-US" w:eastAsia="en-US"/>
        </w:rPr>
      </w:pPr>
      <w:r w:rsidRPr="008F285F">
        <w:rPr>
          <w:rFonts w:ascii="Cambria" w:hAnsi="Cambria" w:cs="Times New Roman"/>
          <w:b/>
          <w:sz w:val="22"/>
          <w:szCs w:val="22"/>
          <w:lang w:val="en-US" w:eastAsia="en-US"/>
        </w:rPr>
        <w:t>Facts</w:t>
      </w:r>
    </w:p>
    <w:p w14:paraId="306AECB7" w14:textId="70137191" w:rsidR="008274F5" w:rsidRPr="008F285F" w:rsidRDefault="008274F5" w:rsidP="008274F5">
      <w:pPr>
        <w:spacing w:after="0"/>
        <w:jc w:val="both"/>
        <w:rPr>
          <w:rFonts w:ascii="Cambria" w:hAnsi="Cambria" w:cs="Times New Roman"/>
          <w:sz w:val="22"/>
          <w:szCs w:val="22"/>
          <w:lang w:val="en-US" w:eastAsia="en-US"/>
        </w:rPr>
      </w:pPr>
      <w:r w:rsidRPr="008F285F">
        <w:rPr>
          <w:rFonts w:ascii="Cambria" w:hAnsi="Cambria" w:cs="Times New Roman"/>
          <w:sz w:val="22"/>
          <w:szCs w:val="22"/>
          <w:lang w:val="en-US" w:eastAsia="en-US"/>
        </w:rPr>
        <w:t xml:space="preserve">Sean McAuliffe, David McAuliffe and Matthew Davis armed themselves and went to a park near Bondi Beach to ‘roll’ or ‘rob’ or ‘bash’ someone. When the three youths arrived, they saw two men, who were the deceased and Mr Sullivan. They assaulted all three men and eventually, Sean McAuliffe kicked the deceased in the chest, causing him to fall from the footpath into a puddle on the rocks below. </w:t>
      </w:r>
      <w:r w:rsidR="00A65740" w:rsidRPr="008F285F">
        <w:rPr>
          <w:rFonts w:ascii="Cambria" w:hAnsi="Cambria" w:cs="Times New Roman"/>
          <w:sz w:val="22"/>
          <w:szCs w:val="22"/>
          <w:lang w:val="en-US" w:eastAsia="en-US"/>
        </w:rPr>
        <w:t>The</w:t>
      </w:r>
      <w:r w:rsidR="0053739D" w:rsidRPr="008F285F">
        <w:rPr>
          <w:rFonts w:ascii="Cambria" w:hAnsi="Cambria" w:cs="Times New Roman"/>
          <w:sz w:val="22"/>
          <w:szCs w:val="22"/>
          <w:lang w:val="en-US" w:eastAsia="en-US"/>
        </w:rPr>
        <w:t xml:space="preserve"> d</w:t>
      </w:r>
      <w:r w:rsidRPr="008F285F">
        <w:rPr>
          <w:rFonts w:ascii="Cambria" w:hAnsi="Cambria" w:cs="Times New Roman"/>
          <w:sz w:val="22"/>
          <w:szCs w:val="22"/>
          <w:lang w:val="en-US" w:eastAsia="en-US"/>
        </w:rPr>
        <w:t>efendants argued that the intention of the McAuliffe brothers was to assault but</w:t>
      </w:r>
      <w:r w:rsidR="003151CA" w:rsidRPr="008F285F">
        <w:rPr>
          <w:rFonts w:ascii="Cambria" w:hAnsi="Cambria" w:cs="Times New Roman"/>
          <w:sz w:val="22"/>
          <w:szCs w:val="22"/>
          <w:lang w:val="en-US" w:eastAsia="en-US"/>
        </w:rPr>
        <w:t xml:space="preserve"> not cause grievous bodily harm and</w:t>
      </w:r>
      <w:r w:rsidRPr="008F285F">
        <w:rPr>
          <w:rFonts w:ascii="Cambria" w:hAnsi="Cambria" w:cs="Times New Roman"/>
          <w:sz w:val="22"/>
          <w:szCs w:val="22"/>
          <w:lang w:val="en-US" w:eastAsia="en-US"/>
        </w:rPr>
        <w:t xml:space="preserve"> therefore</w:t>
      </w:r>
      <w:r w:rsidR="003151CA" w:rsidRPr="008F285F">
        <w:rPr>
          <w:rFonts w:ascii="Cambria" w:hAnsi="Cambria" w:cs="Times New Roman"/>
          <w:sz w:val="22"/>
          <w:szCs w:val="22"/>
          <w:lang w:val="en-US" w:eastAsia="en-US"/>
        </w:rPr>
        <w:t>,</w:t>
      </w:r>
      <w:r w:rsidRPr="008F285F">
        <w:rPr>
          <w:rFonts w:ascii="Cambria" w:hAnsi="Cambria" w:cs="Times New Roman"/>
          <w:sz w:val="22"/>
          <w:szCs w:val="22"/>
          <w:lang w:val="en-US" w:eastAsia="en-US"/>
        </w:rPr>
        <w:t xml:space="preserve"> they were not guilty of murder</w:t>
      </w:r>
    </w:p>
    <w:p w14:paraId="4EE088E2" w14:textId="77777777" w:rsidR="008274F5" w:rsidRPr="008F285F" w:rsidRDefault="008274F5" w:rsidP="008274F5">
      <w:pPr>
        <w:spacing w:after="0"/>
        <w:jc w:val="both"/>
        <w:rPr>
          <w:rFonts w:ascii="Cambria" w:hAnsi="Cambria" w:cs="Times New Roman"/>
          <w:b/>
          <w:sz w:val="22"/>
          <w:szCs w:val="22"/>
          <w:lang w:val="en-US" w:eastAsia="en-US"/>
        </w:rPr>
      </w:pPr>
      <w:r w:rsidRPr="008F285F">
        <w:rPr>
          <w:rFonts w:ascii="Cambria" w:hAnsi="Cambria" w:cs="Times New Roman"/>
          <w:b/>
          <w:sz w:val="22"/>
          <w:szCs w:val="22"/>
          <w:lang w:val="en-US" w:eastAsia="en-US"/>
        </w:rPr>
        <w:t>Holding</w:t>
      </w:r>
    </w:p>
    <w:p w14:paraId="16F0129B" w14:textId="4751026B" w:rsidR="008274F5" w:rsidRPr="008F285F" w:rsidRDefault="001A494E" w:rsidP="008274F5">
      <w:pPr>
        <w:spacing w:after="0"/>
        <w:jc w:val="both"/>
        <w:rPr>
          <w:rFonts w:ascii="Cambria" w:hAnsi="Cambria" w:cs="Times New Roman"/>
          <w:sz w:val="22"/>
          <w:szCs w:val="22"/>
          <w:lang w:val="en-US" w:eastAsia="en-US"/>
        </w:rPr>
      </w:pPr>
      <w:r w:rsidRPr="008F285F">
        <w:rPr>
          <w:rFonts w:ascii="Cambria" w:hAnsi="Cambria" w:cs="Times New Roman"/>
          <w:sz w:val="22"/>
          <w:szCs w:val="22"/>
          <w:lang w:val="en-US" w:eastAsia="en-US"/>
        </w:rPr>
        <w:t>The trial judge was correct – the contemplation of the intentional infliction of grievous bodily harm as a possible incident of the venture would be a sufficient intention to establish murder</w:t>
      </w:r>
    </w:p>
    <w:p w14:paraId="1306893F" w14:textId="77777777" w:rsidR="008274F5" w:rsidRPr="008F285F" w:rsidRDefault="008274F5" w:rsidP="008274F5">
      <w:pPr>
        <w:spacing w:after="0"/>
        <w:jc w:val="both"/>
        <w:rPr>
          <w:rFonts w:ascii="Cambria" w:hAnsi="Cambria" w:cs="Times New Roman"/>
          <w:b/>
          <w:sz w:val="22"/>
          <w:szCs w:val="22"/>
          <w:lang w:val="en-US" w:eastAsia="en-US"/>
        </w:rPr>
      </w:pPr>
      <w:r w:rsidRPr="008F285F">
        <w:rPr>
          <w:rFonts w:ascii="Cambria" w:hAnsi="Cambria" w:cs="Times New Roman"/>
          <w:b/>
          <w:sz w:val="22"/>
          <w:szCs w:val="22"/>
          <w:lang w:val="en-US" w:eastAsia="en-US"/>
        </w:rPr>
        <w:t>Reasons</w:t>
      </w:r>
    </w:p>
    <w:p w14:paraId="6C53A31D" w14:textId="0C850F6B" w:rsidR="00885DCE" w:rsidRPr="008F285F" w:rsidRDefault="00885DCE" w:rsidP="00885DCE">
      <w:pPr>
        <w:pStyle w:val="ListParagraph"/>
        <w:numPr>
          <w:ilvl w:val="0"/>
          <w:numId w:val="31"/>
        </w:numPr>
        <w:jc w:val="both"/>
        <w:rPr>
          <w:rFonts w:ascii="Cambria" w:hAnsi="Cambria" w:cs="Times"/>
          <w:color w:val="38312B"/>
          <w:sz w:val="22"/>
          <w:szCs w:val="22"/>
        </w:rPr>
      </w:pPr>
      <w:r w:rsidRPr="008F285F">
        <w:rPr>
          <w:rFonts w:ascii="Cambria" w:hAnsi="Cambria" w:cs="Times"/>
          <w:color w:val="38312B"/>
          <w:sz w:val="22"/>
          <w:szCs w:val="22"/>
        </w:rPr>
        <w:t>(Brennan CJ, Deane, Dawson, Toohey and Gummow JJ) The appellants contended that the doctrine of common purpose required that the intentional infliction of grievous bodily harm be part of the common purpose before one party can be liable for murder arising out of the act of another</w:t>
      </w:r>
    </w:p>
    <w:p w14:paraId="76B64A16" w14:textId="77777777" w:rsidR="00823573" w:rsidRPr="008F285F" w:rsidRDefault="006B621B" w:rsidP="00345CD1">
      <w:pPr>
        <w:pStyle w:val="ListParagraph"/>
        <w:numPr>
          <w:ilvl w:val="0"/>
          <w:numId w:val="31"/>
        </w:numPr>
        <w:jc w:val="both"/>
        <w:rPr>
          <w:rFonts w:ascii="Cambria" w:hAnsi="Cambria" w:cs="Times"/>
          <w:color w:val="38312B"/>
          <w:sz w:val="22"/>
          <w:szCs w:val="22"/>
        </w:rPr>
      </w:pPr>
      <w:r w:rsidRPr="008F285F">
        <w:rPr>
          <w:rFonts w:ascii="Cambria" w:hAnsi="Cambria" w:cs="Times"/>
          <w:color w:val="38312B"/>
          <w:sz w:val="22"/>
          <w:szCs w:val="22"/>
        </w:rPr>
        <w:t>In other words, the appellant</w:t>
      </w:r>
      <w:r w:rsidR="00885DCE" w:rsidRPr="008F285F">
        <w:rPr>
          <w:rFonts w:ascii="Cambria" w:hAnsi="Cambria" w:cs="Times"/>
          <w:color w:val="38312B"/>
          <w:sz w:val="22"/>
          <w:szCs w:val="22"/>
        </w:rPr>
        <w:t xml:space="preserve"> contend</w:t>
      </w:r>
      <w:r w:rsidRPr="008F285F">
        <w:rPr>
          <w:rFonts w:ascii="Cambria" w:hAnsi="Cambria" w:cs="Times"/>
          <w:color w:val="38312B"/>
          <w:sz w:val="22"/>
          <w:szCs w:val="22"/>
        </w:rPr>
        <w:t>s</w:t>
      </w:r>
      <w:r w:rsidR="00885DCE" w:rsidRPr="008F285F">
        <w:rPr>
          <w:rFonts w:ascii="Cambria" w:hAnsi="Cambria" w:cs="Times"/>
          <w:color w:val="38312B"/>
          <w:sz w:val="22"/>
          <w:szCs w:val="22"/>
        </w:rPr>
        <w:t xml:space="preserve"> that</w:t>
      </w:r>
      <w:r w:rsidR="00823573" w:rsidRPr="008F285F">
        <w:rPr>
          <w:rFonts w:ascii="Cambria" w:hAnsi="Cambria" w:cs="Times"/>
          <w:color w:val="38312B"/>
          <w:sz w:val="22"/>
          <w:szCs w:val="22"/>
        </w:rPr>
        <w:t>:</w:t>
      </w:r>
    </w:p>
    <w:p w14:paraId="713BA493" w14:textId="6BD4727C" w:rsidR="00823573" w:rsidRPr="008F285F" w:rsidRDefault="00823573" w:rsidP="00823573">
      <w:pPr>
        <w:pStyle w:val="ListParagraph"/>
        <w:numPr>
          <w:ilvl w:val="1"/>
          <w:numId w:val="31"/>
        </w:numPr>
        <w:jc w:val="both"/>
        <w:rPr>
          <w:rFonts w:ascii="Cambria" w:hAnsi="Cambria" w:cs="Times"/>
          <w:color w:val="38312B"/>
          <w:sz w:val="22"/>
          <w:szCs w:val="22"/>
        </w:rPr>
      </w:pPr>
      <w:r w:rsidRPr="008F285F">
        <w:rPr>
          <w:rFonts w:ascii="Cambria" w:hAnsi="Cambria" w:cs="Times"/>
          <w:color w:val="38312B"/>
          <w:sz w:val="22"/>
          <w:szCs w:val="22"/>
        </w:rPr>
        <w:t xml:space="preserve">where the harm is not part of the common purpose; </w:t>
      </w:r>
      <w:r w:rsidR="001E5B58" w:rsidRPr="008F285F">
        <w:rPr>
          <w:rFonts w:ascii="Cambria" w:hAnsi="Cambria" w:cs="Times"/>
          <w:color w:val="38312B"/>
          <w:sz w:val="22"/>
          <w:szCs w:val="22"/>
        </w:rPr>
        <w:t>but</w:t>
      </w:r>
    </w:p>
    <w:p w14:paraId="44C8FF7A" w14:textId="77777777" w:rsidR="00B73464" w:rsidRPr="008F285F" w:rsidRDefault="00823573" w:rsidP="009F324F">
      <w:pPr>
        <w:pStyle w:val="ListParagraph"/>
        <w:numPr>
          <w:ilvl w:val="1"/>
          <w:numId w:val="31"/>
        </w:numPr>
        <w:spacing w:after="0"/>
        <w:jc w:val="both"/>
        <w:rPr>
          <w:rFonts w:ascii="Cambria" w:hAnsi="Cambria" w:cs="Times"/>
          <w:color w:val="38312B"/>
          <w:sz w:val="22"/>
          <w:szCs w:val="22"/>
        </w:rPr>
      </w:pPr>
      <w:r w:rsidRPr="008F285F">
        <w:rPr>
          <w:rFonts w:ascii="Cambria" w:hAnsi="Cambria" w:cs="Times"/>
          <w:color w:val="38312B"/>
          <w:sz w:val="22"/>
          <w:szCs w:val="22"/>
        </w:rPr>
        <w:t>might o</w:t>
      </w:r>
      <w:r w:rsidR="007D0890" w:rsidRPr="008F285F">
        <w:rPr>
          <w:rFonts w:ascii="Cambria" w:hAnsi="Cambria" w:cs="Times"/>
          <w:color w:val="38312B"/>
          <w:sz w:val="22"/>
          <w:szCs w:val="22"/>
        </w:rPr>
        <w:t>nly be incidentally caused as pa</w:t>
      </w:r>
      <w:r w:rsidRPr="008F285F">
        <w:rPr>
          <w:rFonts w:ascii="Cambria" w:hAnsi="Cambria" w:cs="Times"/>
          <w:color w:val="38312B"/>
          <w:sz w:val="22"/>
          <w:szCs w:val="22"/>
        </w:rPr>
        <w:t>rt of the joint criminal enterprise</w:t>
      </w:r>
    </w:p>
    <w:p w14:paraId="5FA5902F" w14:textId="6DFDC814" w:rsidR="00885DCE" w:rsidRPr="008F285F" w:rsidRDefault="00823573" w:rsidP="009F324F">
      <w:pPr>
        <w:spacing w:after="0"/>
        <w:ind w:left="357"/>
        <w:jc w:val="both"/>
        <w:rPr>
          <w:rFonts w:ascii="Cambria" w:hAnsi="Cambria" w:cs="Times"/>
          <w:color w:val="38312B"/>
          <w:sz w:val="22"/>
          <w:szCs w:val="22"/>
        </w:rPr>
      </w:pPr>
      <w:r w:rsidRPr="008F285F">
        <w:rPr>
          <w:rFonts w:ascii="Cambria" w:hAnsi="Cambria" w:cs="Times"/>
          <w:color w:val="38312B"/>
          <w:sz w:val="22"/>
          <w:szCs w:val="22"/>
        </w:rPr>
        <w:t>then the appellant’s</w:t>
      </w:r>
      <w:r w:rsidR="00885DCE" w:rsidRPr="008F285F">
        <w:rPr>
          <w:rFonts w:ascii="Cambria" w:hAnsi="Cambria" w:cs="Times"/>
          <w:color w:val="38312B"/>
          <w:sz w:val="22"/>
          <w:szCs w:val="22"/>
        </w:rPr>
        <w:t xml:space="preserve"> realisation</w:t>
      </w:r>
      <w:r w:rsidR="00345CD1" w:rsidRPr="008F285F">
        <w:rPr>
          <w:rFonts w:ascii="Cambria" w:hAnsi="Cambria" w:cs="Times"/>
          <w:color w:val="38312B"/>
          <w:sz w:val="22"/>
          <w:szCs w:val="22"/>
        </w:rPr>
        <w:t xml:space="preserve"> of the possibility of </w:t>
      </w:r>
      <w:r w:rsidR="003F3B39" w:rsidRPr="008F285F">
        <w:rPr>
          <w:rFonts w:ascii="Cambria" w:hAnsi="Cambria" w:cs="Times"/>
          <w:color w:val="38312B"/>
          <w:sz w:val="22"/>
          <w:szCs w:val="22"/>
        </w:rPr>
        <w:t xml:space="preserve">intentional infliction of grievous bodily harm </w:t>
      </w:r>
      <w:r w:rsidR="00345CD1" w:rsidRPr="008F285F">
        <w:rPr>
          <w:rFonts w:ascii="Cambria" w:hAnsi="Cambria" w:cs="Times"/>
          <w:color w:val="38312B"/>
          <w:sz w:val="22"/>
          <w:szCs w:val="22"/>
        </w:rPr>
        <w:t>is not sufficient to render him liable for a murd</w:t>
      </w:r>
      <w:r w:rsidR="006E3BF5" w:rsidRPr="008F285F">
        <w:rPr>
          <w:rFonts w:ascii="Cambria" w:hAnsi="Cambria" w:cs="Times"/>
          <w:color w:val="38312B"/>
          <w:sz w:val="22"/>
          <w:szCs w:val="22"/>
        </w:rPr>
        <w:t>er committed by the other party.</w:t>
      </w:r>
    </w:p>
    <w:p w14:paraId="6D9956A1" w14:textId="7F63B212" w:rsidR="00885DCE" w:rsidRPr="008F285F" w:rsidRDefault="00885DCE" w:rsidP="009F324F">
      <w:pPr>
        <w:pStyle w:val="ListParagraph"/>
        <w:numPr>
          <w:ilvl w:val="0"/>
          <w:numId w:val="31"/>
        </w:numPr>
        <w:spacing w:after="0"/>
        <w:ind w:left="357"/>
        <w:jc w:val="both"/>
        <w:rPr>
          <w:rFonts w:ascii="Cambria" w:hAnsi="Cambria" w:cs="Times"/>
          <w:color w:val="38312B"/>
          <w:sz w:val="22"/>
          <w:szCs w:val="22"/>
        </w:rPr>
      </w:pPr>
      <w:r w:rsidRPr="008F285F">
        <w:rPr>
          <w:rFonts w:ascii="Cambria" w:hAnsi="Cambria" w:cs="Times"/>
          <w:color w:val="38312B"/>
          <w:sz w:val="22"/>
          <w:szCs w:val="22"/>
        </w:rPr>
        <w:t>The doctrine of common purpose means that each of the parties to an arrangement is guilty of any another crime falling within the scope of the common purpose</w:t>
      </w:r>
    </w:p>
    <w:p w14:paraId="2E9D4C7C" w14:textId="1A158927" w:rsidR="00885DCE" w:rsidRPr="008F285F" w:rsidRDefault="00885DCE" w:rsidP="00885DCE">
      <w:pPr>
        <w:pStyle w:val="ListParagraph"/>
        <w:numPr>
          <w:ilvl w:val="0"/>
          <w:numId w:val="31"/>
        </w:numPr>
        <w:jc w:val="both"/>
        <w:rPr>
          <w:rFonts w:ascii="Cambria" w:hAnsi="Cambria" w:cs="Times"/>
          <w:color w:val="38312B"/>
          <w:sz w:val="22"/>
          <w:szCs w:val="22"/>
        </w:rPr>
      </w:pPr>
      <w:r w:rsidRPr="008F285F">
        <w:rPr>
          <w:rFonts w:ascii="Cambria" w:hAnsi="Cambria" w:cs="Times"/>
          <w:color w:val="38312B"/>
          <w:sz w:val="22"/>
          <w:szCs w:val="22"/>
        </w:rPr>
        <w:t xml:space="preserve">The scope of the common purpose extends to the probable </w:t>
      </w:r>
      <w:r w:rsidRPr="008F285F">
        <w:rPr>
          <w:rFonts w:ascii="Cambria" w:hAnsi="Cambria" w:cs="Times"/>
          <w:i/>
          <w:color w:val="38312B"/>
          <w:sz w:val="22"/>
          <w:szCs w:val="22"/>
        </w:rPr>
        <w:t>and the possible</w:t>
      </w:r>
      <w:r w:rsidRPr="008F285F">
        <w:rPr>
          <w:rFonts w:ascii="Cambria" w:hAnsi="Cambria" w:cs="Times"/>
          <w:color w:val="38312B"/>
          <w:sz w:val="22"/>
          <w:szCs w:val="22"/>
        </w:rPr>
        <w:t xml:space="preserve"> consequences of the joint criminal enterprise</w:t>
      </w:r>
    </w:p>
    <w:p w14:paraId="29E9BE70" w14:textId="57301674" w:rsidR="00F0431B" w:rsidRPr="008F285F" w:rsidRDefault="00BE41F7" w:rsidP="00F0431B">
      <w:pPr>
        <w:jc w:val="both"/>
        <w:rPr>
          <w:rFonts w:ascii="Cambria" w:hAnsi="Cambria" w:cs="Times"/>
          <w:color w:val="38312B"/>
          <w:sz w:val="22"/>
          <w:szCs w:val="22"/>
        </w:rPr>
      </w:pPr>
      <w:r w:rsidRPr="008F285F">
        <w:rPr>
          <w:rFonts w:ascii="Cambria" w:hAnsi="Cambria" w:cs="Times"/>
          <w:color w:val="38312B"/>
          <w:sz w:val="22"/>
          <w:szCs w:val="22"/>
        </w:rPr>
        <w:t>The extremely violent and unprovoked nature of the group attack by McAuliffe, McAuliffe and Davis, including its escalation beyond what was said to be the original plan to ‘rob or roll someone’ is illustrative of the sort of behaviour at which the extended joint criminal enterprise doctrine would appear to be directed.</w:t>
      </w:r>
    </w:p>
    <w:p w14:paraId="1FAAB20A" w14:textId="50541605" w:rsidR="000B5EA9" w:rsidRPr="008F285F" w:rsidRDefault="000B5EA9" w:rsidP="000B5EA9">
      <w:pPr>
        <w:spacing w:after="0"/>
        <w:jc w:val="both"/>
        <w:rPr>
          <w:rFonts w:ascii="Cambria" w:hAnsi="Cambria" w:cs="Times New Roman"/>
          <w:b/>
          <w:sz w:val="22"/>
          <w:szCs w:val="22"/>
          <w:lang w:val="en-US" w:eastAsia="en-US"/>
        </w:rPr>
      </w:pPr>
      <w:r w:rsidRPr="008F285F">
        <w:rPr>
          <w:rFonts w:ascii="Cambria" w:hAnsi="Cambria" w:cs="Times New Roman"/>
          <w:b/>
          <w:sz w:val="22"/>
          <w:szCs w:val="22"/>
          <w:lang w:val="en-US" w:eastAsia="en-US"/>
        </w:rPr>
        <w:t>Individual foresight, not ‘common’ agreement</w:t>
      </w:r>
    </w:p>
    <w:p w14:paraId="727CEF9D" w14:textId="4C3E1546" w:rsidR="000B5EA9" w:rsidRPr="008F285F" w:rsidRDefault="008863FA" w:rsidP="000B5EA9">
      <w:pPr>
        <w:jc w:val="both"/>
        <w:rPr>
          <w:rFonts w:ascii="Cambria" w:hAnsi="Cambria"/>
          <w:color w:val="473F38"/>
          <w:sz w:val="22"/>
          <w:szCs w:val="22"/>
        </w:rPr>
      </w:pPr>
      <w:r w:rsidRPr="008F285F">
        <w:rPr>
          <w:rFonts w:ascii="Cambria" w:hAnsi="Cambria"/>
          <w:color w:val="473F38"/>
          <w:sz w:val="22"/>
          <w:szCs w:val="22"/>
        </w:rPr>
        <w:t>Following McAuliffe, the distinction between additional crimes within the joint criminal enterprise and additional crimes outside the joint criminal enterprise is effectively redundant. The test is now the same whether the additional crime is regarded as inside or outside the joint criminal enterprise: foresight of a possibility that a crime would be committed</w:t>
      </w:r>
      <w:r w:rsidR="00B42431" w:rsidRPr="008F285F">
        <w:rPr>
          <w:rFonts w:ascii="Cambria" w:hAnsi="Cambria"/>
          <w:color w:val="473F38"/>
          <w:sz w:val="22"/>
          <w:szCs w:val="22"/>
        </w:rPr>
        <w:t xml:space="preserve">. </w:t>
      </w:r>
      <w:r w:rsidRPr="008F285F">
        <w:rPr>
          <w:rFonts w:ascii="Cambria" w:hAnsi="Cambria"/>
          <w:color w:val="473F38"/>
          <w:sz w:val="22"/>
          <w:szCs w:val="22"/>
        </w:rPr>
        <w:t xml:space="preserve">There is no longer any need for the prosecution to prove that the additional crime was in any respect jointly or commonly foreseen (notwithstanding that the crime is </w:t>
      </w:r>
      <w:r w:rsidR="005B0644" w:rsidRPr="008F285F">
        <w:rPr>
          <w:rFonts w:ascii="Cambria" w:hAnsi="Cambria"/>
          <w:color w:val="473F38"/>
          <w:sz w:val="22"/>
          <w:szCs w:val="22"/>
        </w:rPr>
        <w:t>labelled</w:t>
      </w:r>
      <w:r w:rsidRPr="008F285F">
        <w:rPr>
          <w:rFonts w:ascii="Cambria" w:hAnsi="Cambria"/>
          <w:color w:val="473F38"/>
          <w:sz w:val="22"/>
          <w:szCs w:val="22"/>
        </w:rPr>
        <w:t xml:space="preserve"> extended </w:t>
      </w:r>
      <w:r w:rsidRPr="008F285F">
        <w:rPr>
          <w:rFonts w:ascii="Cambria" w:hAnsi="Cambria"/>
          <w:i/>
          <w:color w:val="473F38"/>
          <w:sz w:val="22"/>
          <w:szCs w:val="22"/>
        </w:rPr>
        <w:t>joint</w:t>
      </w:r>
      <w:r w:rsidRPr="008F285F">
        <w:rPr>
          <w:rFonts w:ascii="Cambria" w:hAnsi="Cambria"/>
          <w:color w:val="473F38"/>
          <w:sz w:val="22"/>
          <w:szCs w:val="22"/>
        </w:rPr>
        <w:t xml:space="preserve"> criminal enterprise)</w:t>
      </w:r>
      <w:r w:rsidR="005B0644" w:rsidRPr="008F285F">
        <w:rPr>
          <w:rFonts w:ascii="Cambria" w:hAnsi="Cambria"/>
          <w:color w:val="473F38"/>
          <w:sz w:val="22"/>
          <w:szCs w:val="22"/>
        </w:rPr>
        <w:t>.</w:t>
      </w:r>
    </w:p>
    <w:p w14:paraId="166B30AB" w14:textId="45F865D4" w:rsidR="005B0644" w:rsidRPr="008F285F" w:rsidRDefault="005B0644" w:rsidP="005B0644">
      <w:pPr>
        <w:spacing w:after="0"/>
        <w:jc w:val="both"/>
        <w:rPr>
          <w:rFonts w:ascii="Cambria" w:hAnsi="Cambria" w:cs="Times New Roman"/>
          <w:b/>
          <w:sz w:val="22"/>
          <w:szCs w:val="22"/>
          <w:lang w:val="en-US" w:eastAsia="en-US"/>
        </w:rPr>
      </w:pPr>
      <w:r w:rsidRPr="008F285F">
        <w:rPr>
          <w:rFonts w:ascii="Cambria" w:hAnsi="Cambria" w:cs="Times New Roman"/>
          <w:b/>
          <w:sz w:val="22"/>
          <w:szCs w:val="22"/>
          <w:lang w:val="en-US" w:eastAsia="en-US"/>
        </w:rPr>
        <w:t>The relationship between joint criminal enterprise and extended joint criminal enterprise</w:t>
      </w:r>
    </w:p>
    <w:p w14:paraId="2485D993" w14:textId="37475375" w:rsidR="005B0644" w:rsidRPr="008F285F" w:rsidRDefault="005B0644" w:rsidP="005B0644">
      <w:pPr>
        <w:rPr>
          <w:rFonts w:ascii="Cambria" w:hAnsi="Cambria"/>
          <w:color w:val="473F38"/>
          <w:sz w:val="22"/>
          <w:szCs w:val="22"/>
        </w:rPr>
      </w:pPr>
      <w:r w:rsidRPr="008F285F">
        <w:rPr>
          <w:rFonts w:ascii="Cambria" w:hAnsi="Cambria"/>
          <w:color w:val="473F38"/>
          <w:sz w:val="22"/>
          <w:szCs w:val="22"/>
        </w:rPr>
        <w:t xml:space="preserve">In </w:t>
      </w:r>
      <w:r w:rsidRPr="008F285F">
        <w:rPr>
          <w:rFonts w:ascii="Cambria" w:hAnsi="Cambria"/>
          <w:i/>
          <w:color w:val="473F38"/>
          <w:sz w:val="22"/>
          <w:szCs w:val="22"/>
        </w:rPr>
        <w:t>Tangye</w:t>
      </w:r>
      <w:r w:rsidRPr="008F285F">
        <w:rPr>
          <w:rFonts w:ascii="Cambria" w:hAnsi="Cambria"/>
          <w:color w:val="473F38"/>
          <w:sz w:val="22"/>
          <w:szCs w:val="22"/>
        </w:rPr>
        <w:t>, Hunt CJ criticised prosecutors and stated that the Crown only needed to rely upon extended joint criminal enterprise where the offence charged is not the same as the enterprise agreed. However, in</w:t>
      </w:r>
      <w:r w:rsidRPr="008F285F">
        <w:rPr>
          <w:rFonts w:ascii="Cambria" w:hAnsi="Cambria"/>
          <w:i/>
          <w:color w:val="473F38"/>
          <w:sz w:val="22"/>
          <w:szCs w:val="22"/>
        </w:rPr>
        <w:t xml:space="preserve"> Jacobs and Mehajer</w:t>
      </w:r>
      <w:r w:rsidRPr="008F285F">
        <w:rPr>
          <w:rFonts w:ascii="Cambria" w:hAnsi="Cambria"/>
          <w:color w:val="473F38"/>
          <w:sz w:val="22"/>
          <w:szCs w:val="22"/>
        </w:rPr>
        <w:t xml:space="preserve">, the defendants planned a robbery but it </w:t>
      </w:r>
      <w:r w:rsidR="00830BBA" w:rsidRPr="008F285F">
        <w:rPr>
          <w:rFonts w:ascii="Cambria" w:hAnsi="Cambria"/>
          <w:color w:val="473F38"/>
          <w:sz w:val="22"/>
          <w:szCs w:val="22"/>
        </w:rPr>
        <w:t>is</w:t>
      </w:r>
      <w:r w:rsidRPr="008F285F">
        <w:rPr>
          <w:rFonts w:ascii="Cambria" w:hAnsi="Cambria"/>
          <w:color w:val="473F38"/>
          <w:sz w:val="22"/>
          <w:szCs w:val="22"/>
        </w:rPr>
        <w:t xml:space="preserve"> unclear whether and to what extent they planned to harm persons found on site. Because of this, Wood CJ said that there was no reason why the prosecution could not simultaneously run arguments based on joint criminal enterprise and extended joint criminal enterprise.</w:t>
      </w:r>
    </w:p>
    <w:p w14:paraId="17025197" w14:textId="73691C20" w:rsidR="001D14CE" w:rsidRPr="008F285F" w:rsidRDefault="002D6535" w:rsidP="001D14CE">
      <w:pPr>
        <w:spacing w:after="0"/>
        <w:jc w:val="both"/>
        <w:rPr>
          <w:rFonts w:ascii="Cambria" w:hAnsi="Cambria" w:cs="Times New Roman"/>
          <w:b/>
          <w:sz w:val="22"/>
          <w:szCs w:val="22"/>
          <w:lang w:val="en-US" w:eastAsia="en-US"/>
        </w:rPr>
      </w:pPr>
      <w:r w:rsidRPr="008F285F">
        <w:rPr>
          <w:rFonts w:ascii="Cambria" w:hAnsi="Cambria" w:cs="Times New Roman"/>
          <w:b/>
          <w:sz w:val="22"/>
          <w:szCs w:val="22"/>
          <w:lang w:val="en-US" w:eastAsia="en-US"/>
        </w:rPr>
        <w:t>What must the secondary participant have foreseen as a possibility</w:t>
      </w:r>
    </w:p>
    <w:p w14:paraId="6DAA8ABC" w14:textId="77777777" w:rsidR="002D6535" w:rsidRPr="008F285F" w:rsidRDefault="002D6535" w:rsidP="002D6535">
      <w:pPr>
        <w:rPr>
          <w:rFonts w:ascii="Cambria" w:hAnsi="Cambria"/>
          <w:color w:val="473F38"/>
          <w:sz w:val="22"/>
          <w:szCs w:val="22"/>
        </w:rPr>
      </w:pPr>
      <w:r w:rsidRPr="008F285F">
        <w:rPr>
          <w:rFonts w:ascii="Cambria" w:hAnsi="Cambria"/>
          <w:color w:val="473F38"/>
          <w:sz w:val="22"/>
          <w:szCs w:val="22"/>
        </w:rPr>
        <w:t xml:space="preserve">In the case of murder, the prosecution must establish that the accused foresaw both the conduct (actus reus) and the fault (mens rea) element (see, eg, </w:t>
      </w:r>
      <w:r w:rsidRPr="008F285F">
        <w:rPr>
          <w:rFonts w:ascii="Cambria" w:hAnsi="Cambria"/>
          <w:i/>
          <w:color w:val="473F38"/>
          <w:sz w:val="22"/>
          <w:szCs w:val="22"/>
        </w:rPr>
        <w:t>Barlow</w:t>
      </w:r>
      <w:r w:rsidRPr="008F285F">
        <w:rPr>
          <w:rFonts w:ascii="Cambria" w:hAnsi="Cambria"/>
          <w:color w:val="473F38"/>
          <w:sz w:val="22"/>
          <w:szCs w:val="22"/>
        </w:rPr>
        <w:t xml:space="preserve">). In </w:t>
      </w:r>
      <w:r w:rsidRPr="008F285F">
        <w:rPr>
          <w:rFonts w:ascii="Cambria" w:hAnsi="Cambria"/>
          <w:i/>
          <w:color w:val="473F38"/>
          <w:sz w:val="22"/>
          <w:szCs w:val="22"/>
        </w:rPr>
        <w:t>Gillard</w:t>
      </w:r>
      <w:r w:rsidRPr="008F285F">
        <w:rPr>
          <w:rFonts w:ascii="Cambria" w:hAnsi="Cambria"/>
          <w:color w:val="473F38"/>
          <w:sz w:val="22"/>
          <w:szCs w:val="22"/>
        </w:rPr>
        <w:t xml:space="preserve">, it was held that if the accused foresaw the possibility of shooting without foreseeing the intent, then he would be guilty of manslaughter, not murder. In </w:t>
      </w:r>
      <w:r w:rsidRPr="008F285F">
        <w:rPr>
          <w:rFonts w:ascii="Cambria" w:hAnsi="Cambria"/>
          <w:i/>
          <w:color w:val="473F38"/>
          <w:sz w:val="22"/>
          <w:szCs w:val="22"/>
        </w:rPr>
        <w:t>Nguyen</w:t>
      </w:r>
      <w:r w:rsidRPr="008F285F">
        <w:rPr>
          <w:rFonts w:ascii="Cambria" w:hAnsi="Cambria"/>
          <w:color w:val="473F38"/>
          <w:sz w:val="22"/>
          <w:szCs w:val="22"/>
        </w:rPr>
        <w:t xml:space="preserve"> [2010] HCA 38, the prosecution case was that Nguyen was guilty of murder based on: joint criminal enterprise, extended joint criminal enterprise or accessorial liability. The High Court held that the trial judge had erred in failing to leave the alternative verdict of manslaughter to the jury. </w:t>
      </w:r>
    </w:p>
    <w:p w14:paraId="3D813183" w14:textId="3AFFC36F" w:rsidR="002D6535" w:rsidRPr="008F285F" w:rsidRDefault="002D6535" w:rsidP="002D6535">
      <w:pPr>
        <w:rPr>
          <w:rFonts w:ascii="Cambria" w:hAnsi="Cambria"/>
          <w:color w:val="473F38"/>
          <w:sz w:val="22"/>
          <w:szCs w:val="22"/>
        </w:rPr>
      </w:pPr>
      <w:r w:rsidRPr="008F285F">
        <w:rPr>
          <w:rFonts w:ascii="Cambria" w:hAnsi="Cambria"/>
          <w:color w:val="473F38"/>
          <w:sz w:val="22"/>
          <w:szCs w:val="22"/>
        </w:rPr>
        <w:t xml:space="preserve">It is likely that for crimes other than murder, if a lesser alternative is available then there is also an option to convict on that lesser alternative (see, eg, </w:t>
      </w:r>
      <w:r w:rsidRPr="008F285F">
        <w:rPr>
          <w:rFonts w:ascii="Cambria" w:hAnsi="Cambria"/>
          <w:i/>
          <w:color w:val="473F38"/>
          <w:sz w:val="22"/>
          <w:szCs w:val="22"/>
        </w:rPr>
        <w:t>King</w:t>
      </w:r>
      <w:r w:rsidRPr="008F285F">
        <w:rPr>
          <w:rFonts w:ascii="Cambria" w:hAnsi="Cambria"/>
          <w:color w:val="473F38"/>
          <w:sz w:val="22"/>
          <w:szCs w:val="22"/>
        </w:rPr>
        <w:t xml:space="preserve"> [2004] NSWCCA 20). It seems that the accused must see only the extent of the harm, not the method by which harm is caused (</w:t>
      </w:r>
      <w:r w:rsidRPr="008F285F">
        <w:rPr>
          <w:rFonts w:ascii="Cambria" w:hAnsi="Cambria"/>
          <w:i/>
          <w:color w:val="473F38"/>
          <w:sz w:val="22"/>
          <w:szCs w:val="22"/>
        </w:rPr>
        <w:t>Keenan</w:t>
      </w:r>
      <w:r w:rsidRPr="008F285F">
        <w:rPr>
          <w:rFonts w:ascii="Cambria" w:hAnsi="Cambria"/>
          <w:color w:val="473F38"/>
          <w:sz w:val="22"/>
          <w:szCs w:val="22"/>
        </w:rPr>
        <w:t xml:space="preserve">). In England, the courts have taken the position that the type of weapon does matter (see, eg, </w:t>
      </w:r>
      <w:r w:rsidRPr="008F285F">
        <w:rPr>
          <w:rFonts w:ascii="Cambria" w:hAnsi="Cambria"/>
          <w:i/>
          <w:color w:val="473F38"/>
          <w:sz w:val="22"/>
          <w:szCs w:val="22"/>
        </w:rPr>
        <w:t>Bentley</w:t>
      </w:r>
      <w:r w:rsidRPr="008F285F">
        <w:rPr>
          <w:rFonts w:ascii="Cambria" w:hAnsi="Cambria"/>
          <w:color w:val="473F38"/>
          <w:sz w:val="22"/>
          <w:szCs w:val="22"/>
        </w:rPr>
        <w:t xml:space="preserve">) although Mantell LJ (in </w:t>
      </w:r>
      <w:r w:rsidRPr="008F285F">
        <w:rPr>
          <w:rFonts w:ascii="Cambria" w:hAnsi="Cambria"/>
          <w:i/>
          <w:color w:val="473F38"/>
          <w:sz w:val="22"/>
          <w:szCs w:val="22"/>
        </w:rPr>
        <w:t>O’Flaherty</w:t>
      </w:r>
      <w:r w:rsidRPr="008F285F">
        <w:rPr>
          <w:rFonts w:ascii="Cambria" w:hAnsi="Cambria"/>
          <w:color w:val="473F38"/>
          <w:sz w:val="22"/>
          <w:szCs w:val="22"/>
        </w:rPr>
        <w:t xml:space="preserve"> [2004] EWCA Crim 526) said this should be a matter of evidence and not a principle of law.</w:t>
      </w:r>
    </w:p>
    <w:p w14:paraId="5CBCEF13" w14:textId="060C7E6D" w:rsidR="00940F77" w:rsidRPr="008F285F" w:rsidRDefault="002078BA" w:rsidP="00940F77">
      <w:pPr>
        <w:spacing w:after="0"/>
        <w:jc w:val="both"/>
        <w:rPr>
          <w:rFonts w:ascii="Cambria" w:hAnsi="Cambria" w:cs="Times New Roman"/>
          <w:b/>
          <w:sz w:val="22"/>
          <w:szCs w:val="22"/>
          <w:lang w:val="en-US" w:eastAsia="en-US"/>
        </w:rPr>
      </w:pPr>
      <w:r w:rsidRPr="008F285F">
        <w:rPr>
          <w:rFonts w:ascii="Cambria" w:hAnsi="Cambria" w:cs="Times New Roman"/>
          <w:b/>
          <w:sz w:val="22"/>
          <w:szCs w:val="22"/>
          <w:lang w:val="en-US" w:eastAsia="en-US"/>
        </w:rPr>
        <w:t>Must there be a foundational crime?</w:t>
      </w:r>
    </w:p>
    <w:p w14:paraId="5B9DBF2C" w14:textId="5B923255" w:rsidR="002078BA" w:rsidRPr="008F285F" w:rsidRDefault="002078BA" w:rsidP="002078BA">
      <w:pPr>
        <w:rPr>
          <w:rFonts w:ascii="Cambria" w:hAnsi="Cambria"/>
          <w:color w:val="473F38"/>
          <w:sz w:val="22"/>
          <w:szCs w:val="22"/>
        </w:rPr>
      </w:pPr>
      <w:r w:rsidRPr="008F285F">
        <w:rPr>
          <w:rFonts w:ascii="Cambria" w:hAnsi="Cambria"/>
          <w:color w:val="473F38"/>
          <w:sz w:val="22"/>
          <w:szCs w:val="22"/>
        </w:rPr>
        <w:t xml:space="preserve">The primary policy rationale for the rules relating to extended joint criminal enterprise is that individuals should refrain from engaging in joint criminal enterprises (crime X) where there is a risk that one of the participants will engage in another more serious crime (crime Y). The rule from </w:t>
      </w:r>
      <w:r w:rsidRPr="008F285F">
        <w:rPr>
          <w:rFonts w:ascii="Cambria" w:hAnsi="Cambria"/>
          <w:i/>
          <w:color w:val="473F38"/>
          <w:sz w:val="22"/>
          <w:szCs w:val="22"/>
        </w:rPr>
        <w:t>Miller</w:t>
      </w:r>
      <w:r w:rsidRPr="008F285F">
        <w:rPr>
          <w:rFonts w:ascii="Cambria" w:hAnsi="Cambria"/>
          <w:color w:val="473F38"/>
          <w:sz w:val="22"/>
          <w:szCs w:val="22"/>
        </w:rPr>
        <w:t xml:space="preserve"> was that no foundational crime was required. However, this is no longer good law. </w:t>
      </w:r>
    </w:p>
    <w:p w14:paraId="3B0B66E0" w14:textId="18746F11" w:rsidR="002078BA" w:rsidRPr="008F285F" w:rsidRDefault="002078BA" w:rsidP="002078BA">
      <w:pPr>
        <w:rPr>
          <w:rFonts w:ascii="Cambria" w:hAnsi="Cambria"/>
          <w:color w:val="473F38"/>
          <w:sz w:val="22"/>
          <w:szCs w:val="22"/>
        </w:rPr>
      </w:pPr>
      <w:r w:rsidRPr="008F285F">
        <w:rPr>
          <w:rFonts w:ascii="Cambria" w:hAnsi="Cambria"/>
          <w:color w:val="473F38"/>
          <w:sz w:val="22"/>
          <w:szCs w:val="22"/>
        </w:rPr>
        <w:t xml:space="preserve">In </w:t>
      </w:r>
      <w:r w:rsidRPr="008F285F">
        <w:rPr>
          <w:rFonts w:ascii="Cambria" w:hAnsi="Cambria"/>
          <w:i/>
          <w:color w:val="473F38"/>
          <w:sz w:val="22"/>
          <w:szCs w:val="22"/>
        </w:rPr>
        <w:t>Taufahema</w:t>
      </w:r>
      <w:r w:rsidRPr="008F285F">
        <w:rPr>
          <w:rFonts w:ascii="Cambria" w:hAnsi="Cambria"/>
          <w:color w:val="473F38"/>
          <w:sz w:val="22"/>
          <w:szCs w:val="22"/>
        </w:rPr>
        <w:t xml:space="preserve">, the accused was one of a group of men detected by police travelling at excessive spend in a stolen car. One of the occupants (Sione Penisini) fired five gunshots into the windscreen of the police car. Constable McEnallay was struck and later died. Motekiai Taufahema was charged with murder and the Crown sought to rely on extended joint criminal enterprise. At trial, the prosecution argued that it was only necessary for an agreement to evade arrest and that Taufahema foresaw the possibility of murder. The jury returned a guilty verdict. On appeal, the NSW Court of Criminal Appeal held that the trial decision was not open as a matter of law because evading apprehension by a police officer is not of itself a crime. </w:t>
      </w:r>
    </w:p>
    <w:p w14:paraId="3E06D0CF" w14:textId="4AFEA442" w:rsidR="002078BA" w:rsidRPr="008F285F" w:rsidRDefault="002078BA" w:rsidP="002078BA">
      <w:pPr>
        <w:rPr>
          <w:rFonts w:ascii="Cambria" w:hAnsi="Cambria"/>
          <w:color w:val="473F38"/>
          <w:sz w:val="22"/>
          <w:szCs w:val="22"/>
        </w:rPr>
      </w:pPr>
      <w:r w:rsidRPr="008F285F">
        <w:rPr>
          <w:rFonts w:ascii="Cambria" w:hAnsi="Cambria"/>
          <w:color w:val="473F38"/>
          <w:sz w:val="22"/>
          <w:szCs w:val="22"/>
        </w:rPr>
        <w:t xml:space="preserve">The Crown appealed to the High Court and the majority (Gummow, Hayne, Heydon and Crennan JJ) were in no doubt that the trial had been ‘a flawed one’ because of errors summing up and because of the </w:t>
      </w:r>
      <w:r w:rsidR="009B7F42" w:rsidRPr="008F285F">
        <w:rPr>
          <w:rFonts w:ascii="Cambria" w:hAnsi="Cambria"/>
          <w:color w:val="473F38"/>
          <w:sz w:val="22"/>
          <w:szCs w:val="22"/>
        </w:rPr>
        <w:t xml:space="preserve">lack of a ‘foundational crime’. </w:t>
      </w:r>
      <w:r w:rsidRPr="008F285F">
        <w:rPr>
          <w:rFonts w:ascii="Cambria" w:hAnsi="Cambria"/>
          <w:color w:val="473F38"/>
          <w:sz w:val="22"/>
          <w:szCs w:val="22"/>
        </w:rPr>
        <w:t>Interestingly, the majority held that if, hypothetically, at the second trial, the prosecution had advanced its case in terms of armed robbery, then a retrial would be warranted. The minority held that the prosecution should not be able to advance a different case at the eleventh hour.</w:t>
      </w:r>
    </w:p>
    <w:p w14:paraId="030D782F" w14:textId="77777777" w:rsidR="00486C05" w:rsidRPr="008F285F" w:rsidRDefault="002078BA" w:rsidP="002078BA">
      <w:pPr>
        <w:rPr>
          <w:rFonts w:ascii="Cambria" w:hAnsi="Cambria"/>
          <w:color w:val="473F38"/>
          <w:sz w:val="22"/>
          <w:szCs w:val="22"/>
        </w:rPr>
      </w:pPr>
      <w:r w:rsidRPr="008F285F">
        <w:rPr>
          <w:rFonts w:ascii="Cambria" w:hAnsi="Cambria"/>
          <w:color w:val="473F38"/>
          <w:sz w:val="22"/>
          <w:szCs w:val="22"/>
        </w:rPr>
        <w:t>Although the foundational crime does not have to be defined with absolute specificity, the judge and jury must know enough to determine:</w:t>
      </w:r>
    </w:p>
    <w:p w14:paraId="57250B30" w14:textId="77777777" w:rsidR="00486C05" w:rsidRPr="008F285F" w:rsidRDefault="002078BA" w:rsidP="002078BA">
      <w:pPr>
        <w:pStyle w:val="ListParagraph"/>
        <w:numPr>
          <w:ilvl w:val="0"/>
          <w:numId w:val="48"/>
        </w:numPr>
        <w:rPr>
          <w:rFonts w:ascii="Cambria" w:hAnsi="Cambria"/>
          <w:color w:val="473F38"/>
          <w:sz w:val="22"/>
          <w:szCs w:val="22"/>
        </w:rPr>
      </w:pPr>
      <w:r w:rsidRPr="008F285F">
        <w:rPr>
          <w:rFonts w:ascii="Cambria" w:hAnsi="Cambria"/>
          <w:color w:val="473F38"/>
          <w:sz w:val="22"/>
          <w:szCs w:val="22"/>
        </w:rPr>
        <w:t>whether it is criminal; and</w:t>
      </w:r>
    </w:p>
    <w:p w14:paraId="162350EB" w14:textId="432B15D1" w:rsidR="002078BA" w:rsidRPr="008F285F" w:rsidRDefault="002078BA" w:rsidP="002078BA">
      <w:pPr>
        <w:pStyle w:val="ListParagraph"/>
        <w:numPr>
          <w:ilvl w:val="0"/>
          <w:numId w:val="48"/>
        </w:numPr>
        <w:rPr>
          <w:rFonts w:ascii="Cambria" w:hAnsi="Cambria"/>
          <w:color w:val="473F38"/>
          <w:sz w:val="22"/>
          <w:szCs w:val="22"/>
        </w:rPr>
      </w:pPr>
      <w:r w:rsidRPr="008F285F">
        <w:rPr>
          <w:rFonts w:ascii="Cambria" w:hAnsi="Cambria"/>
          <w:color w:val="473F38"/>
          <w:sz w:val="22"/>
          <w:szCs w:val="22"/>
        </w:rPr>
        <w:t>whether the additional crime was within the scope of the common purpose</w:t>
      </w:r>
    </w:p>
    <w:p w14:paraId="2768D6A1" w14:textId="1028107B" w:rsidR="00486C05" w:rsidRPr="008F285F" w:rsidRDefault="00486C05" w:rsidP="00486C05">
      <w:pPr>
        <w:spacing w:after="0"/>
        <w:jc w:val="both"/>
        <w:rPr>
          <w:rFonts w:ascii="Cambria" w:hAnsi="Cambria" w:cs="Times New Roman"/>
          <w:b/>
          <w:sz w:val="22"/>
          <w:szCs w:val="22"/>
          <w:lang w:val="en-US" w:eastAsia="en-US"/>
        </w:rPr>
      </w:pPr>
      <w:r w:rsidRPr="008F285F">
        <w:rPr>
          <w:rFonts w:ascii="Cambria" w:hAnsi="Cambria" w:cs="Times New Roman"/>
          <w:b/>
          <w:sz w:val="22"/>
          <w:szCs w:val="22"/>
          <w:lang w:val="en-US" w:eastAsia="en-US"/>
        </w:rPr>
        <w:t>Criticisms of the doctrine of extended joint criminal enterprise</w:t>
      </w:r>
    </w:p>
    <w:p w14:paraId="1EE9E0FC" w14:textId="62E9E5FA" w:rsidR="00486C05" w:rsidRPr="008F285F" w:rsidRDefault="00486C05" w:rsidP="00486C05">
      <w:pPr>
        <w:rPr>
          <w:rFonts w:ascii="Cambria" w:hAnsi="Cambria"/>
          <w:color w:val="473F38"/>
          <w:sz w:val="22"/>
          <w:szCs w:val="22"/>
        </w:rPr>
      </w:pPr>
      <w:r w:rsidRPr="008F285F">
        <w:rPr>
          <w:rFonts w:ascii="Cambria" w:hAnsi="Cambria"/>
          <w:color w:val="473F38"/>
          <w:sz w:val="22"/>
          <w:szCs w:val="22"/>
        </w:rPr>
        <w:t xml:space="preserve">The most common criticism of the doctrine is that it is inconsistent with the fundamental principle of criminal responsibility because an individual can be convicted of an offence without committing the actus reus or possessing the mens rea, so long as they foresaw the possibility of its commission. It has been called ‘a serious disharmony in the law’ (per Kirby J in </w:t>
      </w:r>
      <w:r w:rsidRPr="008F285F">
        <w:rPr>
          <w:rFonts w:ascii="Cambria" w:hAnsi="Cambria"/>
          <w:i/>
          <w:color w:val="473F38"/>
          <w:sz w:val="22"/>
          <w:szCs w:val="22"/>
        </w:rPr>
        <w:t>Clayton</w:t>
      </w:r>
      <w:r w:rsidRPr="008F285F">
        <w:rPr>
          <w:rFonts w:ascii="Cambria" w:hAnsi="Cambria"/>
          <w:color w:val="473F38"/>
          <w:sz w:val="22"/>
          <w:szCs w:val="22"/>
        </w:rPr>
        <w:t>). This is because a principal offender could kill a victim and be not guilty of murder for foreseeing only the possibility (rather than probability) of death or grievous bodily harm. Yet the secondary offender, also foreseeing only a possibility, could be found guilty of murder based on the doctrine of extended joint criminal enterprise.</w:t>
      </w:r>
    </w:p>
    <w:p w14:paraId="0D68D620" w14:textId="42288FD2" w:rsidR="00486C05" w:rsidRPr="008F285F" w:rsidRDefault="00486C05" w:rsidP="00486C05">
      <w:pPr>
        <w:rPr>
          <w:rFonts w:ascii="Cambria" w:hAnsi="Cambria"/>
          <w:color w:val="473F38"/>
          <w:sz w:val="22"/>
          <w:szCs w:val="22"/>
        </w:rPr>
      </w:pPr>
      <w:r w:rsidRPr="008F285F">
        <w:rPr>
          <w:rFonts w:ascii="Cambria" w:hAnsi="Cambria"/>
          <w:color w:val="473F38"/>
          <w:sz w:val="22"/>
          <w:szCs w:val="22"/>
        </w:rPr>
        <w:t xml:space="preserve">In </w:t>
      </w:r>
      <w:r w:rsidRPr="008F285F">
        <w:rPr>
          <w:rFonts w:ascii="Cambria" w:hAnsi="Cambria"/>
          <w:i/>
          <w:color w:val="473F38"/>
          <w:sz w:val="22"/>
          <w:szCs w:val="22"/>
        </w:rPr>
        <w:t>Powell</w:t>
      </w:r>
      <w:r w:rsidRPr="008F285F">
        <w:rPr>
          <w:rFonts w:ascii="Cambria" w:hAnsi="Cambria"/>
          <w:color w:val="473F38"/>
          <w:sz w:val="22"/>
          <w:szCs w:val="22"/>
        </w:rPr>
        <w:t>, Lord Hutton argued that the common law is based not solely on logic but also practical concerns, specifically the protection of the public against criminals operating in gangs. Lord Steyn further argued that it would be nearly impossible for the prosecution to prove that the secondary offender had the necessary intention for murder</w:t>
      </w:r>
    </w:p>
    <w:p w14:paraId="09EB5468" w14:textId="782A1156" w:rsidR="00486C05" w:rsidRPr="008F285F" w:rsidRDefault="00486C05" w:rsidP="00486C05">
      <w:pPr>
        <w:rPr>
          <w:rFonts w:ascii="Cambria" w:hAnsi="Cambria"/>
          <w:color w:val="473F38"/>
          <w:sz w:val="22"/>
          <w:szCs w:val="22"/>
        </w:rPr>
      </w:pPr>
      <w:r w:rsidRPr="008F285F">
        <w:rPr>
          <w:rFonts w:ascii="Cambria" w:hAnsi="Cambria"/>
          <w:color w:val="473F38"/>
          <w:sz w:val="22"/>
          <w:szCs w:val="22"/>
        </w:rPr>
        <w:t xml:space="preserve">In </w:t>
      </w:r>
      <w:r w:rsidRPr="008F285F">
        <w:rPr>
          <w:rFonts w:ascii="Cambria" w:hAnsi="Cambria"/>
          <w:i/>
          <w:color w:val="473F38"/>
          <w:sz w:val="22"/>
          <w:szCs w:val="22"/>
        </w:rPr>
        <w:t>Clayton</w:t>
      </w:r>
      <w:r w:rsidRPr="008F285F">
        <w:rPr>
          <w:rFonts w:ascii="Cambria" w:hAnsi="Cambria"/>
          <w:color w:val="473F38"/>
          <w:sz w:val="22"/>
          <w:szCs w:val="22"/>
        </w:rPr>
        <w:t>, Kirby J argued that confusion resulted where the prosecution advanced alternate cases of: acting in concert, aiding and betting, and extended joint criminal enterprise. For the first two at least intention to cause serious injury had to be proved. However, for the third proof of intention was unnecessary. The majority argued that ‘factual intersection…of two different sets of principles does not deny their separate utility’</w:t>
      </w:r>
      <w:r w:rsidR="00240396">
        <w:rPr>
          <w:rFonts w:ascii="Cambria" w:hAnsi="Cambria"/>
          <w:color w:val="473F38"/>
          <w:sz w:val="22"/>
          <w:szCs w:val="22"/>
        </w:rPr>
        <w:t>.</w:t>
      </w:r>
      <w:bookmarkStart w:id="0" w:name="_GoBack"/>
      <w:bookmarkEnd w:id="0"/>
    </w:p>
    <w:p w14:paraId="7BFE958F" w14:textId="1BA5DF3C" w:rsidR="00486C05" w:rsidRPr="008F285F" w:rsidRDefault="00486C05" w:rsidP="00486C05">
      <w:pPr>
        <w:rPr>
          <w:rFonts w:ascii="Cambria" w:hAnsi="Cambria"/>
          <w:color w:val="473F38"/>
          <w:sz w:val="22"/>
          <w:szCs w:val="22"/>
        </w:rPr>
      </w:pPr>
    </w:p>
    <w:p w14:paraId="25A433ED" w14:textId="77777777" w:rsidR="00486C05" w:rsidRPr="008F285F" w:rsidRDefault="00486C05" w:rsidP="00486C05">
      <w:pPr>
        <w:rPr>
          <w:rFonts w:ascii="Cambria" w:hAnsi="Cambria"/>
          <w:color w:val="473F38"/>
          <w:sz w:val="22"/>
          <w:szCs w:val="22"/>
        </w:rPr>
      </w:pPr>
    </w:p>
    <w:p w14:paraId="66F0C38C" w14:textId="77777777" w:rsidR="00486C05" w:rsidRPr="008F285F" w:rsidRDefault="00486C05" w:rsidP="00486C05">
      <w:pPr>
        <w:rPr>
          <w:rFonts w:ascii="Cambria" w:hAnsi="Cambria"/>
          <w:color w:val="473F38"/>
          <w:sz w:val="22"/>
          <w:szCs w:val="22"/>
        </w:rPr>
      </w:pPr>
    </w:p>
    <w:p w14:paraId="5CDB1B8E" w14:textId="572C9999" w:rsidR="00940F77" w:rsidRPr="008F285F" w:rsidRDefault="00940F77" w:rsidP="00940F77">
      <w:pPr>
        <w:rPr>
          <w:rFonts w:ascii="Cambria" w:hAnsi="Cambria"/>
          <w:color w:val="473F38"/>
          <w:sz w:val="22"/>
          <w:szCs w:val="22"/>
        </w:rPr>
      </w:pPr>
    </w:p>
    <w:p w14:paraId="34D144F9" w14:textId="6A1CFF66" w:rsidR="00FD09D9" w:rsidRPr="008F285F" w:rsidRDefault="00FD09D9" w:rsidP="0021236F">
      <w:pPr>
        <w:jc w:val="both"/>
        <w:rPr>
          <w:rFonts w:ascii="Cambria" w:hAnsi="Cambria"/>
          <w:b/>
          <w:i/>
          <w:sz w:val="22"/>
          <w:szCs w:val="22"/>
        </w:rPr>
      </w:pPr>
    </w:p>
    <w:sectPr w:rsidR="00FD09D9" w:rsidRPr="008F285F" w:rsidSect="008F285F">
      <w:footerReference w:type="even" r:id="rId9"/>
      <w:footerReference w:type="default" r:id="rId10"/>
      <w:pgSz w:w="11900" w:h="16840"/>
      <w:pgMar w:top="1134" w:right="1134" w:bottom="1134" w:left="1134"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228FDA" w14:textId="77777777" w:rsidR="00486C05" w:rsidRDefault="00486C05" w:rsidP="004F4DE4">
      <w:pPr>
        <w:spacing w:after="0"/>
      </w:pPr>
      <w:r>
        <w:separator/>
      </w:r>
    </w:p>
  </w:endnote>
  <w:endnote w:type="continuationSeparator" w:id="0">
    <w:p w14:paraId="5CCC8AD8" w14:textId="77777777" w:rsidR="00486C05" w:rsidRDefault="00486C05" w:rsidP="004F4D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6C6B0B" w14:textId="77777777" w:rsidR="00486C05" w:rsidRDefault="00486C05" w:rsidP="003556F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532BE3" w14:textId="77777777" w:rsidR="00486C05" w:rsidRDefault="00486C05" w:rsidP="004F4DE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EEBB3E" w14:textId="77777777" w:rsidR="00486C05" w:rsidRDefault="00486C05" w:rsidP="003556F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40396">
      <w:rPr>
        <w:rStyle w:val="PageNumber"/>
        <w:noProof/>
      </w:rPr>
      <w:t>1</w:t>
    </w:r>
    <w:r>
      <w:rPr>
        <w:rStyle w:val="PageNumber"/>
      </w:rPr>
      <w:fldChar w:fldCharType="end"/>
    </w:r>
  </w:p>
  <w:p w14:paraId="04923BE7" w14:textId="77777777" w:rsidR="00486C05" w:rsidRDefault="00486C05" w:rsidP="004F4DE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4FE4D0" w14:textId="77777777" w:rsidR="00486C05" w:rsidRDefault="00486C05" w:rsidP="004F4DE4">
      <w:pPr>
        <w:spacing w:after="0"/>
      </w:pPr>
      <w:r>
        <w:separator/>
      </w:r>
    </w:p>
  </w:footnote>
  <w:footnote w:type="continuationSeparator" w:id="0">
    <w:p w14:paraId="4F4A2F08" w14:textId="77777777" w:rsidR="00486C05" w:rsidRDefault="00486C05" w:rsidP="004F4DE4">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D35D7D"/>
    <w:multiLevelType w:val="hybridMultilevel"/>
    <w:tmpl w:val="A9ACADCA"/>
    <w:lvl w:ilvl="0" w:tplc="89AC25EE">
      <w:start w:val="1"/>
      <w:numFmt w:val="bullet"/>
      <w:lvlText w:val=""/>
      <w:lvlJc w:val="left"/>
      <w:pPr>
        <w:tabs>
          <w:tab w:val="num" w:pos="720"/>
        </w:tabs>
        <w:ind w:left="720" w:hanging="360"/>
      </w:pPr>
      <w:rPr>
        <w:rFonts w:ascii="Wingdings" w:hAnsi="Wingdings" w:hint="default"/>
      </w:rPr>
    </w:lvl>
    <w:lvl w:ilvl="1" w:tplc="83C469A6" w:tentative="1">
      <w:start w:val="1"/>
      <w:numFmt w:val="bullet"/>
      <w:lvlText w:val=""/>
      <w:lvlJc w:val="left"/>
      <w:pPr>
        <w:tabs>
          <w:tab w:val="num" w:pos="1440"/>
        </w:tabs>
        <w:ind w:left="1440" w:hanging="360"/>
      </w:pPr>
      <w:rPr>
        <w:rFonts w:ascii="Wingdings" w:hAnsi="Wingdings" w:hint="default"/>
      </w:rPr>
    </w:lvl>
    <w:lvl w:ilvl="2" w:tplc="6A5A7184" w:tentative="1">
      <w:start w:val="1"/>
      <w:numFmt w:val="bullet"/>
      <w:lvlText w:val=""/>
      <w:lvlJc w:val="left"/>
      <w:pPr>
        <w:tabs>
          <w:tab w:val="num" w:pos="2160"/>
        </w:tabs>
        <w:ind w:left="2160" w:hanging="360"/>
      </w:pPr>
      <w:rPr>
        <w:rFonts w:ascii="Wingdings" w:hAnsi="Wingdings" w:hint="default"/>
      </w:rPr>
    </w:lvl>
    <w:lvl w:ilvl="3" w:tplc="60AC1638" w:tentative="1">
      <w:start w:val="1"/>
      <w:numFmt w:val="bullet"/>
      <w:lvlText w:val=""/>
      <w:lvlJc w:val="left"/>
      <w:pPr>
        <w:tabs>
          <w:tab w:val="num" w:pos="2880"/>
        </w:tabs>
        <w:ind w:left="2880" w:hanging="360"/>
      </w:pPr>
      <w:rPr>
        <w:rFonts w:ascii="Wingdings" w:hAnsi="Wingdings" w:hint="default"/>
      </w:rPr>
    </w:lvl>
    <w:lvl w:ilvl="4" w:tplc="AC4A0272" w:tentative="1">
      <w:start w:val="1"/>
      <w:numFmt w:val="bullet"/>
      <w:lvlText w:val=""/>
      <w:lvlJc w:val="left"/>
      <w:pPr>
        <w:tabs>
          <w:tab w:val="num" w:pos="3600"/>
        </w:tabs>
        <w:ind w:left="3600" w:hanging="360"/>
      </w:pPr>
      <w:rPr>
        <w:rFonts w:ascii="Wingdings" w:hAnsi="Wingdings" w:hint="default"/>
      </w:rPr>
    </w:lvl>
    <w:lvl w:ilvl="5" w:tplc="1256D394" w:tentative="1">
      <w:start w:val="1"/>
      <w:numFmt w:val="bullet"/>
      <w:lvlText w:val=""/>
      <w:lvlJc w:val="left"/>
      <w:pPr>
        <w:tabs>
          <w:tab w:val="num" w:pos="4320"/>
        </w:tabs>
        <w:ind w:left="4320" w:hanging="360"/>
      </w:pPr>
      <w:rPr>
        <w:rFonts w:ascii="Wingdings" w:hAnsi="Wingdings" w:hint="default"/>
      </w:rPr>
    </w:lvl>
    <w:lvl w:ilvl="6" w:tplc="94865CBA" w:tentative="1">
      <w:start w:val="1"/>
      <w:numFmt w:val="bullet"/>
      <w:lvlText w:val=""/>
      <w:lvlJc w:val="left"/>
      <w:pPr>
        <w:tabs>
          <w:tab w:val="num" w:pos="5040"/>
        </w:tabs>
        <w:ind w:left="5040" w:hanging="360"/>
      </w:pPr>
      <w:rPr>
        <w:rFonts w:ascii="Wingdings" w:hAnsi="Wingdings" w:hint="default"/>
      </w:rPr>
    </w:lvl>
    <w:lvl w:ilvl="7" w:tplc="A8BCE56E" w:tentative="1">
      <w:start w:val="1"/>
      <w:numFmt w:val="bullet"/>
      <w:lvlText w:val=""/>
      <w:lvlJc w:val="left"/>
      <w:pPr>
        <w:tabs>
          <w:tab w:val="num" w:pos="5760"/>
        </w:tabs>
        <w:ind w:left="5760" w:hanging="360"/>
      </w:pPr>
      <w:rPr>
        <w:rFonts w:ascii="Wingdings" w:hAnsi="Wingdings" w:hint="default"/>
      </w:rPr>
    </w:lvl>
    <w:lvl w:ilvl="8" w:tplc="38E04C36" w:tentative="1">
      <w:start w:val="1"/>
      <w:numFmt w:val="bullet"/>
      <w:lvlText w:val=""/>
      <w:lvlJc w:val="left"/>
      <w:pPr>
        <w:tabs>
          <w:tab w:val="num" w:pos="6480"/>
        </w:tabs>
        <w:ind w:left="6480" w:hanging="360"/>
      </w:pPr>
      <w:rPr>
        <w:rFonts w:ascii="Wingdings" w:hAnsi="Wingdings" w:hint="default"/>
      </w:rPr>
    </w:lvl>
  </w:abstractNum>
  <w:abstractNum w:abstractNumId="2">
    <w:nsid w:val="03DD6D23"/>
    <w:multiLevelType w:val="hybridMultilevel"/>
    <w:tmpl w:val="3FCA80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AD124B6"/>
    <w:multiLevelType w:val="hybridMultilevel"/>
    <w:tmpl w:val="FC0CF640"/>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242343"/>
    <w:multiLevelType w:val="hybridMultilevel"/>
    <w:tmpl w:val="F01857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CEC6179"/>
    <w:multiLevelType w:val="hybridMultilevel"/>
    <w:tmpl w:val="6B68EF7C"/>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6">
    <w:nsid w:val="0D6748FE"/>
    <w:multiLevelType w:val="hybridMultilevel"/>
    <w:tmpl w:val="D6F62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DB1629"/>
    <w:multiLevelType w:val="hybridMultilevel"/>
    <w:tmpl w:val="6B04050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7D43A8"/>
    <w:multiLevelType w:val="hybridMultilevel"/>
    <w:tmpl w:val="A73C4D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hint="default"/>
      </w:rPr>
    </w:lvl>
    <w:lvl w:ilvl="2" w:tplc="04090005">
      <w:start w:val="1"/>
      <w:numFmt w:val="bullet"/>
      <w:lvlText w:val=""/>
      <w:lvlJc w:val="left"/>
      <w:pPr>
        <w:ind w:left="786"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C0C3122"/>
    <w:multiLevelType w:val="hybridMultilevel"/>
    <w:tmpl w:val="55D657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DDB19BE"/>
    <w:multiLevelType w:val="hybridMultilevel"/>
    <w:tmpl w:val="7226C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28333E9"/>
    <w:multiLevelType w:val="hybridMultilevel"/>
    <w:tmpl w:val="851281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7F5C3E"/>
    <w:multiLevelType w:val="hybridMultilevel"/>
    <w:tmpl w:val="EBD4AB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5E738A8"/>
    <w:multiLevelType w:val="hybridMultilevel"/>
    <w:tmpl w:val="800E1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26795F"/>
    <w:multiLevelType w:val="hybridMultilevel"/>
    <w:tmpl w:val="F1A02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B12490"/>
    <w:multiLevelType w:val="hybridMultilevel"/>
    <w:tmpl w:val="CCBE4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FA7C3A"/>
    <w:multiLevelType w:val="hybridMultilevel"/>
    <w:tmpl w:val="2BCECFA2"/>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7">
    <w:nsid w:val="32232FF2"/>
    <w:multiLevelType w:val="hybridMultilevel"/>
    <w:tmpl w:val="1F2EA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7224A5"/>
    <w:multiLevelType w:val="hybridMultilevel"/>
    <w:tmpl w:val="219603DC"/>
    <w:lvl w:ilvl="0" w:tplc="9230E956">
      <w:start w:val="1"/>
      <w:numFmt w:val="bullet"/>
      <w:lvlText w:val=""/>
      <w:lvlJc w:val="left"/>
      <w:pPr>
        <w:tabs>
          <w:tab w:val="num" w:pos="720"/>
        </w:tabs>
        <w:ind w:left="720" w:hanging="360"/>
      </w:pPr>
      <w:rPr>
        <w:rFonts w:ascii="Wingdings" w:hAnsi="Wingdings" w:hint="default"/>
      </w:rPr>
    </w:lvl>
    <w:lvl w:ilvl="1" w:tplc="325A0770" w:tentative="1">
      <w:start w:val="1"/>
      <w:numFmt w:val="bullet"/>
      <w:lvlText w:val=""/>
      <w:lvlJc w:val="left"/>
      <w:pPr>
        <w:tabs>
          <w:tab w:val="num" w:pos="1440"/>
        </w:tabs>
        <w:ind w:left="1440" w:hanging="360"/>
      </w:pPr>
      <w:rPr>
        <w:rFonts w:ascii="Wingdings" w:hAnsi="Wingdings" w:hint="default"/>
      </w:rPr>
    </w:lvl>
    <w:lvl w:ilvl="2" w:tplc="D490172A" w:tentative="1">
      <w:start w:val="1"/>
      <w:numFmt w:val="bullet"/>
      <w:lvlText w:val=""/>
      <w:lvlJc w:val="left"/>
      <w:pPr>
        <w:tabs>
          <w:tab w:val="num" w:pos="2160"/>
        </w:tabs>
        <w:ind w:left="2160" w:hanging="360"/>
      </w:pPr>
      <w:rPr>
        <w:rFonts w:ascii="Wingdings" w:hAnsi="Wingdings" w:hint="default"/>
      </w:rPr>
    </w:lvl>
    <w:lvl w:ilvl="3" w:tplc="0A663CAE" w:tentative="1">
      <w:start w:val="1"/>
      <w:numFmt w:val="bullet"/>
      <w:lvlText w:val=""/>
      <w:lvlJc w:val="left"/>
      <w:pPr>
        <w:tabs>
          <w:tab w:val="num" w:pos="2880"/>
        </w:tabs>
        <w:ind w:left="2880" w:hanging="360"/>
      </w:pPr>
      <w:rPr>
        <w:rFonts w:ascii="Wingdings" w:hAnsi="Wingdings" w:hint="default"/>
      </w:rPr>
    </w:lvl>
    <w:lvl w:ilvl="4" w:tplc="41ACE130" w:tentative="1">
      <w:start w:val="1"/>
      <w:numFmt w:val="bullet"/>
      <w:lvlText w:val=""/>
      <w:lvlJc w:val="left"/>
      <w:pPr>
        <w:tabs>
          <w:tab w:val="num" w:pos="3600"/>
        </w:tabs>
        <w:ind w:left="3600" w:hanging="360"/>
      </w:pPr>
      <w:rPr>
        <w:rFonts w:ascii="Wingdings" w:hAnsi="Wingdings" w:hint="default"/>
      </w:rPr>
    </w:lvl>
    <w:lvl w:ilvl="5" w:tplc="91E80006" w:tentative="1">
      <w:start w:val="1"/>
      <w:numFmt w:val="bullet"/>
      <w:lvlText w:val=""/>
      <w:lvlJc w:val="left"/>
      <w:pPr>
        <w:tabs>
          <w:tab w:val="num" w:pos="4320"/>
        </w:tabs>
        <w:ind w:left="4320" w:hanging="360"/>
      </w:pPr>
      <w:rPr>
        <w:rFonts w:ascii="Wingdings" w:hAnsi="Wingdings" w:hint="default"/>
      </w:rPr>
    </w:lvl>
    <w:lvl w:ilvl="6" w:tplc="5888BEA8" w:tentative="1">
      <w:start w:val="1"/>
      <w:numFmt w:val="bullet"/>
      <w:lvlText w:val=""/>
      <w:lvlJc w:val="left"/>
      <w:pPr>
        <w:tabs>
          <w:tab w:val="num" w:pos="5040"/>
        </w:tabs>
        <w:ind w:left="5040" w:hanging="360"/>
      </w:pPr>
      <w:rPr>
        <w:rFonts w:ascii="Wingdings" w:hAnsi="Wingdings" w:hint="default"/>
      </w:rPr>
    </w:lvl>
    <w:lvl w:ilvl="7" w:tplc="A69AF070" w:tentative="1">
      <w:start w:val="1"/>
      <w:numFmt w:val="bullet"/>
      <w:lvlText w:val=""/>
      <w:lvlJc w:val="left"/>
      <w:pPr>
        <w:tabs>
          <w:tab w:val="num" w:pos="5760"/>
        </w:tabs>
        <w:ind w:left="5760" w:hanging="360"/>
      </w:pPr>
      <w:rPr>
        <w:rFonts w:ascii="Wingdings" w:hAnsi="Wingdings" w:hint="default"/>
      </w:rPr>
    </w:lvl>
    <w:lvl w:ilvl="8" w:tplc="B952381C" w:tentative="1">
      <w:start w:val="1"/>
      <w:numFmt w:val="bullet"/>
      <w:lvlText w:val=""/>
      <w:lvlJc w:val="left"/>
      <w:pPr>
        <w:tabs>
          <w:tab w:val="num" w:pos="6480"/>
        </w:tabs>
        <w:ind w:left="6480" w:hanging="360"/>
      </w:pPr>
      <w:rPr>
        <w:rFonts w:ascii="Wingdings" w:hAnsi="Wingdings" w:hint="default"/>
      </w:rPr>
    </w:lvl>
  </w:abstractNum>
  <w:abstractNum w:abstractNumId="19">
    <w:nsid w:val="368C492F"/>
    <w:multiLevelType w:val="hybridMultilevel"/>
    <w:tmpl w:val="AE02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6B20DBD"/>
    <w:multiLevelType w:val="hybridMultilevel"/>
    <w:tmpl w:val="9D32EE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6C553F0"/>
    <w:multiLevelType w:val="hybridMultilevel"/>
    <w:tmpl w:val="DC0EC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92A303E"/>
    <w:multiLevelType w:val="hybridMultilevel"/>
    <w:tmpl w:val="CD5A7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165ECC"/>
    <w:multiLevelType w:val="hybridMultilevel"/>
    <w:tmpl w:val="6A42C3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C32109A"/>
    <w:multiLevelType w:val="multilevel"/>
    <w:tmpl w:val="10EE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E8D5832"/>
    <w:multiLevelType w:val="hybridMultilevel"/>
    <w:tmpl w:val="7A2C7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0941EFA"/>
    <w:multiLevelType w:val="hybridMultilevel"/>
    <w:tmpl w:val="3F8C4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29A54F4"/>
    <w:multiLevelType w:val="hybridMultilevel"/>
    <w:tmpl w:val="9CC0E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7D73B41"/>
    <w:multiLevelType w:val="multilevel"/>
    <w:tmpl w:val="CD5A77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491E3605"/>
    <w:multiLevelType w:val="hybridMultilevel"/>
    <w:tmpl w:val="66902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F39018F"/>
    <w:multiLevelType w:val="hybridMultilevel"/>
    <w:tmpl w:val="12828878"/>
    <w:lvl w:ilvl="0" w:tplc="04090001">
      <w:start w:val="1"/>
      <w:numFmt w:val="bullet"/>
      <w:lvlText w:val=""/>
      <w:lvlJc w:val="left"/>
      <w:pPr>
        <w:ind w:left="502" w:hanging="360"/>
      </w:pPr>
      <w:rPr>
        <w:rFonts w:ascii="Symbol" w:hAnsi="Symbol" w:hint="default"/>
      </w:rPr>
    </w:lvl>
    <w:lvl w:ilvl="1" w:tplc="04090003">
      <w:start w:val="1"/>
      <w:numFmt w:val="bullet"/>
      <w:lvlText w:val="o"/>
      <w:lvlJc w:val="left"/>
      <w:pPr>
        <w:ind w:left="1222" w:hanging="360"/>
      </w:pPr>
      <w:rPr>
        <w:rFonts w:ascii="Courier New" w:hAnsi="Courier New" w:hint="default"/>
      </w:rPr>
    </w:lvl>
    <w:lvl w:ilvl="2" w:tplc="04090005">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1">
    <w:nsid w:val="4F510E80"/>
    <w:multiLevelType w:val="hybridMultilevel"/>
    <w:tmpl w:val="E8767C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3AA5D1F"/>
    <w:multiLevelType w:val="hybridMultilevel"/>
    <w:tmpl w:val="CE529A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3AD5194"/>
    <w:multiLevelType w:val="hybridMultilevel"/>
    <w:tmpl w:val="E08C1E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6D44D57"/>
    <w:multiLevelType w:val="hybridMultilevel"/>
    <w:tmpl w:val="BA782C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84646F6"/>
    <w:multiLevelType w:val="hybridMultilevel"/>
    <w:tmpl w:val="F8FEAD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9281A20"/>
    <w:multiLevelType w:val="hybridMultilevel"/>
    <w:tmpl w:val="C6206A8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7">
    <w:nsid w:val="5968365D"/>
    <w:multiLevelType w:val="hybridMultilevel"/>
    <w:tmpl w:val="94B203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5BE649D4"/>
    <w:multiLevelType w:val="hybridMultilevel"/>
    <w:tmpl w:val="279E1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5C7129E4"/>
    <w:multiLevelType w:val="hybridMultilevel"/>
    <w:tmpl w:val="A64ACF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5DAC6B37"/>
    <w:multiLevelType w:val="hybridMultilevel"/>
    <w:tmpl w:val="B3BE0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12F240B"/>
    <w:multiLevelType w:val="hybridMultilevel"/>
    <w:tmpl w:val="DBD2962C"/>
    <w:lvl w:ilvl="0" w:tplc="86C48CB8">
      <w:start w:val="1"/>
      <w:numFmt w:val="decimal"/>
      <w:lvlText w:val="%1."/>
      <w:lvlJc w:val="left"/>
      <w:pPr>
        <w:ind w:left="360" w:hanging="360"/>
      </w:pPr>
      <w:rPr>
        <w:rFonts w:ascii="Cambria" w:eastAsiaTheme="minorEastAsia" w:hAnsi="Cambria"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6208217E"/>
    <w:multiLevelType w:val="hybridMultilevel"/>
    <w:tmpl w:val="C09A7652"/>
    <w:lvl w:ilvl="0" w:tplc="E8E89E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27B55DC"/>
    <w:multiLevelType w:val="hybridMultilevel"/>
    <w:tmpl w:val="5AE68A3A"/>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4">
    <w:nsid w:val="71B32069"/>
    <w:multiLevelType w:val="hybridMultilevel"/>
    <w:tmpl w:val="168449CE"/>
    <w:lvl w:ilvl="0" w:tplc="DF40490A">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73597962"/>
    <w:multiLevelType w:val="hybridMultilevel"/>
    <w:tmpl w:val="D52A68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CE4010F"/>
    <w:multiLevelType w:val="hybridMultilevel"/>
    <w:tmpl w:val="FFB68F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7DB60543"/>
    <w:multiLevelType w:val="hybridMultilevel"/>
    <w:tmpl w:val="FCC6D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1"/>
  </w:num>
  <w:num w:numId="3">
    <w:abstractNumId w:val="13"/>
  </w:num>
  <w:num w:numId="4">
    <w:abstractNumId w:val="26"/>
  </w:num>
  <w:num w:numId="5">
    <w:abstractNumId w:val="30"/>
  </w:num>
  <w:num w:numId="6">
    <w:abstractNumId w:val="7"/>
  </w:num>
  <w:num w:numId="7">
    <w:abstractNumId w:val="37"/>
  </w:num>
  <w:num w:numId="8">
    <w:abstractNumId w:val="19"/>
  </w:num>
  <w:num w:numId="9">
    <w:abstractNumId w:val="4"/>
  </w:num>
  <w:num w:numId="10">
    <w:abstractNumId w:val="33"/>
  </w:num>
  <w:num w:numId="11">
    <w:abstractNumId w:val="15"/>
  </w:num>
  <w:num w:numId="12">
    <w:abstractNumId w:val="23"/>
  </w:num>
  <w:num w:numId="13">
    <w:abstractNumId w:val="47"/>
  </w:num>
  <w:num w:numId="14">
    <w:abstractNumId w:val="12"/>
  </w:num>
  <w:num w:numId="15">
    <w:abstractNumId w:val="0"/>
  </w:num>
  <w:num w:numId="16">
    <w:abstractNumId w:val="14"/>
  </w:num>
  <w:num w:numId="17">
    <w:abstractNumId w:val="27"/>
  </w:num>
  <w:num w:numId="18">
    <w:abstractNumId w:val="24"/>
  </w:num>
  <w:num w:numId="19">
    <w:abstractNumId w:val="20"/>
  </w:num>
  <w:num w:numId="20">
    <w:abstractNumId w:val="34"/>
  </w:num>
  <w:num w:numId="21">
    <w:abstractNumId w:val="6"/>
  </w:num>
  <w:num w:numId="22">
    <w:abstractNumId w:val="44"/>
  </w:num>
  <w:num w:numId="23">
    <w:abstractNumId w:val="36"/>
  </w:num>
  <w:num w:numId="24">
    <w:abstractNumId w:val="10"/>
  </w:num>
  <w:num w:numId="25">
    <w:abstractNumId w:val="1"/>
  </w:num>
  <w:num w:numId="26">
    <w:abstractNumId w:val="8"/>
  </w:num>
  <w:num w:numId="27">
    <w:abstractNumId w:val="18"/>
  </w:num>
  <w:num w:numId="28">
    <w:abstractNumId w:val="9"/>
  </w:num>
  <w:num w:numId="29">
    <w:abstractNumId w:val="38"/>
  </w:num>
  <w:num w:numId="30">
    <w:abstractNumId w:val="35"/>
  </w:num>
  <w:num w:numId="31">
    <w:abstractNumId w:val="46"/>
  </w:num>
  <w:num w:numId="32">
    <w:abstractNumId w:val="40"/>
  </w:num>
  <w:num w:numId="33">
    <w:abstractNumId w:val="39"/>
  </w:num>
  <w:num w:numId="34">
    <w:abstractNumId w:val="2"/>
  </w:num>
  <w:num w:numId="35">
    <w:abstractNumId w:val="21"/>
  </w:num>
  <w:num w:numId="36">
    <w:abstractNumId w:val="45"/>
  </w:num>
  <w:num w:numId="37">
    <w:abstractNumId w:val="22"/>
  </w:num>
  <w:num w:numId="38">
    <w:abstractNumId w:val="3"/>
  </w:num>
  <w:num w:numId="39">
    <w:abstractNumId w:val="28"/>
  </w:num>
  <w:num w:numId="40">
    <w:abstractNumId w:val="41"/>
  </w:num>
  <w:num w:numId="41">
    <w:abstractNumId w:val="17"/>
  </w:num>
  <w:num w:numId="42">
    <w:abstractNumId w:val="5"/>
  </w:num>
  <w:num w:numId="43">
    <w:abstractNumId w:val="16"/>
  </w:num>
  <w:num w:numId="44">
    <w:abstractNumId w:val="43"/>
  </w:num>
  <w:num w:numId="45">
    <w:abstractNumId w:val="32"/>
  </w:num>
  <w:num w:numId="46">
    <w:abstractNumId w:val="42"/>
  </w:num>
  <w:num w:numId="47">
    <w:abstractNumId w:val="29"/>
  </w:num>
  <w:num w:numId="48">
    <w:abstractNumId w:val="2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DE4"/>
    <w:rsid w:val="000101E9"/>
    <w:rsid w:val="00013D09"/>
    <w:rsid w:val="00022808"/>
    <w:rsid w:val="00026326"/>
    <w:rsid w:val="00026544"/>
    <w:rsid w:val="000274AD"/>
    <w:rsid w:val="0003061F"/>
    <w:rsid w:val="00040BD3"/>
    <w:rsid w:val="000427E2"/>
    <w:rsid w:val="00047309"/>
    <w:rsid w:val="00047503"/>
    <w:rsid w:val="00051E66"/>
    <w:rsid w:val="00063CCD"/>
    <w:rsid w:val="00067946"/>
    <w:rsid w:val="00070E2C"/>
    <w:rsid w:val="00074631"/>
    <w:rsid w:val="0008010C"/>
    <w:rsid w:val="0008356B"/>
    <w:rsid w:val="00087BD6"/>
    <w:rsid w:val="00091074"/>
    <w:rsid w:val="00091610"/>
    <w:rsid w:val="0009347E"/>
    <w:rsid w:val="000A6D85"/>
    <w:rsid w:val="000B1E34"/>
    <w:rsid w:val="000B45BC"/>
    <w:rsid w:val="000B4CA3"/>
    <w:rsid w:val="000B5AB5"/>
    <w:rsid w:val="000B5EA9"/>
    <w:rsid w:val="000B68E5"/>
    <w:rsid w:val="000B6B18"/>
    <w:rsid w:val="000C102E"/>
    <w:rsid w:val="000C31A4"/>
    <w:rsid w:val="000C4252"/>
    <w:rsid w:val="000D04AF"/>
    <w:rsid w:val="000D0A23"/>
    <w:rsid w:val="000D1C36"/>
    <w:rsid w:val="000D3473"/>
    <w:rsid w:val="000D50C3"/>
    <w:rsid w:val="000D6392"/>
    <w:rsid w:val="000E2A9F"/>
    <w:rsid w:val="000E3D61"/>
    <w:rsid w:val="000E58FA"/>
    <w:rsid w:val="000F1349"/>
    <w:rsid w:val="000F2B94"/>
    <w:rsid w:val="000F3456"/>
    <w:rsid w:val="000F4D41"/>
    <w:rsid w:val="000F7666"/>
    <w:rsid w:val="00100561"/>
    <w:rsid w:val="00104448"/>
    <w:rsid w:val="00104E65"/>
    <w:rsid w:val="00106472"/>
    <w:rsid w:val="00112512"/>
    <w:rsid w:val="00114615"/>
    <w:rsid w:val="00114931"/>
    <w:rsid w:val="001160E1"/>
    <w:rsid w:val="0013460C"/>
    <w:rsid w:val="00142942"/>
    <w:rsid w:val="001503FE"/>
    <w:rsid w:val="00154666"/>
    <w:rsid w:val="001656AF"/>
    <w:rsid w:val="00171B56"/>
    <w:rsid w:val="00172EED"/>
    <w:rsid w:val="00173091"/>
    <w:rsid w:val="00180B8E"/>
    <w:rsid w:val="00187A56"/>
    <w:rsid w:val="00187D31"/>
    <w:rsid w:val="001921D6"/>
    <w:rsid w:val="00193EF6"/>
    <w:rsid w:val="0019549C"/>
    <w:rsid w:val="001968B9"/>
    <w:rsid w:val="001A1350"/>
    <w:rsid w:val="001A494E"/>
    <w:rsid w:val="001B4198"/>
    <w:rsid w:val="001B5562"/>
    <w:rsid w:val="001C04F2"/>
    <w:rsid w:val="001C0D42"/>
    <w:rsid w:val="001C0D46"/>
    <w:rsid w:val="001C0D4A"/>
    <w:rsid w:val="001C1F3B"/>
    <w:rsid w:val="001C7BC0"/>
    <w:rsid w:val="001C7D0A"/>
    <w:rsid w:val="001D083D"/>
    <w:rsid w:val="001D14CE"/>
    <w:rsid w:val="001D18EB"/>
    <w:rsid w:val="001D4A5C"/>
    <w:rsid w:val="001E00E1"/>
    <w:rsid w:val="001E0A01"/>
    <w:rsid w:val="001E4C45"/>
    <w:rsid w:val="001E5B58"/>
    <w:rsid w:val="001F039D"/>
    <w:rsid w:val="001F0EBE"/>
    <w:rsid w:val="001F4059"/>
    <w:rsid w:val="001F4F5B"/>
    <w:rsid w:val="001F7BE7"/>
    <w:rsid w:val="00201352"/>
    <w:rsid w:val="00202AAA"/>
    <w:rsid w:val="00203363"/>
    <w:rsid w:val="002078BA"/>
    <w:rsid w:val="0021024C"/>
    <w:rsid w:val="0021236F"/>
    <w:rsid w:val="002140E2"/>
    <w:rsid w:val="00217EEE"/>
    <w:rsid w:val="00227499"/>
    <w:rsid w:val="002308F9"/>
    <w:rsid w:val="0023520C"/>
    <w:rsid w:val="0023667C"/>
    <w:rsid w:val="0023718A"/>
    <w:rsid w:val="0023731B"/>
    <w:rsid w:val="00237F67"/>
    <w:rsid w:val="00240396"/>
    <w:rsid w:val="00242723"/>
    <w:rsid w:val="00245AF3"/>
    <w:rsid w:val="00263BF9"/>
    <w:rsid w:val="00266923"/>
    <w:rsid w:val="0027598D"/>
    <w:rsid w:val="00287579"/>
    <w:rsid w:val="00290ECE"/>
    <w:rsid w:val="00293EFE"/>
    <w:rsid w:val="002947BB"/>
    <w:rsid w:val="002949CB"/>
    <w:rsid w:val="002A5EE7"/>
    <w:rsid w:val="002B2970"/>
    <w:rsid w:val="002B2EA0"/>
    <w:rsid w:val="002B3A70"/>
    <w:rsid w:val="002B682B"/>
    <w:rsid w:val="002C7B03"/>
    <w:rsid w:val="002D0E39"/>
    <w:rsid w:val="002D26A8"/>
    <w:rsid w:val="002D42DB"/>
    <w:rsid w:val="002D51B5"/>
    <w:rsid w:val="002D6535"/>
    <w:rsid w:val="002D7A1B"/>
    <w:rsid w:val="002E2DC7"/>
    <w:rsid w:val="002E5DA4"/>
    <w:rsid w:val="002E660F"/>
    <w:rsid w:val="002F0EE1"/>
    <w:rsid w:val="002F44AE"/>
    <w:rsid w:val="002F6B6E"/>
    <w:rsid w:val="002F6D84"/>
    <w:rsid w:val="0030052E"/>
    <w:rsid w:val="0030196D"/>
    <w:rsid w:val="00304C52"/>
    <w:rsid w:val="00307518"/>
    <w:rsid w:val="00310D61"/>
    <w:rsid w:val="00311313"/>
    <w:rsid w:val="00313987"/>
    <w:rsid w:val="003151CA"/>
    <w:rsid w:val="003255B3"/>
    <w:rsid w:val="00331622"/>
    <w:rsid w:val="003363ED"/>
    <w:rsid w:val="0033726E"/>
    <w:rsid w:val="003403EC"/>
    <w:rsid w:val="00345CD1"/>
    <w:rsid w:val="00346140"/>
    <w:rsid w:val="00346A40"/>
    <w:rsid w:val="003478E6"/>
    <w:rsid w:val="003556F1"/>
    <w:rsid w:val="00356DA0"/>
    <w:rsid w:val="0035730F"/>
    <w:rsid w:val="0035740F"/>
    <w:rsid w:val="00357A3F"/>
    <w:rsid w:val="0036062D"/>
    <w:rsid w:val="0036106D"/>
    <w:rsid w:val="003656DC"/>
    <w:rsid w:val="00374998"/>
    <w:rsid w:val="00380B36"/>
    <w:rsid w:val="00383790"/>
    <w:rsid w:val="00385319"/>
    <w:rsid w:val="003908B9"/>
    <w:rsid w:val="00396BFF"/>
    <w:rsid w:val="003A6885"/>
    <w:rsid w:val="003B0937"/>
    <w:rsid w:val="003C1C29"/>
    <w:rsid w:val="003C41C9"/>
    <w:rsid w:val="003E2220"/>
    <w:rsid w:val="003F3B39"/>
    <w:rsid w:val="003F4AA1"/>
    <w:rsid w:val="003F54C2"/>
    <w:rsid w:val="003F7613"/>
    <w:rsid w:val="003F7A21"/>
    <w:rsid w:val="004026AE"/>
    <w:rsid w:val="004046A3"/>
    <w:rsid w:val="00404E70"/>
    <w:rsid w:val="00407925"/>
    <w:rsid w:val="00413FC4"/>
    <w:rsid w:val="00416863"/>
    <w:rsid w:val="00420173"/>
    <w:rsid w:val="00424D83"/>
    <w:rsid w:val="004317D4"/>
    <w:rsid w:val="00436CD4"/>
    <w:rsid w:val="00441AF7"/>
    <w:rsid w:val="0044751C"/>
    <w:rsid w:val="004629BF"/>
    <w:rsid w:val="00467455"/>
    <w:rsid w:val="004703FE"/>
    <w:rsid w:val="00471EAA"/>
    <w:rsid w:val="00477534"/>
    <w:rsid w:val="00481435"/>
    <w:rsid w:val="00482FD7"/>
    <w:rsid w:val="00484D4A"/>
    <w:rsid w:val="004852EF"/>
    <w:rsid w:val="00485495"/>
    <w:rsid w:val="00485DF5"/>
    <w:rsid w:val="00486C05"/>
    <w:rsid w:val="00493CC4"/>
    <w:rsid w:val="00494C56"/>
    <w:rsid w:val="00494E3A"/>
    <w:rsid w:val="00496B32"/>
    <w:rsid w:val="004970C7"/>
    <w:rsid w:val="00497F55"/>
    <w:rsid w:val="004A3EC3"/>
    <w:rsid w:val="004B1579"/>
    <w:rsid w:val="004B3707"/>
    <w:rsid w:val="004B5553"/>
    <w:rsid w:val="004C231E"/>
    <w:rsid w:val="004D6DE4"/>
    <w:rsid w:val="004D7C42"/>
    <w:rsid w:val="004E41EF"/>
    <w:rsid w:val="004E6C9A"/>
    <w:rsid w:val="004F318F"/>
    <w:rsid w:val="004F4DE4"/>
    <w:rsid w:val="005002AB"/>
    <w:rsid w:val="00505F1D"/>
    <w:rsid w:val="005123AF"/>
    <w:rsid w:val="005169E2"/>
    <w:rsid w:val="00516B2B"/>
    <w:rsid w:val="005237AD"/>
    <w:rsid w:val="005239B0"/>
    <w:rsid w:val="00523CE4"/>
    <w:rsid w:val="00526C21"/>
    <w:rsid w:val="005300B5"/>
    <w:rsid w:val="00534D0A"/>
    <w:rsid w:val="0053739D"/>
    <w:rsid w:val="00545008"/>
    <w:rsid w:val="0055260E"/>
    <w:rsid w:val="00553084"/>
    <w:rsid w:val="00553F39"/>
    <w:rsid w:val="005612CB"/>
    <w:rsid w:val="00562426"/>
    <w:rsid w:val="0056347A"/>
    <w:rsid w:val="00563C86"/>
    <w:rsid w:val="00564046"/>
    <w:rsid w:val="00566123"/>
    <w:rsid w:val="005673CA"/>
    <w:rsid w:val="0058020D"/>
    <w:rsid w:val="00587505"/>
    <w:rsid w:val="00595F8A"/>
    <w:rsid w:val="005A245C"/>
    <w:rsid w:val="005B0644"/>
    <w:rsid w:val="005B22FD"/>
    <w:rsid w:val="005B5D89"/>
    <w:rsid w:val="005B60D5"/>
    <w:rsid w:val="005C090B"/>
    <w:rsid w:val="005C79D3"/>
    <w:rsid w:val="005D0F7F"/>
    <w:rsid w:val="005D1246"/>
    <w:rsid w:val="005D4570"/>
    <w:rsid w:val="005D63D9"/>
    <w:rsid w:val="005E7678"/>
    <w:rsid w:val="005F24EC"/>
    <w:rsid w:val="005F4589"/>
    <w:rsid w:val="00604BC3"/>
    <w:rsid w:val="00605605"/>
    <w:rsid w:val="00605638"/>
    <w:rsid w:val="00614123"/>
    <w:rsid w:val="00622DD0"/>
    <w:rsid w:val="00623D08"/>
    <w:rsid w:val="00625147"/>
    <w:rsid w:val="00633DF2"/>
    <w:rsid w:val="0063763E"/>
    <w:rsid w:val="00644966"/>
    <w:rsid w:val="00645CD9"/>
    <w:rsid w:val="00652ED4"/>
    <w:rsid w:val="006531BF"/>
    <w:rsid w:val="00653515"/>
    <w:rsid w:val="00654DBF"/>
    <w:rsid w:val="006551AA"/>
    <w:rsid w:val="00655DC4"/>
    <w:rsid w:val="006567C3"/>
    <w:rsid w:val="0066405D"/>
    <w:rsid w:val="0066490C"/>
    <w:rsid w:val="006725DC"/>
    <w:rsid w:val="00673769"/>
    <w:rsid w:val="00673C07"/>
    <w:rsid w:val="00675D85"/>
    <w:rsid w:val="00677044"/>
    <w:rsid w:val="00681500"/>
    <w:rsid w:val="00686AD1"/>
    <w:rsid w:val="006903CC"/>
    <w:rsid w:val="006912C2"/>
    <w:rsid w:val="00692002"/>
    <w:rsid w:val="006A1FBE"/>
    <w:rsid w:val="006B038D"/>
    <w:rsid w:val="006B11C5"/>
    <w:rsid w:val="006B208A"/>
    <w:rsid w:val="006B621B"/>
    <w:rsid w:val="006C6022"/>
    <w:rsid w:val="006C61C9"/>
    <w:rsid w:val="006D05C0"/>
    <w:rsid w:val="006D0FED"/>
    <w:rsid w:val="006D6B8C"/>
    <w:rsid w:val="006D7661"/>
    <w:rsid w:val="006E2685"/>
    <w:rsid w:val="006E3BF5"/>
    <w:rsid w:val="006E4C15"/>
    <w:rsid w:val="006F0B04"/>
    <w:rsid w:val="006F2C0A"/>
    <w:rsid w:val="007076BB"/>
    <w:rsid w:val="00713497"/>
    <w:rsid w:val="0072173B"/>
    <w:rsid w:val="00722C70"/>
    <w:rsid w:val="007238C3"/>
    <w:rsid w:val="007259BB"/>
    <w:rsid w:val="00727DD4"/>
    <w:rsid w:val="00730D05"/>
    <w:rsid w:val="007312B4"/>
    <w:rsid w:val="00732DB4"/>
    <w:rsid w:val="007342FE"/>
    <w:rsid w:val="00736994"/>
    <w:rsid w:val="00743F91"/>
    <w:rsid w:val="007538D9"/>
    <w:rsid w:val="00756F4F"/>
    <w:rsid w:val="00765D5E"/>
    <w:rsid w:val="00766A22"/>
    <w:rsid w:val="00767737"/>
    <w:rsid w:val="00773C60"/>
    <w:rsid w:val="0077438A"/>
    <w:rsid w:val="007750BD"/>
    <w:rsid w:val="00781A84"/>
    <w:rsid w:val="00783917"/>
    <w:rsid w:val="00784852"/>
    <w:rsid w:val="00795104"/>
    <w:rsid w:val="007A1594"/>
    <w:rsid w:val="007A378D"/>
    <w:rsid w:val="007A4686"/>
    <w:rsid w:val="007A5A3A"/>
    <w:rsid w:val="007B2014"/>
    <w:rsid w:val="007B2093"/>
    <w:rsid w:val="007B4D4D"/>
    <w:rsid w:val="007B61F8"/>
    <w:rsid w:val="007C0018"/>
    <w:rsid w:val="007C49BD"/>
    <w:rsid w:val="007D0890"/>
    <w:rsid w:val="007D6AFE"/>
    <w:rsid w:val="007E7ECE"/>
    <w:rsid w:val="007F3122"/>
    <w:rsid w:val="00802D07"/>
    <w:rsid w:val="008034E2"/>
    <w:rsid w:val="00805388"/>
    <w:rsid w:val="0081167E"/>
    <w:rsid w:val="00816ECB"/>
    <w:rsid w:val="00822326"/>
    <w:rsid w:val="00823573"/>
    <w:rsid w:val="00823A8D"/>
    <w:rsid w:val="008274F5"/>
    <w:rsid w:val="00830BBA"/>
    <w:rsid w:val="00834412"/>
    <w:rsid w:val="00837623"/>
    <w:rsid w:val="00842E9B"/>
    <w:rsid w:val="00846697"/>
    <w:rsid w:val="0084712C"/>
    <w:rsid w:val="00852358"/>
    <w:rsid w:val="008548E5"/>
    <w:rsid w:val="008613F4"/>
    <w:rsid w:val="008656BE"/>
    <w:rsid w:val="0087142B"/>
    <w:rsid w:val="00871692"/>
    <w:rsid w:val="008764A1"/>
    <w:rsid w:val="008765C4"/>
    <w:rsid w:val="00881988"/>
    <w:rsid w:val="00882990"/>
    <w:rsid w:val="008830DA"/>
    <w:rsid w:val="00885DCE"/>
    <w:rsid w:val="008863FA"/>
    <w:rsid w:val="00894747"/>
    <w:rsid w:val="00897950"/>
    <w:rsid w:val="008A512C"/>
    <w:rsid w:val="008A6294"/>
    <w:rsid w:val="008B0691"/>
    <w:rsid w:val="008B244F"/>
    <w:rsid w:val="008C0623"/>
    <w:rsid w:val="008C128A"/>
    <w:rsid w:val="008C3963"/>
    <w:rsid w:val="008C5BBB"/>
    <w:rsid w:val="008D0122"/>
    <w:rsid w:val="008D4226"/>
    <w:rsid w:val="008D640F"/>
    <w:rsid w:val="008E1930"/>
    <w:rsid w:val="008E6E1C"/>
    <w:rsid w:val="008F285F"/>
    <w:rsid w:val="008F5374"/>
    <w:rsid w:val="00902DF6"/>
    <w:rsid w:val="00904708"/>
    <w:rsid w:val="00906762"/>
    <w:rsid w:val="009105B9"/>
    <w:rsid w:val="00910C04"/>
    <w:rsid w:val="0091241B"/>
    <w:rsid w:val="00917B30"/>
    <w:rsid w:val="009217C9"/>
    <w:rsid w:val="00924846"/>
    <w:rsid w:val="00924B4C"/>
    <w:rsid w:val="00926B57"/>
    <w:rsid w:val="00927809"/>
    <w:rsid w:val="00933C27"/>
    <w:rsid w:val="00935D08"/>
    <w:rsid w:val="009363A2"/>
    <w:rsid w:val="00937F3F"/>
    <w:rsid w:val="00940F77"/>
    <w:rsid w:val="00943C8C"/>
    <w:rsid w:val="00944F87"/>
    <w:rsid w:val="00947B08"/>
    <w:rsid w:val="00947B4C"/>
    <w:rsid w:val="00951ED0"/>
    <w:rsid w:val="0095390E"/>
    <w:rsid w:val="00953EF1"/>
    <w:rsid w:val="00961E27"/>
    <w:rsid w:val="00965C9A"/>
    <w:rsid w:val="00966D00"/>
    <w:rsid w:val="00967BD9"/>
    <w:rsid w:val="0097272D"/>
    <w:rsid w:val="009763FF"/>
    <w:rsid w:val="00986889"/>
    <w:rsid w:val="009946F7"/>
    <w:rsid w:val="00995D37"/>
    <w:rsid w:val="009A3EAB"/>
    <w:rsid w:val="009A4A46"/>
    <w:rsid w:val="009B7F42"/>
    <w:rsid w:val="009C17FD"/>
    <w:rsid w:val="009C2C5C"/>
    <w:rsid w:val="009C6713"/>
    <w:rsid w:val="009D2314"/>
    <w:rsid w:val="009D52BC"/>
    <w:rsid w:val="009D6E3A"/>
    <w:rsid w:val="009E35F5"/>
    <w:rsid w:val="009E3720"/>
    <w:rsid w:val="009E4B21"/>
    <w:rsid w:val="009F294B"/>
    <w:rsid w:val="009F324F"/>
    <w:rsid w:val="00A0345D"/>
    <w:rsid w:val="00A07058"/>
    <w:rsid w:val="00A12546"/>
    <w:rsid w:val="00A13111"/>
    <w:rsid w:val="00A149C3"/>
    <w:rsid w:val="00A1536E"/>
    <w:rsid w:val="00A17DFE"/>
    <w:rsid w:val="00A23D9B"/>
    <w:rsid w:val="00A24ECC"/>
    <w:rsid w:val="00A32F3C"/>
    <w:rsid w:val="00A33A5E"/>
    <w:rsid w:val="00A419DA"/>
    <w:rsid w:val="00A45B69"/>
    <w:rsid w:val="00A4619D"/>
    <w:rsid w:val="00A4754A"/>
    <w:rsid w:val="00A602F9"/>
    <w:rsid w:val="00A632A5"/>
    <w:rsid w:val="00A6350C"/>
    <w:rsid w:val="00A6408E"/>
    <w:rsid w:val="00A65740"/>
    <w:rsid w:val="00A7031E"/>
    <w:rsid w:val="00A71739"/>
    <w:rsid w:val="00A7393D"/>
    <w:rsid w:val="00A861CE"/>
    <w:rsid w:val="00A9681F"/>
    <w:rsid w:val="00AA1AE4"/>
    <w:rsid w:val="00AA3112"/>
    <w:rsid w:val="00AA4253"/>
    <w:rsid w:val="00AB6C91"/>
    <w:rsid w:val="00AD1A95"/>
    <w:rsid w:val="00AD2E1F"/>
    <w:rsid w:val="00AD3C6B"/>
    <w:rsid w:val="00AD4068"/>
    <w:rsid w:val="00AD6402"/>
    <w:rsid w:val="00AD64C5"/>
    <w:rsid w:val="00AE2C61"/>
    <w:rsid w:val="00AF351B"/>
    <w:rsid w:val="00AF39FA"/>
    <w:rsid w:val="00B01E68"/>
    <w:rsid w:val="00B037C9"/>
    <w:rsid w:val="00B06EE8"/>
    <w:rsid w:val="00B130B9"/>
    <w:rsid w:val="00B161D6"/>
    <w:rsid w:val="00B24F00"/>
    <w:rsid w:val="00B34793"/>
    <w:rsid w:val="00B422E7"/>
    <w:rsid w:val="00B42431"/>
    <w:rsid w:val="00B54014"/>
    <w:rsid w:val="00B54E2A"/>
    <w:rsid w:val="00B5613D"/>
    <w:rsid w:val="00B572F2"/>
    <w:rsid w:val="00B60A18"/>
    <w:rsid w:val="00B651E6"/>
    <w:rsid w:val="00B65DF6"/>
    <w:rsid w:val="00B73464"/>
    <w:rsid w:val="00B7442E"/>
    <w:rsid w:val="00B93F04"/>
    <w:rsid w:val="00B94BBB"/>
    <w:rsid w:val="00BA64B3"/>
    <w:rsid w:val="00BB1449"/>
    <w:rsid w:val="00BB56FE"/>
    <w:rsid w:val="00BC231E"/>
    <w:rsid w:val="00BC3230"/>
    <w:rsid w:val="00BC730F"/>
    <w:rsid w:val="00BD3CE6"/>
    <w:rsid w:val="00BD67BE"/>
    <w:rsid w:val="00BD7B83"/>
    <w:rsid w:val="00BE0460"/>
    <w:rsid w:val="00BE21B4"/>
    <w:rsid w:val="00BE41F7"/>
    <w:rsid w:val="00BE47DA"/>
    <w:rsid w:val="00BE6C05"/>
    <w:rsid w:val="00BF54C5"/>
    <w:rsid w:val="00BF57CB"/>
    <w:rsid w:val="00C044C4"/>
    <w:rsid w:val="00C06B0E"/>
    <w:rsid w:val="00C12B7C"/>
    <w:rsid w:val="00C146E6"/>
    <w:rsid w:val="00C1649D"/>
    <w:rsid w:val="00C21AB7"/>
    <w:rsid w:val="00C3310F"/>
    <w:rsid w:val="00C35493"/>
    <w:rsid w:val="00C42145"/>
    <w:rsid w:val="00C50B27"/>
    <w:rsid w:val="00C50DE6"/>
    <w:rsid w:val="00C56926"/>
    <w:rsid w:val="00C73B20"/>
    <w:rsid w:val="00C82B62"/>
    <w:rsid w:val="00C83F2C"/>
    <w:rsid w:val="00C96716"/>
    <w:rsid w:val="00CA50A5"/>
    <w:rsid w:val="00CB1ACE"/>
    <w:rsid w:val="00CB7951"/>
    <w:rsid w:val="00CC3176"/>
    <w:rsid w:val="00CC475E"/>
    <w:rsid w:val="00CC6073"/>
    <w:rsid w:val="00CD3FC9"/>
    <w:rsid w:val="00CD56BB"/>
    <w:rsid w:val="00CD69E9"/>
    <w:rsid w:val="00CE183C"/>
    <w:rsid w:val="00CE1A35"/>
    <w:rsid w:val="00CF3DE3"/>
    <w:rsid w:val="00CF622C"/>
    <w:rsid w:val="00CF68F9"/>
    <w:rsid w:val="00D04A5A"/>
    <w:rsid w:val="00D1174F"/>
    <w:rsid w:val="00D14E36"/>
    <w:rsid w:val="00D17751"/>
    <w:rsid w:val="00D25D2A"/>
    <w:rsid w:val="00D2619A"/>
    <w:rsid w:val="00D27499"/>
    <w:rsid w:val="00D32889"/>
    <w:rsid w:val="00D51629"/>
    <w:rsid w:val="00D62999"/>
    <w:rsid w:val="00D65C5E"/>
    <w:rsid w:val="00D76D5D"/>
    <w:rsid w:val="00D77E11"/>
    <w:rsid w:val="00D80AE2"/>
    <w:rsid w:val="00D82E6A"/>
    <w:rsid w:val="00D84EC6"/>
    <w:rsid w:val="00D87E8B"/>
    <w:rsid w:val="00D92440"/>
    <w:rsid w:val="00D94DD0"/>
    <w:rsid w:val="00DA0B08"/>
    <w:rsid w:val="00DA1CCA"/>
    <w:rsid w:val="00DA730D"/>
    <w:rsid w:val="00DB0522"/>
    <w:rsid w:val="00DB25AB"/>
    <w:rsid w:val="00DB2D5A"/>
    <w:rsid w:val="00DB3F22"/>
    <w:rsid w:val="00DB439F"/>
    <w:rsid w:val="00DC6F9C"/>
    <w:rsid w:val="00DD5327"/>
    <w:rsid w:val="00DD549D"/>
    <w:rsid w:val="00DE4916"/>
    <w:rsid w:val="00DE4D60"/>
    <w:rsid w:val="00DF2D17"/>
    <w:rsid w:val="00DF564E"/>
    <w:rsid w:val="00E35392"/>
    <w:rsid w:val="00E35ACA"/>
    <w:rsid w:val="00E36FCF"/>
    <w:rsid w:val="00E41133"/>
    <w:rsid w:val="00E43712"/>
    <w:rsid w:val="00E46E4B"/>
    <w:rsid w:val="00E47EF7"/>
    <w:rsid w:val="00E52765"/>
    <w:rsid w:val="00E7789E"/>
    <w:rsid w:val="00E8398D"/>
    <w:rsid w:val="00E85DFB"/>
    <w:rsid w:val="00EA6F9F"/>
    <w:rsid w:val="00EB36C8"/>
    <w:rsid w:val="00EB6BFB"/>
    <w:rsid w:val="00EC037A"/>
    <w:rsid w:val="00EC207E"/>
    <w:rsid w:val="00EC423F"/>
    <w:rsid w:val="00ED322A"/>
    <w:rsid w:val="00ED32A6"/>
    <w:rsid w:val="00ED366C"/>
    <w:rsid w:val="00EE051D"/>
    <w:rsid w:val="00EE06F5"/>
    <w:rsid w:val="00EE2A68"/>
    <w:rsid w:val="00EE341E"/>
    <w:rsid w:val="00EF101A"/>
    <w:rsid w:val="00EF5C0E"/>
    <w:rsid w:val="00F0431B"/>
    <w:rsid w:val="00F052E5"/>
    <w:rsid w:val="00F07DF4"/>
    <w:rsid w:val="00F224AF"/>
    <w:rsid w:val="00F27A89"/>
    <w:rsid w:val="00F345A9"/>
    <w:rsid w:val="00F34F88"/>
    <w:rsid w:val="00F356C9"/>
    <w:rsid w:val="00F37D8A"/>
    <w:rsid w:val="00F41443"/>
    <w:rsid w:val="00F416B6"/>
    <w:rsid w:val="00F4464A"/>
    <w:rsid w:val="00F446DA"/>
    <w:rsid w:val="00F45A2E"/>
    <w:rsid w:val="00F464EF"/>
    <w:rsid w:val="00F51941"/>
    <w:rsid w:val="00F54C11"/>
    <w:rsid w:val="00F54D6D"/>
    <w:rsid w:val="00F56045"/>
    <w:rsid w:val="00F56258"/>
    <w:rsid w:val="00F61513"/>
    <w:rsid w:val="00F628FC"/>
    <w:rsid w:val="00F73C77"/>
    <w:rsid w:val="00F82C32"/>
    <w:rsid w:val="00F90314"/>
    <w:rsid w:val="00F931A4"/>
    <w:rsid w:val="00F9371C"/>
    <w:rsid w:val="00F96986"/>
    <w:rsid w:val="00FA1803"/>
    <w:rsid w:val="00FB0D35"/>
    <w:rsid w:val="00FB2CD6"/>
    <w:rsid w:val="00FB7E77"/>
    <w:rsid w:val="00FC121A"/>
    <w:rsid w:val="00FC3DC5"/>
    <w:rsid w:val="00FC4768"/>
    <w:rsid w:val="00FC5ED0"/>
    <w:rsid w:val="00FC6D27"/>
    <w:rsid w:val="00FD09D9"/>
    <w:rsid w:val="00FD1697"/>
    <w:rsid w:val="00FD6A0A"/>
    <w:rsid w:val="00FE2C96"/>
    <w:rsid w:val="00FE5A08"/>
    <w:rsid w:val="00FF5306"/>
    <w:rsid w:val="00FF6E8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DAC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0" w:defSemiHidden="0" w:defUnhideWhenUsed="0" w:defQFormat="0" w:count="276">
    <w:lsdException w:name="Normal (Web)" w:uiPriority="99"/>
  </w:latentStyles>
  <w:style w:type="paragraph" w:default="1" w:styleId="Normal">
    <w:name w:val="Normal"/>
    <w:qFormat/>
    <w:rsid w:val="000E58FA"/>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B36"/>
    <w:pPr>
      <w:ind w:left="720"/>
      <w:contextualSpacing/>
    </w:pPr>
  </w:style>
  <w:style w:type="paragraph" w:styleId="NormalWeb">
    <w:name w:val="Normal (Web)"/>
    <w:basedOn w:val="Normal"/>
    <w:uiPriority w:val="99"/>
    <w:unhideWhenUsed/>
    <w:rsid w:val="008613F4"/>
    <w:pPr>
      <w:spacing w:before="100" w:beforeAutospacing="1" w:after="100" w:afterAutospacing="1"/>
    </w:pPr>
    <w:rPr>
      <w:rFonts w:ascii="Times" w:hAnsi="Times" w:cs="Times New Roman"/>
      <w:sz w:val="20"/>
      <w:szCs w:val="20"/>
      <w:lang w:eastAsia="en-US"/>
    </w:rPr>
  </w:style>
  <w:style w:type="paragraph" w:styleId="BalloonText">
    <w:name w:val="Balloon Text"/>
    <w:basedOn w:val="Normal"/>
    <w:link w:val="BalloonTextChar"/>
    <w:uiPriority w:val="99"/>
    <w:semiHidden/>
    <w:unhideWhenUsed/>
    <w:rsid w:val="003F4AA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4AA1"/>
    <w:rPr>
      <w:rFonts w:ascii="Lucida Grande" w:hAnsi="Lucida Grande" w:cs="Lucida Grande"/>
      <w:sz w:val="18"/>
      <w:szCs w:val="18"/>
    </w:rPr>
  </w:style>
  <w:style w:type="paragraph" w:styleId="Footer">
    <w:name w:val="footer"/>
    <w:basedOn w:val="Normal"/>
    <w:link w:val="FooterChar"/>
    <w:uiPriority w:val="99"/>
    <w:unhideWhenUsed/>
    <w:rsid w:val="004F4DE4"/>
    <w:pPr>
      <w:tabs>
        <w:tab w:val="center" w:pos="4320"/>
        <w:tab w:val="right" w:pos="8640"/>
      </w:tabs>
      <w:spacing w:after="0"/>
    </w:pPr>
  </w:style>
  <w:style w:type="character" w:customStyle="1" w:styleId="FooterChar">
    <w:name w:val="Footer Char"/>
    <w:basedOn w:val="DefaultParagraphFont"/>
    <w:link w:val="Footer"/>
    <w:uiPriority w:val="99"/>
    <w:rsid w:val="004F4DE4"/>
  </w:style>
  <w:style w:type="character" w:styleId="PageNumber">
    <w:name w:val="page number"/>
    <w:basedOn w:val="DefaultParagraphFont"/>
    <w:uiPriority w:val="99"/>
    <w:semiHidden/>
    <w:unhideWhenUsed/>
    <w:rsid w:val="004F4DE4"/>
  </w:style>
  <w:style w:type="table" w:styleId="TableGrid">
    <w:name w:val="Table Grid"/>
    <w:basedOn w:val="TableNormal"/>
    <w:uiPriority w:val="59"/>
    <w:rsid w:val="00FD09D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B130B9"/>
    <w:pPr>
      <w:spacing w:after="0"/>
    </w:pPr>
    <w:rPr>
      <w:rFonts w:eastAsiaTheme="minorHAnsi"/>
      <w:sz w:val="20"/>
      <w:szCs w:val="20"/>
      <w:lang w:eastAsia="en-US"/>
    </w:rPr>
  </w:style>
  <w:style w:type="character" w:customStyle="1" w:styleId="FootnoteTextChar">
    <w:name w:val="Footnote Text Char"/>
    <w:basedOn w:val="DefaultParagraphFont"/>
    <w:link w:val="FootnoteText"/>
    <w:uiPriority w:val="99"/>
    <w:rsid w:val="00B130B9"/>
    <w:rPr>
      <w:rFonts w:eastAsiaTheme="minorHAnsi"/>
      <w:sz w:val="20"/>
      <w:szCs w:val="20"/>
      <w:lang w:val="en-AU" w:eastAsia="en-US"/>
    </w:rPr>
  </w:style>
  <w:style w:type="character" w:styleId="FootnoteReference">
    <w:name w:val="footnote reference"/>
    <w:basedOn w:val="DefaultParagraphFont"/>
    <w:uiPriority w:val="99"/>
    <w:unhideWhenUsed/>
    <w:rsid w:val="00B130B9"/>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0" w:defSemiHidden="0" w:defUnhideWhenUsed="0" w:defQFormat="0" w:count="276">
    <w:lsdException w:name="Normal (Web)" w:uiPriority="99"/>
  </w:latentStyles>
  <w:style w:type="paragraph" w:default="1" w:styleId="Normal">
    <w:name w:val="Normal"/>
    <w:qFormat/>
    <w:rsid w:val="000E58FA"/>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B36"/>
    <w:pPr>
      <w:ind w:left="720"/>
      <w:contextualSpacing/>
    </w:pPr>
  </w:style>
  <w:style w:type="paragraph" w:styleId="NormalWeb">
    <w:name w:val="Normal (Web)"/>
    <w:basedOn w:val="Normal"/>
    <w:uiPriority w:val="99"/>
    <w:unhideWhenUsed/>
    <w:rsid w:val="008613F4"/>
    <w:pPr>
      <w:spacing w:before="100" w:beforeAutospacing="1" w:after="100" w:afterAutospacing="1"/>
    </w:pPr>
    <w:rPr>
      <w:rFonts w:ascii="Times" w:hAnsi="Times" w:cs="Times New Roman"/>
      <w:sz w:val="20"/>
      <w:szCs w:val="20"/>
      <w:lang w:eastAsia="en-US"/>
    </w:rPr>
  </w:style>
  <w:style w:type="paragraph" w:styleId="BalloonText">
    <w:name w:val="Balloon Text"/>
    <w:basedOn w:val="Normal"/>
    <w:link w:val="BalloonTextChar"/>
    <w:uiPriority w:val="99"/>
    <w:semiHidden/>
    <w:unhideWhenUsed/>
    <w:rsid w:val="003F4AA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4AA1"/>
    <w:rPr>
      <w:rFonts w:ascii="Lucida Grande" w:hAnsi="Lucida Grande" w:cs="Lucida Grande"/>
      <w:sz w:val="18"/>
      <w:szCs w:val="18"/>
    </w:rPr>
  </w:style>
  <w:style w:type="paragraph" w:styleId="Footer">
    <w:name w:val="footer"/>
    <w:basedOn w:val="Normal"/>
    <w:link w:val="FooterChar"/>
    <w:uiPriority w:val="99"/>
    <w:unhideWhenUsed/>
    <w:rsid w:val="004F4DE4"/>
    <w:pPr>
      <w:tabs>
        <w:tab w:val="center" w:pos="4320"/>
        <w:tab w:val="right" w:pos="8640"/>
      </w:tabs>
      <w:spacing w:after="0"/>
    </w:pPr>
  </w:style>
  <w:style w:type="character" w:customStyle="1" w:styleId="FooterChar">
    <w:name w:val="Footer Char"/>
    <w:basedOn w:val="DefaultParagraphFont"/>
    <w:link w:val="Footer"/>
    <w:uiPriority w:val="99"/>
    <w:rsid w:val="004F4DE4"/>
  </w:style>
  <w:style w:type="character" w:styleId="PageNumber">
    <w:name w:val="page number"/>
    <w:basedOn w:val="DefaultParagraphFont"/>
    <w:uiPriority w:val="99"/>
    <w:semiHidden/>
    <w:unhideWhenUsed/>
    <w:rsid w:val="004F4DE4"/>
  </w:style>
  <w:style w:type="table" w:styleId="TableGrid">
    <w:name w:val="Table Grid"/>
    <w:basedOn w:val="TableNormal"/>
    <w:uiPriority w:val="59"/>
    <w:rsid w:val="00FD09D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B130B9"/>
    <w:pPr>
      <w:spacing w:after="0"/>
    </w:pPr>
    <w:rPr>
      <w:rFonts w:eastAsiaTheme="minorHAnsi"/>
      <w:sz w:val="20"/>
      <w:szCs w:val="20"/>
      <w:lang w:eastAsia="en-US"/>
    </w:rPr>
  </w:style>
  <w:style w:type="character" w:customStyle="1" w:styleId="FootnoteTextChar">
    <w:name w:val="Footnote Text Char"/>
    <w:basedOn w:val="DefaultParagraphFont"/>
    <w:link w:val="FootnoteText"/>
    <w:uiPriority w:val="99"/>
    <w:rsid w:val="00B130B9"/>
    <w:rPr>
      <w:rFonts w:eastAsiaTheme="minorHAnsi"/>
      <w:sz w:val="20"/>
      <w:szCs w:val="20"/>
      <w:lang w:val="en-AU" w:eastAsia="en-US"/>
    </w:rPr>
  </w:style>
  <w:style w:type="character" w:styleId="FootnoteReference">
    <w:name w:val="footnote reference"/>
    <w:basedOn w:val="DefaultParagraphFont"/>
    <w:uiPriority w:val="99"/>
    <w:unhideWhenUsed/>
    <w:rsid w:val="00B130B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17343">
      <w:bodyDiv w:val="1"/>
      <w:marLeft w:val="0"/>
      <w:marRight w:val="0"/>
      <w:marTop w:val="0"/>
      <w:marBottom w:val="0"/>
      <w:divBdr>
        <w:top w:val="none" w:sz="0" w:space="0" w:color="auto"/>
        <w:left w:val="none" w:sz="0" w:space="0" w:color="auto"/>
        <w:bottom w:val="none" w:sz="0" w:space="0" w:color="auto"/>
        <w:right w:val="none" w:sz="0" w:space="0" w:color="auto"/>
      </w:divBdr>
      <w:divsChild>
        <w:div w:id="345250161">
          <w:marLeft w:val="0"/>
          <w:marRight w:val="0"/>
          <w:marTop w:val="0"/>
          <w:marBottom w:val="0"/>
          <w:divBdr>
            <w:top w:val="none" w:sz="0" w:space="0" w:color="auto"/>
            <w:left w:val="none" w:sz="0" w:space="0" w:color="auto"/>
            <w:bottom w:val="none" w:sz="0" w:space="0" w:color="auto"/>
            <w:right w:val="none" w:sz="0" w:space="0" w:color="auto"/>
          </w:divBdr>
          <w:divsChild>
            <w:div w:id="1113746930">
              <w:marLeft w:val="0"/>
              <w:marRight w:val="0"/>
              <w:marTop w:val="0"/>
              <w:marBottom w:val="0"/>
              <w:divBdr>
                <w:top w:val="none" w:sz="0" w:space="0" w:color="auto"/>
                <w:left w:val="none" w:sz="0" w:space="0" w:color="auto"/>
                <w:bottom w:val="none" w:sz="0" w:space="0" w:color="auto"/>
                <w:right w:val="none" w:sz="0" w:space="0" w:color="auto"/>
              </w:divBdr>
              <w:divsChild>
                <w:div w:id="124147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6039">
      <w:bodyDiv w:val="1"/>
      <w:marLeft w:val="0"/>
      <w:marRight w:val="0"/>
      <w:marTop w:val="0"/>
      <w:marBottom w:val="0"/>
      <w:divBdr>
        <w:top w:val="none" w:sz="0" w:space="0" w:color="auto"/>
        <w:left w:val="none" w:sz="0" w:space="0" w:color="auto"/>
        <w:bottom w:val="none" w:sz="0" w:space="0" w:color="auto"/>
        <w:right w:val="none" w:sz="0" w:space="0" w:color="auto"/>
      </w:divBdr>
    </w:div>
    <w:div w:id="150761310">
      <w:bodyDiv w:val="1"/>
      <w:marLeft w:val="0"/>
      <w:marRight w:val="0"/>
      <w:marTop w:val="0"/>
      <w:marBottom w:val="0"/>
      <w:divBdr>
        <w:top w:val="none" w:sz="0" w:space="0" w:color="auto"/>
        <w:left w:val="none" w:sz="0" w:space="0" w:color="auto"/>
        <w:bottom w:val="none" w:sz="0" w:space="0" w:color="auto"/>
        <w:right w:val="none" w:sz="0" w:space="0" w:color="auto"/>
      </w:divBdr>
    </w:div>
    <w:div w:id="444085788">
      <w:bodyDiv w:val="1"/>
      <w:marLeft w:val="0"/>
      <w:marRight w:val="0"/>
      <w:marTop w:val="0"/>
      <w:marBottom w:val="0"/>
      <w:divBdr>
        <w:top w:val="none" w:sz="0" w:space="0" w:color="auto"/>
        <w:left w:val="none" w:sz="0" w:space="0" w:color="auto"/>
        <w:bottom w:val="none" w:sz="0" w:space="0" w:color="auto"/>
        <w:right w:val="none" w:sz="0" w:space="0" w:color="auto"/>
      </w:divBdr>
    </w:div>
    <w:div w:id="527525573">
      <w:bodyDiv w:val="1"/>
      <w:marLeft w:val="0"/>
      <w:marRight w:val="0"/>
      <w:marTop w:val="0"/>
      <w:marBottom w:val="0"/>
      <w:divBdr>
        <w:top w:val="none" w:sz="0" w:space="0" w:color="auto"/>
        <w:left w:val="none" w:sz="0" w:space="0" w:color="auto"/>
        <w:bottom w:val="none" w:sz="0" w:space="0" w:color="auto"/>
        <w:right w:val="none" w:sz="0" w:space="0" w:color="auto"/>
      </w:divBdr>
    </w:div>
    <w:div w:id="645278420">
      <w:bodyDiv w:val="1"/>
      <w:marLeft w:val="0"/>
      <w:marRight w:val="0"/>
      <w:marTop w:val="0"/>
      <w:marBottom w:val="0"/>
      <w:divBdr>
        <w:top w:val="none" w:sz="0" w:space="0" w:color="auto"/>
        <w:left w:val="none" w:sz="0" w:space="0" w:color="auto"/>
        <w:bottom w:val="none" w:sz="0" w:space="0" w:color="auto"/>
        <w:right w:val="none" w:sz="0" w:space="0" w:color="auto"/>
      </w:divBdr>
      <w:divsChild>
        <w:div w:id="448428735">
          <w:marLeft w:val="0"/>
          <w:marRight w:val="0"/>
          <w:marTop w:val="0"/>
          <w:marBottom w:val="0"/>
          <w:divBdr>
            <w:top w:val="none" w:sz="0" w:space="0" w:color="auto"/>
            <w:left w:val="none" w:sz="0" w:space="0" w:color="auto"/>
            <w:bottom w:val="none" w:sz="0" w:space="0" w:color="auto"/>
            <w:right w:val="none" w:sz="0" w:space="0" w:color="auto"/>
          </w:divBdr>
          <w:divsChild>
            <w:div w:id="857698426">
              <w:marLeft w:val="0"/>
              <w:marRight w:val="0"/>
              <w:marTop w:val="0"/>
              <w:marBottom w:val="0"/>
              <w:divBdr>
                <w:top w:val="none" w:sz="0" w:space="0" w:color="auto"/>
                <w:left w:val="none" w:sz="0" w:space="0" w:color="auto"/>
                <w:bottom w:val="none" w:sz="0" w:space="0" w:color="auto"/>
                <w:right w:val="none" w:sz="0" w:space="0" w:color="auto"/>
              </w:divBdr>
              <w:divsChild>
                <w:div w:id="20887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648229">
      <w:bodyDiv w:val="1"/>
      <w:marLeft w:val="0"/>
      <w:marRight w:val="0"/>
      <w:marTop w:val="0"/>
      <w:marBottom w:val="0"/>
      <w:divBdr>
        <w:top w:val="none" w:sz="0" w:space="0" w:color="auto"/>
        <w:left w:val="none" w:sz="0" w:space="0" w:color="auto"/>
        <w:bottom w:val="none" w:sz="0" w:space="0" w:color="auto"/>
        <w:right w:val="none" w:sz="0" w:space="0" w:color="auto"/>
      </w:divBdr>
      <w:divsChild>
        <w:div w:id="1897815541">
          <w:marLeft w:val="0"/>
          <w:marRight w:val="0"/>
          <w:marTop w:val="0"/>
          <w:marBottom w:val="0"/>
          <w:divBdr>
            <w:top w:val="none" w:sz="0" w:space="0" w:color="auto"/>
            <w:left w:val="none" w:sz="0" w:space="0" w:color="auto"/>
            <w:bottom w:val="none" w:sz="0" w:space="0" w:color="auto"/>
            <w:right w:val="none" w:sz="0" w:space="0" w:color="auto"/>
          </w:divBdr>
          <w:divsChild>
            <w:div w:id="458838111">
              <w:marLeft w:val="0"/>
              <w:marRight w:val="0"/>
              <w:marTop w:val="0"/>
              <w:marBottom w:val="0"/>
              <w:divBdr>
                <w:top w:val="none" w:sz="0" w:space="0" w:color="auto"/>
                <w:left w:val="none" w:sz="0" w:space="0" w:color="auto"/>
                <w:bottom w:val="none" w:sz="0" w:space="0" w:color="auto"/>
                <w:right w:val="none" w:sz="0" w:space="0" w:color="auto"/>
              </w:divBdr>
              <w:divsChild>
                <w:div w:id="820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602823">
      <w:bodyDiv w:val="1"/>
      <w:marLeft w:val="0"/>
      <w:marRight w:val="0"/>
      <w:marTop w:val="0"/>
      <w:marBottom w:val="0"/>
      <w:divBdr>
        <w:top w:val="none" w:sz="0" w:space="0" w:color="auto"/>
        <w:left w:val="none" w:sz="0" w:space="0" w:color="auto"/>
        <w:bottom w:val="none" w:sz="0" w:space="0" w:color="auto"/>
        <w:right w:val="none" w:sz="0" w:space="0" w:color="auto"/>
      </w:divBdr>
    </w:div>
    <w:div w:id="1222596519">
      <w:bodyDiv w:val="1"/>
      <w:marLeft w:val="0"/>
      <w:marRight w:val="0"/>
      <w:marTop w:val="0"/>
      <w:marBottom w:val="0"/>
      <w:divBdr>
        <w:top w:val="none" w:sz="0" w:space="0" w:color="auto"/>
        <w:left w:val="none" w:sz="0" w:space="0" w:color="auto"/>
        <w:bottom w:val="none" w:sz="0" w:space="0" w:color="auto"/>
        <w:right w:val="none" w:sz="0" w:space="0" w:color="auto"/>
      </w:divBdr>
    </w:div>
    <w:div w:id="1258632812">
      <w:bodyDiv w:val="1"/>
      <w:marLeft w:val="0"/>
      <w:marRight w:val="0"/>
      <w:marTop w:val="0"/>
      <w:marBottom w:val="0"/>
      <w:divBdr>
        <w:top w:val="none" w:sz="0" w:space="0" w:color="auto"/>
        <w:left w:val="none" w:sz="0" w:space="0" w:color="auto"/>
        <w:bottom w:val="none" w:sz="0" w:space="0" w:color="auto"/>
        <w:right w:val="none" w:sz="0" w:space="0" w:color="auto"/>
      </w:divBdr>
      <w:divsChild>
        <w:div w:id="1282346437">
          <w:marLeft w:val="0"/>
          <w:marRight w:val="0"/>
          <w:marTop w:val="0"/>
          <w:marBottom w:val="0"/>
          <w:divBdr>
            <w:top w:val="none" w:sz="0" w:space="0" w:color="auto"/>
            <w:left w:val="none" w:sz="0" w:space="0" w:color="auto"/>
            <w:bottom w:val="none" w:sz="0" w:space="0" w:color="auto"/>
            <w:right w:val="none" w:sz="0" w:space="0" w:color="auto"/>
          </w:divBdr>
          <w:divsChild>
            <w:div w:id="74132001">
              <w:marLeft w:val="0"/>
              <w:marRight w:val="0"/>
              <w:marTop w:val="0"/>
              <w:marBottom w:val="0"/>
              <w:divBdr>
                <w:top w:val="none" w:sz="0" w:space="0" w:color="auto"/>
                <w:left w:val="none" w:sz="0" w:space="0" w:color="auto"/>
                <w:bottom w:val="none" w:sz="0" w:space="0" w:color="auto"/>
                <w:right w:val="none" w:sz="0" w:space="0" w:color="auto"/>
              </w:divBdr>
              <w:divsChild>
                <w:div w:id="66736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815667">
      <w:bodyDiv w:val="1"/>
      <w:marLeft w:val="0"/>
      <w:marRight w:val="0"/>
      <w:marTop w:val="0"/>
      <w:marBottom w:val="0"/>
      <w:divBdr>
        <w:top w:val="none" w:sz="0" w:space="0" w:color="auto"/>
        <w:left w:val="none" w:sz="0" w:space="0" w:color="auto"/>
        <w:bottom w:val="none" w:sz="0" w:space="0" w:color="auto"/>
        <w:right w:val="none" w:sz="0" w:space="0" w:color="auto"/>
      </w:divBdr>
      <w:divsChild>
        <w:div w:id="1753429532">
          <w:marLeft w:val="0"/>
          <w:marRight w:val="0"/>
          <w:marTop w:val="0"/>
          <w:marBottom w:val="0"/>
          <w:divBdr>
            <w:top w:val="none" w:sz="0" w:space="0" w:color="auto"/>
            <w:left w:val="none" w:sz="0" w:space="0" w:color="auto"/>
            <w:bottom w:val="none" w:sz="0" w:space="0" w:color="auto"/>
            <w:right w:val="none" w:sz="0" w:space="0" w:color="auto"/>
          </w:divBdr>
          <w:divsChild>
            <w:div w:id="923341891">
              <w:marLeft w:val="0"/>
              <w:marRight w:val="0"/>
              <w:marTop w:val="0"/>
              <w:marBottom w:val="0"/>
              <w:divBdr>
                <w:top w:val="none" w:sz="0" w:space="0" w:color="auto"/>
                <w:left w:val="none" w:sz="0" w:space="0" w:color="auto"/>
                <w:bottom w:val="none" w:sz="0" w:space="0" w:color="auto"/>
                <w:right w:val="none" w:sz="0" w:space="0" w:color="auto"/>
              </w:divBdr>
              <w:divsChild>
                <w:div w:id="905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D617A0-DFFA-CF49-A5B2-FB4B8558B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Pages>
  <Words>2098</Words>
  <Characters>11964</Characters>
  <Application>Microsoft Macintosh Word</Application>
  <DocSecurity>0</DocSecurity>
  <Lines>99</Lines>
  <Paragraphs>28</Paragraphs>
  <ScaleCrop>false</ScaleCrop>
  <Company/>
  <LinksUpToDate>false</LinksUpToDate>
  <CharactersWithSpaces>14034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Don Nguyen</cp:lastModifiedBy>
  <cp:revision>128</cp:revision>
  <dcterms:created xsi:type="dcterms:W3CDTF">2014-09-01T00:06:00Z</dcterms:created>
  <dcterms:modified xsi:type="dcterms:W3CDTF">2014-10-07T05:35:00Z</dcterms:modified>
</cp:coreProperties>
</file>