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F46E5"/>
          <w:sz w:val="40"/>
          <w:szCs w:val="40"/>
        </w:rPr>
        <w:t xml:space="preserve">DELT</w:t>
      </w:r>
    </w:p>
    <w:p>
      <w:pPr>
        <w:spacing w:after="60"/>
      </w:pPr>
      <w:r>
        <w:rPr>
          <w:rFonts w:ascii="Calibri" w:cs="Calibri" w:eastAsia="Calibri" w:hAnsi="Calibri"/>
          <w:b/>
          <w:bCs/>
          <w:sz w:val="32"/>
          <w:szCs w:val="32"/>
        </w:rPr>
        <w:t xml:space="preserve">Sales Agent Compensation Plan</w:t>
      </w:r>
    </w:p>
    <w:p>
      <w:pPr>
        <w:pBdr>
          <w:bottom w:val="single" w:color="4F46E5" w:sz="8"/>
        </w:pBdr>
        <w:spacing w:after="260"/>
      </w:pPr>
      <w:r>
        <w:rPr>
          <w:rFonts w:ascii="Calibri" w:cs="Calibri" w:eastAsia="Calibri" w:hAnsi="Calibri"/>
          <w:i/>
          <w:iCs/>
          <w:color w:val="6B7280"/>
          <w:sz w:val="20"/>
          <w:szCs w:val="20"/>
        </w:rPr>
        <w:t xml:space="preserve">Effective [DATE] • Summary — the Delt agent agreement is the controlling document</w:t>
      </w:r>
    </w:p>
    <w:p>
      <w:pPr>
        <w:spacing w:after="140"/>
      </w:pPr>
      <w:r>
        <w:rPr>
          <w:rFonts w:ascii="Calibri" w:cs="Calibri" w:eastAsia="Calibri" w:hAnsi="Calibri"/>
          <w:b/>
          <w:bCs/>
          <w:sz w:val="22"/>
          <w:szCs w:val="22"/>
        </w:rPr>
        <w:t xml:space="preserve">Every account you sign pays you twice: </w:t>
      </w:r>
      <w:r>
        <w:rPr>
          <w:rFonts w:ascii="Calibri" w:cs="Calibri" w:eastAsia="Calibri" w:hAnsi="Calibri"/>
          <w:sz w:val="22"/>
          <w:szCs w:val="22"/>
        </w:rPr>
        <w:t xml:space="preserve">a cash activation bonus now, and a lifetime residual every month after — for as long as the merchant processes with Delt. Capital deals, milestones, and team overrides stack on top. Everything on this page appears, per merchant and per month, in your agent portal.</w:t>
      </w:r>
    </w:p>
    <w:p>
      <w:pPr>
        <w:spacing w:after="120" w:before="300"/>
      </w:pPr>
      <w:r>
        <w:rPr>
          <w:rFonts w:ascii="Calibri" w:cs="Calibri" w:eastAsia="Calibri" w:hAnsi="Calibri"/>
          <w:b/>
          <w:bCs/>
          <w:color w:val="4F46E5"/>
          <w:sz w:val="26"/>
          <w:szCs w:val="26"/>
        </w:rPr>
        <w:t xml:space="preserve">1. Activation bonuses</w:t>
      </w:r>
    </w:p>
    <w:p>
      <w:pPr>
        <w:spacing w:after="140"/>
      </w:pPr>
      <w:r>
        <w:rPr>
          <w:rFonts w:ascii="Calibri" w:cs="Calibri" w:eastAsia="Calibri" w:hAnsi="Calibri"/>
          <w:sz w:val="22"/>
          <w:szCs w:val="22"/>
        </w:rPr>
        <w:t xml:space="preserve">Paid on the 15th following the merchant’s first processed batch. Scales with merchant size.</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6000"/>
        <w:gridCol w:w="3360"/>
      </w:tblGrid>
      <w:tr>
        <w:tc>
          <w:tcPr>
            <w:tcW w:type="dxa" w:w="6000"/>
            <w:shd w:fill="EEF2FF" w:val="clear"/>
            <w:tcMar>
              <w:top w:type="dxa" w:w="80"/>
              <w:left w:type="dxa" w:w="120"/>
              <w:bottom w:type="dxa" w:w="80"/>
              <w:right w:type="dxa" w:w="120"/>
            </w:tcMar>
          </w:tcPr>
          <w:p>
            <w:pPr>
              <w:spacing w:after="0"/>
            </w:pPr>
            <w:r>
              <w:rPr>
                <w:b/>
                <w:bCs/>
                <w:sz w:val="20"/>
                <w:szCs w:val="20"/>
              </w:rPr>
              <w:t xml:space="preserve">Merchant’s monthly card volume</w:t>
            </w:r>
          </w:p>
        </w:tc>
        <w:tc>
          <w:tcPr>
            <w:tcW w:type="dxa" w:w="3360"/>
            <w:shd w:fill="EEF2FF" w:val="clear"/>
            <w:tcMar>
              <w:top w:type="dxa" w:w="80"/>
              <w:left w:type="dxa" w:w="120"/>
              <w:bottom w:type="dxa" w:w="80"/>
              <w:right w:type="dxa" w:w="120"/>
            </w:tcMar>
          </w:tcPr>
          <w:p>
            <w:pPr>
              <w:spacing w:after="0"/>
              <w:jc w:val="right"/>
            </w:pPr>
            <w:r>
              <w:rPr>
                <w:b/>
                <w:bCs/>
                <w:sz w:val="20"/>
                <w:szCs w:val="20"/>
              </w:rPr>
              <w:t xml:space="preserve">Bonus</w:t>
            </w:r>
          </w:p>
        </w:tc>
      </w:tr>
      <w:tr>
        <w:tc>
          <w:tcPr>
            <w:tcW w:type="dxa" w:w="6000"/>
            <w:tcMar>
              <w:top w:type="dxa" w:w="80"/>
              <w:left w:type="dxa" w:w="120"/>
              <w:bottom w:type="dxa" w:w="80"/>
              <w:right w:type="dxa" w:w="120"/>
            </w:tcMar>
          </w:tcPr>
          <w:p>
            <w:pPr>
              <w:spacing w:after="0"/>
            </w:pPr>
            <w:r>
              <w:rPr>
                <w:sz w:val="21"/>
                <w:szCs w:val="21"/>
              </w:rPr>
              <w:t xml:space="preserve">Under $10,000 monthly card volume</w:t>
            </w:r>
          </w:p>
        </w:tc>
        <w:tc>
          <w:tcPr>
            <w:tcW w:type="dxa" w:w="3360"/>
            <w:tcMar>
              <w:top w:type="dxa" w:w="80"/>
              <w:left w:type="dxa" w:w="120"/>
              <w:bottom w:type="dxa" w:w="80"/>
              <w:right w:type="dxa" w:w="120"/>
            </w:tcMar>
          </w:tcPr>
          <w:p>
            <w:pPr>
              <w:spacing w:after="0"/>
              <w:jc w:val="right"/>
            </w:pPr>
            <w:r>
              <w:rPr>
                <w:b/>
                <w:bCs/>
                <w:sz w:val="21"/>
                <w:szCs w:val="21"/>
              </w:rPr>
              <w:t xml:space="preserve">$150</w:t>
            </w:r>
          </w:p>
        </w:tc>
      </w:tr>
      <w:tr>
        <w:tc>
          <w:tcPr>
            <w:tcW w:type="dxa" w:w="6000"/>
            <w:tcMar>
              <w:top w:type="dxa" w:w="80"/>
              <w:left w:type="dxa" w:w="120"/>
              <w:bottom w:type="dxa" w:w="80"/>
              <w:right w:type="dxa" w:w="120"/>
            </w:tcMar>
          </w:tcPr>
          <w:p>
            <w:pPr>
              <w:spacing w:after="0"/>
            </w:pPr>
            <w:r>
              <w:rPr>
                <w:sz w:val="21"/>
                <w:szCs w:val="21"/>
              </w:rPr>
              <w:t xml:space="preserve">$10,000 – $25,000</w:t>
            </w:r>
          </w:p>
        </w:tc>
        <w:tc>
          <w:tcPr>
            <w:tcW w:type="dxa" w:w="3360"/>
            <w:tcMar>
              <w:top w:type="dxa" w:w="80"/>
              <w:left w:type="dxa" w:w="120"/>
              <w:bottom w:type="dxa" w:w="80"/>
              <w:right w:type="dxa" w:w="120"/>
            </w:tcMar>
          </w:tcPr>
          <w:p>
            <w:pPr>
              <w:spacing w:after="0"/>
              <w:jc w:val="right"/>
            </w:pPr>
            <w:r>
              <w:rPr>
                <w:b/>
                <w:bCs/>
                <w:sz w:val="21"/>
                <w:szCs w:val="21"/>
              </w:rPr>
              <w:t xml:space="preserve">$250</w:t>
            </w:r>
          </w:p>
        </w:tc>
      </w:tr>
      <w:tr>
        <w:tc>
          <w:tcPr>
            <w:tcW w:type="dxa" w:w="6000"/>
            <w:tcMar>
              <w:top w:type="dxa" w:w="80"/>
              <w:left w:type="dxa" w:w="120"/>
              <w:bottom w:type="dxa" w:w="80"/>
              <w:right w:type="dxa" w:w="120"/>
            </w:tcMar>
          </w:tcPr>
          <w:p>
            <w:pPr>
              <w:spacing w:after="0"/>
            </w:pPr>
            <w:r>
              <w:rPr>
                <w:sz w:val="21"/>
                <w:szCs w:val="21"/>
              </w:rPr>
              <w:t xml:space="preserve">$25,000 – $50,000</w:t>
            </w:r>
          </w:p>
        </w:tc>
        <w:tc>
          <w:tcPr>
            <w:tcW w:type="dxa" w:w="3360"/>
            <w:tcMar>
              <w:top w:type="dxa" w:w="80"/>
              <w:left w:type="dxa" w:w="120"/>
              <w:bottom w:type="dxa" w:w="80"/>
              <w:right w:type="dxa" w:w="120"/>
            </w:tcMar>
          </w:tcPr>
          <w:p>
            <w:pPr>
              <w:spacing w:after="0"/>
              <w:jc w:val="right"/>
            </w:pPr>
            <w:r>
              <w:rPr>
                <w:b/>
                <w:bCs/>
                <w:sz w:val="21"/>
                <w:szCs w:val="21"/>
              </w:rPr>
              <w:t xml:space="preserve">$400</w:t>
            </w:r>
          </w:p>
        </w:tc>
      </w:tr>
      <w:tr>
        <w:tc>
          <w:tcPr>
            <w:tcW w:type="dxa" w:w="6000"/>
            <w:tcMar>
              <w:top w:type="dxa" w:w="80"/>
              <w:left w:type="dxa" w:w="120"/>
              <w:bottom w:type="dxa" w:w="80"/>
              <w:right w:type="dxa" w:w="120"/>
            </w:tcMar>
          </w:tcPr>
          <w:p>
            <w:pPr>
              <w:spacing w:after="0"/>
            </w:pPr>
            <w:r>
              <w:rPr>
                <w:sz w:val="21"/>
                <w:szCs w:val="21"/>
              </w:rPr>
              <w:t xml:space="preserve">$50,000 – $100,000</w:t>
            </w:r>
          </w:p>
        </w:tc>
        <w:tc>
          <w:tcPr>
            <w:tcW w:type="dxa" w:w="3360"/>
            <w:tcMar>
              <w:top w:type="dxa" w:w="80"/>
              <w:left w:type="dxa" w:w="120"/>
              <w:bottom w:type="dxa" w:w="80"/>
              <w:right w:type="dxa" w:w="120"/>
            </w:tcMar>
          </w:tcPr>
          <w:p>
            <w:pPr>
              <w:spacing w:after="0"/>
              <w:jc w:val="right"/>
            </w:pPr>
            <w:r>
              <w:rPr>
                <w:b/>
                <w:bCs/>
                <w:sz w:val="21"/>
                <w:szCs w:val="21"/>
              </w:rPr>
              <w:t xml:space="preserve">$600</w:t>
            </w:r>
          </w:p>
        </w:tc>
      </w:tr>
      <w:tr>
        <w:tc>
          <w:tcPr>
            <w:tcW w:type="dxa" w:w="6000"/>
            <w:tcMar>
              <w:top w:type="dxa" w:w="80"/>
              <w:left w:type="dxa" w:w="120"/>
              <w:bottom w:type="dxa" w:w="80"/>
              <w:right w:type="dxa" w:w="120"/>
            </w:tcMar>
          </w:tcPr>
          <w:p>
            <w:pPr>
              <w:spacing w:after="0"/>
            </w:pPr>
            <w:r>
              <w:rPr>
                <w:sz w:val="21"/>
                <w:szCs w:val="21"/>
              </w:rPr>
              <w:t xml:space="preserve">$100,000+</w:t>
            </w:r>
          </w:p>
        </w:tc>
        <w:tc>
          <w:tcPr>
            <w:tcW w:type="dxa" w:w="3360"/>
            <w:tcMar>
              <w:top w:type="dxa" w:w="80"/>
              <w:left w:type="dxa" w:w="120"/>
              <w:bottom w:type="dxa" w:w="80"/>
              <w:right w:type="dxa" w:w="120"/>
            </w:tcMar>
          </w:tcPr>
          <w:p>
            <w:pPr>
              <w:spacing w:after="0"/>
              <w:jc w:val="right"/>
            </w:pPr>
            <w:r>
              <w:rPr>
                <w:b/>
                <w:bCs/>
                <w:sz w:val="21"/>
                <w:szCs w:val="21"/>
              </w:rPr>
              <w:t xml:space="preserve">$1,000</w:t>
            </w:r>
          </w:p>
        </w:tc>
      </w:tr>
      <w:tr>
        <w:tc>
          <w:tcPr>
            <w:tcW w:type="dxa" w:w="6000"/>
            <w:tcMar>
              <w:top w:type="dxa" w:w="80"/>
              <w:left w:type="dxa" w:w="120"/>
              <w:bottom w:type="dxa" w:w="80"/>
              <w:right w:type="dxa" w:w="120"/>
            </w:tcMar>
          </w:tcPr>
          <w:p>
            <w:pPr>
              <w:spacing w:after="0"/>
            </w:pPr>
            <w:r>
              <w:rPr>
                <w:sz w:val="21"/>
                <w:szCs w:val="21"/>
              </w:rPr>
              <w:t xml:space="preserve">POS or Delt Capital attached</w:t>
            </w:r>
          </w:p>
        </w:tc>
        <w:tc>
          <w:tcPr>
            <w:tcW w:type="dxa" w:w="3360"/>
            <w:tcMar>
              <w:top w:type="dxa" w:w="80"/>
              <w:left w:type="dxa" w:w="120"/>
              <w:bottom w:type="dxa" w:w="80"/>
              <w:right w:type="dxa" w:w="120"/>
            </w:tcMar>
          </w:tcPr>
          <w:p>
            <w:pPr>
              <w:spacing w:after="0"/>
              <w:jc w:val="right"/>
            </w:pPr>
            <w:r>
              <w:rPr>
                <w:b/>
                <w:bCs/>
                <w:sz w:val="21"/>
                <w:szCs w:val="21"/>
              </w:rPr>
              <w:t xml:space="preserve">+$100 on any band</w:t>
            </w:r>
          </w:p>
        </w:tc>
      </w:tr>
    </w:tbl>
    <w:p>
      <w:pPr>
        <w:spacing w:after="60"/>
      </w:pPr>
    </w:p>
    <w:p>
      <w:pPr>
        <w:spacing w:after="140"/>
      </w:pPr>
      <w:r>
        <w:rPr>
          <w:rFonts w:ascii="Calibri" w:cs="Calibri" w:eastAsia="Calibri" w:hAnsi="Calibri"/>
          <w:color w:val="6B7280"/>
          <w:sz w:val="22"/>
          <w:szCs w:val="22"/>
        </w:rPr>
        <w:t xml:space="preserve">Bands of $400+ are confirmed by the merchant’s first full month of actual processing.</w:t>
      </w:r>
    </w:p>
    <w:p>
      <w:pPr>
        <w:spacing w:after="120" w:before="300"/>
      </w:pPr>
      <w:r>
        <w:rPr>
          <w:rFonts w:ascii="Calibri" w:cs="Calibri" w:eastAsia="Calibri" w:hAnsi="Calibri"/>
          <w:b/>
          <w:bCs/>
          <w:color w:val="4F46E5"/>
          <w:sz w:val="26"/>
          <w:szCs w:val="26"/>
        </w:rPr>
        <w:t xml:space="preserve">2. Lifetime residuals — the tier ladder</w:t>
      </w:r>
    </w:p>
    <w:p>
      <w:pPr>
        <w:spacing w:after="140"/>
      </w:pPr>
      <w:r>
        <w:rPr>
          <w:rFonts w:ascii="Calibri" w:cs="Calibri" w:eastAsia="Calibri" w:hAnsi="Calibri"/>
          <w:sz w:val="22"/>
          <w:szCs w:val="22"/>
        </w:rPr>
        <w:t xml:space="preserve">Your percentage of Delt’s net monthly program revenue on every account you sign, for as long as the merchant processes with Delt. Most ISOs start agents at 30–40%. Delt starts you where others top out.</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6000"/>
        <w:gridCol w:w="3360"/>
      </w:tblGrid>
      <w:tr>
        <w:tc>
          <w:tcPr>
            <w:tcW w:type="dxa" w:w="6000"/>
            <w:shd w:fill="EEF2FF" w:val="clear"/>
            <w:tcMar>
              <w:top w:type="dxa" w:w="80"/>
              <w:left w:type="dxa" w:w="120"/>
              <w:bottom w:type="dxa" w:w="80"/>
              <w:right w:type="dxa" w:w="120"/>
            </w:tcMar>
          </w:tcPr>
          <w:p>
            <w:pPr>
              <w:spacing w:after="0"/>
            </w:pPr>
            <w:r>
              <w:rPr>
                <w:b/>
                <w:bCs/>
                <w:sz w:val="20"/>
                <w:szCs w:val="20"/>
              </w:rPr>
              <w:t xml:space="preserve">Tier</w:t>
            </w:r>
          </w:p>
        </w:tc>
        <w:tc>
          <w:tcPr>
            <w:tcW w:type="dxa" w:w="3360"/>
            <w:shd w:fill="EEF2FF" w:val="clear"/>
            <w:tcMar>
              <w:top w:type="dxa" w:w="80"/>
              <w:left w:type="dxa" w:w="120"/>
              <w:bottom w:type="dxa" w:w="80"/>
              <w:right w:type="dxa" w:w="120"/>
            </w:tcMar>
          </w:tcPr>
          <w:p>
            <w:pPr>
              <w:spacing w:after="0"/>
              <w:jc w:val="right"/>
            </w:pPr>
            <w:r>
              <w:rPr>
                <w:b/>
                <w:bCs/>
                <w:sz w:val="20"/>
                <w:szCs w:val="20"/>
              </w:rPr>
              <w:t xml:space="preserve">Residual split</w:t>
            </w:r>
          </w:p>
        </w:tc>
      </w:tr>
      <w:tr>
        <w:tc>
          <w:tcPr>
            <w:tcW w:type="dxa" w:w="6000"/>
            <w:tcMar>
              <w:top w:type="dxa" w:w="80"/>
              <w:left w:type="dxa" w:w="120"/>
              <w:bottom w:type="dxa" w:w="80"/>
              <w:right w:type="dxa" w:w="120"/>
            </w:tcMar>
          </w:tcPr>
          <w:p>
            <w:pPr>
              <w:spacing w:after="0"/>
            </w:pPr>
            <w:r>
              <w:rPr>
                <w:sz w:val="21"/>
                <w:szCs w:val="21"/>
              </w:rPr>
              <w:t xml:space="preserve">Tier 1 — from day one</w:t>
            </w:r>
          </w:p>
        </w:tc>
        <w:tc>
          <w:tcPr>
            <w:tcW w:type="dxa" w:w="3360"/>
            <w:tcMar>
              <w:top w:type="dxa" w:w="80"/>
              <w:left w:type="dxa" w:w="120"/>
              <w:bottom w:type="dxa" w:w="80"/>
              <w:right w:type="dxa" w:w="120"/>
            </w:tcMar>
          </w:tcPr>
          <w:p>
            <w:pPr>
              <w:spacing w:after="0"/>
              <w:jc w:val="right"/>
            </w:pPr>
            <w:r>
              <w:rPr>
                <w:b/>
                <w:bCs/>
                <w:sz w:val="21"/>
                <w:szCs w:val="21"/>
              </w:rPr>
              <w:t xml:space="preserve">50%</w:t>
            </w:r>
          </w:p>
        </w:tc>
      </w:tr>
      <w:tr>
        <w:tc>
          <w:tcPr>
            <w:tcW w:type="dxa" w:w="6000"/>
            <w:tcMar>
              <w:top w:type="dxa" w:w="80"/>
              <w:left w:type="dxa" w:w="120"/>
              <w:bottom w:type="dxa" w:w="80"/>
              <w:right w:type="dxa" w:w="120"/>
            </w:tcMar>
          </w:tcPr>
          <w:p>
            <w:pPr>
              <w:spacing w:after="0"/>
            </w:pPr>
            <w:r>
              <w:rPr>
                <w:sz w:val="21"/>
                <w:szCs w:val="21"/>
              </w:rPr>
              <w:t xml:space="preserve">Tier 2 — 15+ active accounts</w:t>
            </w:r>
          </w:p>
        </w:tc>
        <w:tc>
          <w:tcPr>
            <w:tcW w:type="dxa" w:w="3360"/>
            <w:tcMar>
              <w:top w:type="dxa" w:w="80"/>
              <w:left w:type="dxa" w:w="120"/>
              <w:bottom w:type="dxa" w:w="80"/>
              <w:right w:type="dxa" w:w="120"/>
            </w:tcMar>
          </w:tcPr>
          <w:p>
            <w:pPr>
              <w:spacing w:after="0"/>
              <w:jc w:val="right"/>
            </w:pPr>
            <w:r>
              <w:rPr>
                <w:b/>
                <w:bCs/>
                <w:sz w:val="21"/>
                <w:szCs w:val="21"/>
              </w:rPr>
              <w:t xml:space="preserve">60%</w:t>
            </w:r>
          </w:p>
        </w:tc>
      </w:tr>
      <w:tr>
        <w:tc>
          <w:tcPr>
            <w:tcW w:type="dxa" w:w="6000"/>
            <w:tcMar>
              <w:top w:type="dxa" w:w="80"/>
              <w:left w:type="dxa" w:w="120"/>
              <w:bottom w:type="dxa" w:w="80"/>
              <w:right w:type="dxa" w:w="120"/>
            </w:tcMar>
          </w:tcPr>
          <w:p>
            <w:pPr>
              <w:spacing w:after="0"/>
            </w:pPr>
            <w:r>
              <w:rPr>
                <w:sz w:val="21"/>
                <w:szCs w:val="21"/>
              </w:rPr>
              <w:t xml:space="preserve">Tier 3 — 35+ active accounts</w:t>
            </w:r>
          </w:p>
        </w:tc>
        <w:tc>
          <w:tcPr>
            <w:tcW w:type="dxa" w:w="3360"/>
            <w:tcMar>
              <w:top w:type="dxa" w:w="80"/>
              <w:left w:type="dxa" w:w="120"/>
              <w:bottom w:type="dxa" w:w="80"/>
              <w:right w:type="dxa" w:w="120"/>
            </w:tcMar>
          </w:tcPr>
          <w:p>
            <w:pPr>
              <w:spacing w:after="0"/>
              <w:jc w:val="right"/>
            </w:pPr>
            <w:r>
              <w:rPr>
                <w:b/>
                <w:bCs/>
                <w:sz w:val="21"/>
                <w:szCs w:val="21"/>
              </w:rPr>
              <w:t xml:space="preserve">70%</w:t>
            </w:r>
          </w:p>
        </w:tc>
      </w:tr>
    </w:tbl>
    <w:p>
      <w:pPr>
        <w:spacing w:after="60"/>
      </w:pPr>
    </w:p>
    <w:p>
      <w:pPr>
        <w:spacing w:after="140"/>
      </w:pPr>
      <w:r>
        <w:rPr>
          <w:rFonts w:ascii="Calibri" w:cs="Calibri" w:eastAsia="Calibri" w:hAnsi="Calibri"/>
          <w:b/>
          <w:bCs/>
          <w:sz w:val="22"/>
          <w:szCs w:val="22"/>
        </w:rPr>
        <w:t xml:space="preserve">Residuals are never clawed back. The only clawback in the entire program is the activation bonus, and only if the merchant cancels within 90 days.</w:t>
      </w:r>
    </w:p>
    <w:p>
      <w:pPr>
        <w:spacing w:after="120" w:before="300"/>
      </w:pPr>
      <w:r>
        <w:rPr>
          <w:rFonts w:ascii="Calibri" w:cs="Calibri" w:eastAsia="Calibri" w:hAnsi="Calibri"/>
          <w:b/>
          <w:bCs/>
          <w:color w:val="4F46E5"/>
          <w:sz w:val="26"/>
          <w:szCs w:val="26"/>
        </w:rPr>
        <w:t xml:space="preserve">3. Delt Capital commission</w:t>
      </w:r>
    </w:p>
    <w:p>
      <w:pPr>
        <w:spacing w:after="140"/>
      </w:pPr>
      <w:r>
        <w:rPr>
          <w:rFonts w:ascii="Calibri" w:cs="Calibri" w:eastAsia="Calibri" w:hAnsi="Calibri"/>
          <w:b/>
          <w:bCs/>
          <w:sz w:val="22"/>
          <w:szCs w:val="22"/>
        </w:rPr>
        <w:t xml:space="preserve">3% of every funded amount, renewals included. </w:t>
      </w:r>
      <w:r>
        <w:rPr>
          <w:rFonts w:ascii="Calibri" w:cs="Calibri" w:eastAsia="Calibri" w:hAnsi="Calibri"/>
          <w:sz w:val="22"/>
          <w:szCs w:val="22"/>
        </w:rPr>
        <w:t xml:space="preserve">A $50,000 working-capital deal pays you $1,500, on top of the attach kicker. Your existing book keeps earning capital commissions every time a merchant renews — without a new sale.</w:t>
      </w:r>
    </w:p>
    <w:p>
      <w:pPr>
        <w:spacing w:after="120" w:before="300"/>
      </w:pPr>
      <w:r>
        <w:rPr>
          <w:rFonts w:ascii="Calibri" w:cs="Calibri" w:eastAsia="Calibri" w:hAnsi="Calibri"/>
          <w:b/>
          <w:bCs/>
          <w:color w:val="4F46E5"/>
          <w:sz w:val="26"/>
          <w:szCs w:val="26"/>
        </w:rPr>
        <w:t xml:space="preserve">4. Fast Start — up to $1,500 in your first 90 days</w:t>
      </w:r>
    </w:p>
    <w:tbl>
      <w:tblPr>
        <w:tblW w:type="dxa" w:w="9360"/>
        <w:tblBorders>
          <w:top w:val="single" w:color="D1D5DB" w:sz="4"/>
          <w:left w:val="single" w:color="D1D5DB" w:sz="4"/>
          <w:bottom w:val="single" w:color="D1D5DB" w:sz="4"/>
          <w:right w:val="single" w:color="D1D5DB" w:sz="4"/>
          <w:insideH w:val="single" w:color="E5E7EB" w:sz="4"/>
          <w:insideV w:val="single" w:color="E5E7EB" w:sz="4"/>
        </w:tblBorders>
      </w:tblPr>
      <w:tblGrid>
        <w:gridCol w:w="6000"/>
        <w:gridCol w:w="3360"/>
      </w:tblGrid>
      <w:tr>
        <w:tc>
          <w:tcPr>
            <w:tcW w:type="dxa" w:w="6000"/>
            <w:shd w:fill="EEF2FF" w:val="clear"/>
            <w:tcMar>
              <w:top w:type="dxa" w:w="80"/>
              <w:left w:type="dxa" w:w="120"/>
              <w:bottom w:type="dxa" w:w="80"/>
              <w:right w:type="dxa" w:w="120"/>
            </w:tcMar>
          </w:tcPr>
          <w:p>
            <w:pPr>
              <w:spacing w:after="0"/>
            </w:pPr>
            <w:r>
              <w:rPr>
                <w:b/>
                <w:bCs/>
                <w:sz w:val="20"/>
                <w:szCs w:val="20"/>
              </w:rPr>
              <w:t xml:space="preserve">Milestone</w:t>
            </w:r>
          </w:p>
        </w:tc>
        <w:tc>
          <w:tcPr>
            <w:tcW w:type="dxa" w:w="3360"/>
            <w:shd w:fill="EEF2FF" w:val="clear"/>
            <w:tcMar>
              <w:top w:type="dxa" w:w="80"/>
              <w:left w:type="dxa" w:w="120"/>
              <w:bottom w:type="dxa" w:w="80"/>
              <w:right w:type="dxa" w:w="120"/>
            </w:tcMar>
          </w:tcPr>
          <w:p>
            <w:pPr>
              <w:spacing w:after="0"/>
              <w:jc w:val="right"/>
            </w:pPr>
            <w:r>
              <w:rPr>
                <w:b/>
                <w:bCs/>
                <w:sz w:val="20"/>
                <w:szCs w:val="20"/>
              </w:rPr>
              <w:t xml:space="preserve">Bonus</w:t>
            </w:r>
          </w:p>
        </w:tc>
      </w:tr>
      <w:tr>
        <w:tc>
          <w:tcPr>
            <w:tcW w:type="dxa" w:w="6000"/>
            <w:tcMar>
              <w:top w:type="dxa" w:w="80"/>
              <w:left w:type="dxa" w:w="120"/>
              <w:bottom w:type="dxa" w:w="80"/>
              <w:right w:type="dxa" w:w="120"/>
            </w:tcMar>
          </w:tcPr>
          <w:p>
            <w:pPr>
              <w:spacing w:after="0"/>
            </w:pPr>
            <w:r>
              <w:rPr>
                <w:sz w:val="21"/>
                <w:szCs w:val="21"/>
              </w:rPr>
              <w:t xml:space="preserve">3 activations in your first 30 days</w:t>
            </w:r>
          </w:p>
        </w:tc>
        <w:tc>
          <w:tcPr>
            <w:tcW w:type="dxa" w:w="3360"/>
            <w:tcMar>
              <w:top w:type="dxa" w:w="80"/>
              <w:left w:type="dxa" w:w="120"/>
              <w:bottom w:type="dxa" w:w="80"/>
              <w:right w:type="dxa" w:w="120"/>
            </w:tcMar>
          </w:tcPr>
          <w:p>
            <w:pPr>
              <w:spacing w:after="0"/>
              <w:jc w:val="right"/>
            </w:pPr>
            <w:r>
              <w:rPr>
                <w:b/>
                <w:bCs/>
                <w:sz w:val="21"/>
                <w:szCs w:val="21"/>
              </w:rPr>
              <w:t xml:space="preserve">+$500</w:t>
            </w:r>
          </w:p>
        </w:tc>
      </w:tr>
      <w:tr>
        <w:tc>
          <w:tcPr>
            <w:tcW w:type="dxa" w:w="6000"/>
            <w:tcMar>
              <w:top w:type="dxa" w:w="80"/>
              <w:left w:type="dxa" w:w="120"/>
              <w:bottom w:type="dxa" w:w="80"/>
              <w:right w:type="dxa" w:w="120"/>
            </w:tcMar>
          </w:tcPr>
          <w:p>
            <w:pPr>
              <w:spacing w:after="0"/>
            </w:pPr>
            <w:r>
              <w:rPr>
                <w:sz w:val="21"/>
                <w:szCs w:val="21"/>
              </w:rPr>
              <w:t xml:space="preserve">10 activations in your first 90 days</w:t>
            </w:r>
          </w:p>
        </w:tc>
        <w:tc>
          <w:tcPr>
            <w:tcW w:type="dxa" w:w="3360"/>
            <w:tcMar>
              <w:top w:type="dxa" w:w="80"/>
              <w:left w:type="dxa" w:w="120"/>
              <w:bottom w:type="dxa" w:w="80"/>
              <w:right w:type="dxa" w:w="120"/>
            </w:tcMar>
          </w:tcPr>
          <w:p>
            <w:pPr>
              <w:spacing w:after="0"/>
              <w:jc w:val="right"/>
            </w:pPr>
            <w:r>
              <w:rPr>
                <w:b/>
                <w:bCs/>
                <w:sz w:val="21"/>
                <w:szCs w:val="21"/>
              </w:rPr>
              <w:t xml:space="preserve">+$1,000</w:t>
            </w:r>
          </w:p>
        </w:tc>
      </w:tr>
    </w:tbl>
    <w:p>
      <w:pPr>
        <w:spacing w:after="120" w:before="300"/>
      </w:pPr>
      <w:r>
        <w:rPr>
          <w:rFonts w:ascii="Calibri" w:cs="Calibri" w:eastAsia="Calibri" w:hAnsi="Calibri"/>
          <w:b/>
          <w:bCs/>
          <w:color w:val="4F46E5"/>
          <w:sz w:val="26"/>
          <w:szCs w:val="26"/>
        </w:rPr>
        <w:t xml:space="preserve">5. Build a team — recruiting override</w:t>
      </w:r>
    </w:p>
    <w:p>
      <w:pPr>
        <w:spacing w:after="140"/>
      </w:pPr>
      <w:r>
        <w:rPr>
          <w:rFonts w:ascii="Calibri" w:cs="Calibri" w:eastAsia="Calibri" w:hAnsi="Calibri"/>
          <w:b/>
          <w:bCs/>
          <w:sz w:val="22"/>
          <w:szCs w:val="22"/>
        </w:rPr>
        <w:t xml:space="preserve">10% override on the net residual production of every agent you personally recruit</w:t>
      </w:r>
      <w:r>
        <w:rPr>
          <w:rFonts w:ascii="Calibri" w:cs="Calibri" w:eastAsia="Calibri" w:hAnsi="Calibri"/>
          <w:sz w:val="22"/>
          <w:szCs w:val="22"/>
        </w:rPr>
        <w:t xml:space="preserve"> — paid from Delt’s share, never from theirs — for as long as you’re both active. Plus </w:t>
      </w:r>
      <w:r>
        <w:rPr>
          <w:rFonts w:ascii="Calibri" w:cs="Calibri" w:eastAsia="Calibri" w:hAnsi="Calibri"/>
          <w:b/>
          <w:bCs/>
          <w:sz w:val="22"/>
          <w:szCs w:val="22"/>
        </w:rPr>
        <w:t xml:space="preserve">$250 cash</w:t>
      </w:r>
      <w:r>
        <w:rPr>
          <w:rFonts w:ascii="Calibri" w:cs="Calibri" w:eastAsia="Calibri" w:hAnsi="Calibri"/>
          <w:sz w:val="22"/>
          <w:szCs w:val="22"/>
        </w:rPr>
        <w:t xml:space="preserve"> when your recruit reaches their 5th activation. One level only, and nobody ever pays a fee to join.</w:t>
      </w:r>
    </w:p>
    <w:p>
      <w:pPr>
        <w:spacing w:after="120" w:before="300"/>
      </w:pPr>
      <w:r>
        <w:rPr>
          <w:rFonts w:ascii="Calibri" w:cs="Calibri" w:eastAsia="Calibri" w:hAnsi="Calibri"/>
          <w:b/>
          <w:bCs/>
          <w:color w:val="4F46E5"/>
          <w:sz w:val="26"/>
          <w:szCs w:val="26"/>
        </w:rPr>
        <w:t xml:space="preserve">6. Referral Partner track (non-selling)</w:t>
      </w:r>
    </w:p>
    <w:p>
      <w:pPr>
        <w:spacing w:after="140"/>
      </w:pPr>
      <w:r>
        <w:rPr>
          <w:rFonts w:ascii="Calibri" w:cs="Calibri" w:eastAsia="Calibri" w:hAnsi="Calibri"/>
          <w:sz w:val="22"/>
          <w:szCs w:val="22"/>
        </w:rPr>
        <w:t xml:space="preserve">Know business owners but don’t want to run a pipeline? Refer the deal and Delt closes it — meetings, quote, paperwork. You earn </w:t>
      </w:r>
      <w:r>
        <w:rPr>
          <w:rFonts w:ascii="Calibri" w:cs="Calibri" w:eastAsia="Calibri" w:hAnsi="Calibri"/>
          <w:b/>
          <w:bCs/>
          <w:sz w:val="22"/>
          <w:szCs w:val="22"/>
        </w:rPr>
        <w:t xml:space="preserve">15% of net monthly program revenue on that account for the life of the account</w:t>
      </w:r>
      <w:r>
        <w:rPr>
          <w:rFonts w:ascii="Calibri" w:cs="Calibri" w:eastAsia="Calibri" w:hAnsi="Calibri"/>
          <w:sz w:val="22"/>
          <w:szCs w:val="22"/>
        </w:rPr>
        <w:t xml:space="preserve">, paid on the 15th with the same per-merchant statement. No quota, no minimum, no cap. Referral Partners can convert to the full agent track at any time.</w:t>
      </w:r>
    </w:p>
    <w:p>
      <w:pPr>
        <w:spacing w:after="120" w:before="300"/>
      </w:pPr>
      <w:r>
        <w:rPr>
          <w:rFonts w:ascii="Calibri" w:cs="Calibri" w:eastAsia="Calibri" w:hAnsi="Calibri"/>
          <w:b/>
          <w:bCs/>
          <w:color w:val="4F46E5"/>
          <w:sz w:val="26"/>
          <w:szCs w:val="26"/>
        </w:rPr>
        <w:t xml:space="preserve">7. What the math looks like</w:t>
      </w:r>
    </w:p>
    <w:p>
      <w:pPr>
        <w:spacing w:after="140"/>
      </w:pPr>
      <w:r>
        <w:rPr>
          <w:rFonts w:ascii="Calibri" w:cs="Calibri" w:eastAsia="Calibri" w:hAnsi="Calibri"/>
          <w:sz w:val="22"/>
          <w:szCs w:val="22"/>
        </w:rPr>
        <w:t xml:space="preserve">Modeled at the Tier 1 (50%) split with $45/account/month net to you and ~15% annual merchant attrition — the conservative floor. Tier 2/3 promotion raises residual lines 20%/40%. Capital commissions are not included — they stack on top.</w:t>
      </w:r>
    </w:p>
    <w:tbl>
      <w:tblPr>
        <w:tblW w:type="dxa" w:w="9600"/>
        <w:tblBorders>
          <w:top w:val="single" w:color="D1D5DB" w:sz="4"/>
          <w:left w:val="single" w:color="D1D5DB" w:sz="4"/>
          <w:bottom w:val="single" w:color="D1D5DB" w:sz="4"/>
          <w:right w:val="single" w:color="D1D5DB" w:sz="4"/>
          <w:insideH w:val="single" w:color="E5E7EB" w:sz="4"/>
          <w:insideV w:val="single" w:color="E5E7EB" w:sz="4"/>
        </w:tblBorders>
      </w:tblPr>
      <w:tblGrid>
        <w:gridCol w:w="1900"/>
        <w:gridCol w:w="1500"/>
        <w:gridCol w:w="1500"/>
        <w:gridCol w:w="1500"/>
        <w:gridCol w:w="1500"/>
        <w:gridCol w:w="1700"/>
      </w:tblGrid>
      <w:tr>
        <w:tc>
          <w:tcPr>
            <w:tcW w:type="dxa" w:w="1900"/>
            <w:shd w:fill="EEF2FF" w:val="clear"/>
            <w:tcMar>
              <w:top w:type="dxa" w:w="80"/>
              <w:left w:type="dxa" w:w="120"/>
              <w:bottom w:type="dxa" w:w="80"/>
              <w:right w:type="dxa" w:w="120"/>
            </w:tcMar>
          </w:tcPr>
          <w:p>
            <w:pPr>
              <w:spacing w:after="0"/>
            </w:pPr>
            <w:r>
              <w:rPr>
                <w:b/>
                <w:bCs/>
                <w:sz w:val="20"/>
                <w:szCs w:val="20"/>
              </w:rPr>
              <w:t xml:space="preserve">Pace</w:t>
            </w:r>
          </w:p>
        </w:tc>
        <w:tc>
          <w:tcPr>
            <w:tcW w:type="dxa" w:w="1500"/>
            <w:shd w:fill="EEF2FF" w:val="clear"/>
            <w:tcMar>
              <w:top w:type="dxa" w:w="80"/>
              <w:left w:type="dxa" w:w="120"/>
              <w:bottom w:type="dxa" w:w="80"/>
              <w:right w:type="dxa" w:w="120"/>
            </w:tcMar>
          </w:tcPr>
          <w:p>
            <w:pPr>
              <w:spacing w:after="0"/>
              <w:jc w:val="right"/>
            </w:pPr>
            <w:r>
              <w:rPr>
                <w:b/>
                <w:bCs/>
                <w:sz w:val="20"/>
                <w:szCs w:val="20"/>
              </w:rPr>
              <w:t xml:space="preserve">Accounts/mo</w:t>
            </w:r>
          </w:p>
        </w:tc>
        <w:tc>
          <w:tcPr>
            <w:tcW w:type="dxa" w:w="1500"/>
            <w:shd w:fill="EEF2FF" w:val="clear"/>
            <w:tcMar>
              <w:top w:type="dxa" w:w="80"/>
              <w:left w:type="dxa" w:w="120"/>
              <w:bottom w:type="dxa" w:w="80"/>
              <w:right w:type="dxa" w:w="120"/>
            </w:tcMar>
          </w:tcPr>
          <w:p>
            <w:pPr>
              <w:spacing w:after="0"/>
              <w:jc w:val="right"/>
            </w:pPr>
            <w:r>
              <w:rPr>
                <w:b/>
                <w:bCs/>
                <w:sz w:val="20"/>
                <w:szCs w:val="20"/>
              </w:rPr>
              <w:t xml:space="preserve">Month 3</w:t>
            </w:r>
          </w:p>
        </w:tc>
        <w:tc>
          <w:tcPr>
            <w:tcW w:type="dxa" w:w="1500"/>
            <w:shd w:fill="EEF2FF" w:val="clear"/>
            <w:tcMar>
              <w:top w:type="dxa" w:w="80"/>
              <w:left w:type="dxa" w:w="120"/>
              <w:bottom w:type="dxa" w:w="80"/>
              <w:right w:type="dxa" w:w="120"/>
            </w:tcMar>
          </w:tcPr>
          <w:p>
            <w:pPr>
              <w:spacing w:after="0"/>
              <w:jc w:val="right"/>
            </w:pPr>
            <w:r>
              <w:rPr>
                <w:b/>
                <w:bCs/>
                <w:sz w:val="20"/>
                <w:szCs w:val="20"/>
              </w:rPr>
              <w:t xml:space="preserve">Month 6</w:t>
            </w:r>
          </w:p>
        </w:tc>
        <w:tc>
          <w:tcPr>
            <w:tcW w:type="dxa" w:w="1500"/>
            <w:shd w:fill="EEF2FF" w:val="clear"/>
            <w:tcMar>
              <w:top w:type="dxa" w:w="80"/>
              <w:left w:type="dxa" w:w="120"/>
              <w:bottom w:type="dxa" w:w="80"/>
              <w:right w:type="dxa" w:w="120"/>
            </w:tcMar>
          </w:tcPr>
          <w:p>
            <w:pPr>
              <w:spacing w:after="0"/>
              <w:jc w:val="right"/>
            </w:pPr>
            <w:r>
              <w:rPr>
                <w:b/>
                <w:bCs/>
                <w:sz w:val="20"/>
                <w:szCs w:val="20"/>
              </w:rPr>
              <w:t xml:space="preserve">Month 12</w:t>
            </w:r>
          </w:p>
        </w:tc>
        <w:tc>
          <w:tcPr>
            <w:tcW w:type="dxa" w:w="1700"/>
            <w:shd w:fill="EEF2FF" w:val="clear"/>
            <w:tcMar>
              <w:top w:type="dxa" w:w="80"/>
              <w:left w:type="dxa" w:w="120"/>
              <w:bottom w:type="dxa" w:w="80"/>
              <w:right w:type="dxa" w:w="120"/>
            </w:tcMar>
          </w:tcPr>
          <w:p>
            <w:pPr>
              <w:spacing w:after="0"/>
              <w:jc w:val="right"/>
            </w:pPr>
            <w:r>
              <w:rPr>
                <w:b/>
                <w:bCs/>
                <w:sz w:val="20"/>
                <w:szCs w:val="20"/>
              </w:rPr>
              <w:t xml:space="preserve">Year-1 total</w:t>
            </w:r>
          </w:p>
        </w:tc>
      </w:tr>
      <w:tr>
        <w:tc>
          <w:tcPr>
            <w:tcW w:type="dxa" w:w="1900"/>
            <w:tcMar>
              <w:top w:type="dxa" w:w="80"/>
              <w:left w:type="dxa" w:w="120"/>
              <w:bottom w:type="dxa" w:w="80"/>
              <w:right w:type="dxa" w:w="120"/>
            </w:tcMar>
          </w:tcPr>
          <w:p>
            <w:pPr>
              <w:spacing w:after="0"/>
            </w:pPr>
            <w:r>
              <w:rPr>
                <w:b/>
                <w:bCs/>
                <w:sz w:val="21"/>
                <w:szCs w:val="21"/>
              </w:rPr>
              <w:t xml:space="preserve">Conservative</w:t>
            </w:r>
          </w:p>
        </w:tc>
        <w:tc>
          <w:tcPr>
            <w:tcW w:type="dxa" w:w="1500"/>
            <w:tcMar>
              <w:top w:type="dxa" w:w="80"/>
              <w:left w:type="dxa" w:w="120"/>
              <w:bottom w:type="dxa" w:w="80"/>
              <w:right w:type="dxa" w:w="120"/>
            </w:tcMar>
          </w:tcPr>
          <w:p>
            <w:pPr>
              <w:spacing w:after="0"/>
              <w:jc w:val="right"/>
            </w:pPr>
            <w:r>
              <w:rPr>
                <w:b w:val="false"/>
                <w:bCs w:val="false"/>
                <w:sz w:val="21"/>
                <w:szCs w:val="21"/>
              </w:rPr>
              <w:t xml:space="preserve">3</w:t>
            </w:r>
          </w:p>
        </w:tc>
        <w:tc>
          <w:tcPr>
            <w:tcW w:type="dxa" w:w="1500"/>
            <w:tcMar>
              <w:top w:type="dxa" w:w="80"/>
              <w:left w:type="dxa" w:w="120"/>
              <w:bottom w:type="dxa" w:w="80"/>
              <w:right w:type="dxa" w:w="120"/>
            </w:tcMar>
          </w:tcPr>
          <w:p>
            <w:pPr>
              <w:spacing w:after="0"/>
              <w:jc w:val="right"/>
            </w:pPr>
            <w:r>
              <w:rPr>
                <w:b w:val="false"/>
                <w:bCs w:val="false"/>
                <w:sz w:val="21"/>
                <w:szCs w:val="21"/>
              </w:rPr>
              <w:t xml:space="preserve">~$1,000</w:t>
            </w:r>
          </w:p>
        </w:tc>
        <w:tc>
          <w:tcPr>
            <w:tcW w:type="dxa" w:w="1500"/>
            <w:tcMar>
              <w:top w:type="dxa" w:w="80"/>
              <w:left w:type="dxa" w:w="120"/>
              <w:bottom w:type="dxa" w:w="80"/>
              <w:right w:type="dxa" w:w="120"/>
            </w:tcMar>
          </w:tcPr>
          <w:p>
            <w:pPr>
              <w:spacing w:after="0"/>
              <w:jc w:val="right"/>
            </w:pPr>
            <w:r>
              <w:rPr>
                <w:b w:val="false"/>
                <w:bCs w:val="false"/>
                <w:sz w:val="21"/>
                <w:szCs w:val="21"/>
              </w:rPr>
              <w:t xml:space="preserve">~$1,350</w:t>
            </w:r>
          </w:p>
        </w:tc>
        <w:tc>
          <w:tcPr>
            <w:tcW w:type="dxa" w:w="1500"/>
            <w:tcMar>
              <w:top w:type="dxa" w:w="80"/>
              <w:left w:type="dxa" w:w="120"/>
              <w:bottom w:type="dxa" w:w="80"/>
              <w:right w:type="dxa" w:w="120"/>
            </w:tcMar>
          </w:tcPr>
          <w:p>
            <w:pPr>
              <w:spacing w:after="0"/>
              <w:jc w:val="right"/>
            </w:pPr>
            <w:r>
              <w:rPr>
                <w:b w:val="false"/>
                <w:bCs w:val="false"/>
                <w:sz w:val="21"/>
                <w:szCs w:val="21"/>
              </w:rPr>
              <w:t xml:space="preserve">~$2,100</w:t>
            </w:r>
          </w:p>
        </w:tc>
        <w:tc>
          <w:tcPr>
            <w:tcW w:type="dxa" w:w="1700"/>
            <w:tcMar>
              <w:top w:type="dxa" w:w="80"/>
              <w:left w:type="dxa" w:w="120"/>
              <w:bottom w:type="dxa" w:w="80"/>
              <w:right w:type="dxa" w:w="120"/>
            </w:tcMar>
          </w:tcPr>
          <w:p>
            <w:pPr>
              <w:spacing w:after="0"/>
              <w:jc w:val="right"/>
            </w:pPr>
            <w:r>
              <w:rPr>
                <w:b w:val="false"/>
                <w:bCs w:val="false"/>
                <w:sz w:val="21"/>
                <w:szCs w:val="21"/>
              </w:rPr>
              <w:t xml:space="preserve">~$17,500</w:t>
            </w:r>
          </w:p>
        </w:tc>
      </w:tr>
      <w:tr>
        <w:tc>
          <w:tcPr>
            <w:tcW w:type="dxa" w:w="1900"/>
            <w:tcMar>
              <w:top w:type="dxa" w:w="80"/>
              <w:left w:type="dxa" w:w="120"/>
              <w:bottom w:type="dxa" w:w="80"/>
              <w:right w:type="dxa" w:w="120"/>
            </w:tcMar>
          </w:tcPr>
          <w:p>
            <w:pPr>
              <w:spacing w:after="0"/>
            </w:pPr>
            <w:r>
              <w:rPr>
                <w:b/>
                <w:bCs/>
                <w:sz w:val="21"/>
                <w:szCs w:val="21"/>
              </w:rPr>
              <w:t xml:space="preserve">Target</w:t>
            </w:r>
          </w:p>
        </w:tc>
        <w:tc>
          <w:tcPr>
            <w:tcW w:type="dxa" w:w="1500"/>
            <w:tcMar>
              <w:top w:type="dxa" w:w="80"/>
              <w:left w:type="dxa" w:w="120"/>
              <w:bottom w:type="dxa" w:w="80"/>
              <w:right w:type="dxa" w:w="120"/>
            </w:tcMar>
          </w:tcPr>
          <w:p>
            <w:pPr>
              <w:spacing w:after="0"/>
              <w:jc w:val="right"/>
            </w:pPr>
            <w:r>
              <w:rPr>
                <w:b w:val="false"/>
                <w:bCs w:val="false"/>
                <w:sz w:val="21"/>
                <w:szCs w:val="21"/>
              </w:rPr>
              <w:t xml:space="preserve">6</w:t>
            </w:r>
          </w:p>
        </w:tc>
        <w:tc>
          <w:tcPr>
            <w:tcW w:type="dxa" w:w="1500"/>
            <w:tcMar>
              <w:top w:type="dxa" w:w="80"/>
              <w:left w:type="dxa" w:w="120"/>
              <w:bottom w:type="dxa" w:w="80"/>
              <w:right w:type="dxa" w:w="120"/>
            </w:tcMar>
          </w:tcPr>
          <w:p>
            <w:pPr>
              <w:spacing w:after="0"/>
              <w:jc w:val="right"/>
            </w:pPr>
            <w:r>
              <w:rPr>
                <w:b w:val="false"/>
                <w:bCs w:val="false"/>
                <w:sz w:val="21"/>
                <w:szCs w:val="21"/>
              </w:rPr>
              <w:t xml:space="preserve">~$2,150</w:t>
            </w:r>
          </w:p>
        </w:tc>
        <w:tc>
          <w:tcPr>
            <w:tcW w:type="dxa" w:w="1500"/>
            <w:tcMar>
              <w:top w:type="dxa" w:w="80"/>
              <w:left w:type="dxa" w:w="120"/>
              <w:bottom w:type="dxa" w:w="80"/>
              <w:right w:type="dxa" w:w="120"/>
            </w:tcMar>
          </w:tcPr>
          <w:p>
            <w:pPr>
              <w:spacing w:after="0"/>
              <w:jc w:val="right"/>
            </w:pPr>
            <w:r>
              <w:rPr>
                <w:b w:val="false"/>
                <w:bCs w:val="false"/>
                <w:sz w:val="21"/>
                <w:szCs w:val="21"/>
              </w:rPr>
              <w:t xml:space="preserve">~$2,900</w:t>
            </w:r>
          </w:p>
        </w:tc>
        <w:tc>
          <w:tcPr>
            <w:tcW w:type="dxa" w:w="1500"/>
            <w:tcMar>
              <w:top w:type="dxa" w:w="80"/>
              <w:left w:type="dxa" w:w="120"/>
              <w:bottom w:type="dxa" w:w="80"/>
              <w:right w:type="dxa" w:w="120"/>
            </w:tcMar>
          </w:tcPr>
          <w:p>
            <w:pPr>
              <w:spacing w:after="0"/>
              <w:jc w:val="right"/>
            </w:pPr>
            <w:r>
              <w:rPr>
                <w:b w:val="false"/>
                <w:bCs w:val="false"/>
                <w:sz w:val="21"/>
                <w:szCs w:val="21"/>
              </w:rPr>
              <w:t xml:space="preserve">~$4,300</w:t>
            </w:r>
          </w:p>
        </w:tc>
        <w:tc>
          <w:tcPr>
            <w:tcW w:type="dxa" w:w="1700"/>
            <w:tcMar>
              <w:top w:type="dxa" w:w="80"/>
              <w:left w:type="dxa" w:w="120"/>
              <w:bottom w:type="dxa" w:w="80"/>
              <w:right w:type="dxa" w:w="120"/>
            </w:tcMar>
          </w:tcPr>
          <w:p>
            <w:pPr>
              <w:spacing w:after="0"/>
              <w:jc w:val="right"/>
            </w:pPr>
            <w:r>
              <w:rPr>
                <w:b w:val="false"/>
                <w:bCs w:val="false"/>
                <w:sz w:val="21"/>
                <w:szCs w:val="21"/>
              </w:rPr>
              <w:t xml:space="preserve">~$38,000–$45,000</w:t>
            </w:r>
          </w:p>
        </w:tc>
      </w:tr>
      <w:tr>
        <w:tc>
          <w:tcPr>
            <w:tcW w:type="dxa" w:w="1900"/>
            <w:tcMar>
              <w:top w:type="dxa" w:w="80"/>
              <w:left w:type="dxa" w:w="120"/>
              <w:bottom w:type="dxa" w:w="80"/>
              <w:right w:type="dxa" w:w="120"/>
            </w:tcMar>
          </w:tcPr>
          <w:p>
            <w:pPr>
              <w:spacing w:after="0"/>
            </w:pPr>
            <w:r>
              <w:rPr>
                <w:b/>
                <w:bCs/>
                <w:sz w:val="21"/>
                <w:szCs w:val="21"/>
              </w:rPr>
              <w:t xml:space="preserve">Top producer</w:t>
            </w:r>
          </w:p>
        </w:tc>
        <w:tc>
          <w:tcPr>
            <w:tcW w:type="dxa" w:w="1500"/>
            <w:tcMar>
              <w:top w:type="dxa" w:w="80"/>
              <w:left w:type="dxa" w:w="120"/>
              <w:bottom w:type="dxa" w:w="80"/>
              <w:right w:type="dxa" w:w="120"/>
            </w:tcMar>
          </w:tcPr>
          <w:p>
            <w:pPr>
              <w:spacing w:after="0"/>
              <w:jc w:val="right"/>
            </w:pPr>
            <w:r>
              <w:rPr>
                <w:b w:val="false"/>
                <w:bCs w:val="false"/>
                <w:sz w:val="21"/>
                <w:szCs w:val="21"/>
              </w:rPr>
              <w:t xml:space="preserve">10–12</w:t>
            </w:r>
          </w:p>
        </w:tc>
        <w:tc>
          <w:tcPr>
            <w:tcW w:type="dxa" w:w="1500"/>
            <w:tcMar>
              <w:top w:type="dxa" w:w="80"/>
              <w:left w:type="dxa" w:w="120"/>
              <w:bottom w:type="dxa" w:w="80"/>
              <w:right w:type="dxa" w:w="120"/>
            </w:tcMar>
          </w:tcPr>
          <w:p>
            <w:pPr>
              <w:spacing w:after="0"/>
              <w:jc w:val="right"/>
            </w:pPr>
            <w:r>
              <w:rPr>
                <w:b w:val="false"/>
                <w:bCs w:val="false"/>
                <w:sz w:val="21"/>
                <w:szCs w:val="21"/>
              </w:rPr>
              <w:t xml:space="preserve">~$4,800</w:t>
            </w:r>
          </w:p>
        </w:tc>
        <w:tc>
          <w:tcPr>
            <w:tcW w:type="dxa" w:w="1500"/>
            <w:tcMar>
              <w:top w:type="dxa" w:w="80"/>
              <w:left w:type="dxa" w:w="120"/>
              <w:bottom w:type="dxa" w:w="80"/>
              <w:right w:type="dxa" w:w="120"/>
            </w:tcMar>
          </w:tcPr>
          <w:p>
            <w:pPr>
              <w:spacing w:after="0"/>
              <w:jc w:val="right"/>
            </w:pPr>
            <w:r>
              <w:rPr>
                <w:b w:val="false"/>
                <w:bCs w:val="false"/>
                <w:sz w:val="21"/>
                <w:szCs w:val="21"/>
              </w:rPr>
              <w:t xml:space="preserve">~$6,200</w:t>
            </w:r>
          </w:p>
        </w:tc>
        <w:tc>
          <w:tcPr>
            <w:tcW w:type="dxa" w:w="1500"/>
            <w:tcMar>
              <w:top w:type="dxa" w:w="80"/>
              <w:left w:type="dxa" w:w="120"/>
              <w:bottom w:type="dxa" w:w="80"/>
              <w:right w:type="dxa" w:w="120"/>
            </w:tcMar>
          </w:tcPr>
          <w:p>
            <w:pPr>
              <w:spacing w:after="0"/>
              <w:jc w:val="right"/>
            </w:pPr>
            <w:r>
              <w:rPr>
                <w:b w:val="false"/>
                <w:bCs w:val="false"/>
                <w:sz w:val="21"/>
                <w:szCs w:val="21"/>
              </w:rPr>
              <w:t xml:space="preserve">~$8,800</w:t>
            </w:r>
          </w:p>
        </w:tc>
        <w:tc>
          <w:tcPr>
            <w:tcW w:type="dxa" w:w="1700"/>
            <w:tcMar>
              <w:top w:type="dxa" w:w="80"/>
              <w:left w:type="dxa" w:w="120"/>
              <w:bottom w:type="dxa" w:w="80"/>
              <w:right w:type="dxa" w:w="120"/>
            </w:tcMar>
          </w:tcPr>
          <w:p>
            <w:pPr>
              <w:spacing w:after="0"/>
              <w:jc w:val="right"/>
            </w:pPr>
            <w:r>
              <w:rPr>
                <w:b w:val="false"/>
                <w:bCs w:val="false"/>
                <w:sz w:val="21"/>
                <w:szCs w:val="21"/>
              </w:rPr>
              <w:t xml:space="preserve">~$78,000–$90,000+</w:t>
            </w:r>
          </w:p>
        </w:tc>
      </w:tr>
    </w:tbl>
    <w:p>
      <w:pPr>
        <w:spacing w:after="60"/>
      </w:pPr>
    </w:p>
    <w:p>
      <w:pPr>
        <w:spacing w:after="140"/>
      </w:pPr>
      <w:r>
        <w:rPr>
          <w:rFonts w:ascii="Calibri" w:cs="Calibri" w:eastAsia="Calibri" w:hAnsi="Calibri"/>
          <w:i/>
          <w:iCs/>
          <w:color w:val="6B7280"/>
          <w:sz w:val="22"/>
          <w:szCs w:val="22"/>
        </w:rPr>
        <w:t xml:space="preserve">These are modeled scenarios with stated assumptions, not typical-earnings claims or guarantees. Delt does not yet have a year of agent production data; individual results depend entirely on your production.</w:t>
      </w:r>
    </w:p>
    <w:p>
      <w:pPr>
        <w:spacing w:after="140"/>
      </w:pPr>
      <w:r>
        <w:rPr>
          <w:rFonts w:ascii="Calibri" w:cs="Calibri" w:eastAsia="Calibri" w:hAnsi="Calibri"/>
          <w:b/>
          <w:bCs/>
          <w:sz w:val="22"/>
          <w:szCs w:val="22"/>
        </w:rPr>
        <w:t xml:space="preserve">Why year two is the point: </w:t>
      </w:r>
      <w:r>
        <w:rPr>
          <w:rFonts w:ascii="Calibri" w:cs="Calibri" w:eastAsia="Calibri" w:hAnsi="Calibri"/>
          <w:sz w:val="22"/>
          <w:szCs w:val="22"/>
        </w:rPr>
        <w:t xml:space="preserve">a target-pace agent finishes year one with a ~65-account book paying roughly $2,900/month before selling anything else. The book compounds.</w:t>
      </w:r>
    </w:p>
    <w:p>
      <w:pPr>
        <w:spacing w:after="120" w:before="300"/>
      </w:pPr>
      <w:r>
        <w:rPr>
          <w:rFonts w:ascii="Calibri" w:cs="Calibri" w:eastAsia="Calibri" w:hAnsi="Calibri"/>
          <w:b/>
          <w:bCs/>
          <w:color w:val="4F46E5"/>
          <w:sz w:val="26"/>
          <w:szCs w:val="26"/>
        </w:rPr>
        <w:t xml:space="preserve">8. Active Producer perks</w:t>
      </w:r>
    </w:p>
    <w:p>
      <w:pPr>
        <w:spacing w:after="140"/>
      </w:pPr>
      <w:r>
        <w:rPr>
          <w:rFonts w:ascii="Calibri" w:cs="Calibri" w:eastAsia="Calibri" w:hAnsi="Calibri"/>
          <w:b/>
          <w:bCs/>
          <w:sz w:val="22"/>
          <w:szCs w:val="22"/>
        </w:rPr>
        <w:t xml:space="preserve">Active Producer = 3+ activations in the trailing 90 days.</w:t>
      </w:r>
      <w:r>
        <w:rPr>
          <w:rFonts w:ascii="Calibri" w:cs="Calibri" w:eastAsia="Calibri" w:hAnsi="Calibri"/>
          <w:sz w:val="22"/>
          <w:szCs w:val="22"/>
        </w:rPr>
        <w:t xml:space="preserve"> Perks pause if status lapses and resume when you’re back in production.</w:t>
      </w:r>
    </w:p>
    <w:p>
      <w:pPr>
        <w:pStyle w:val="ListParagraph"/>
        <w:numPr>
          <w:ilvl w:val="0"/>
          <w:numId w:val="2"/>
        </w:numPr>
        <w:spacing w:after="140"/>
      </w:pPr>
      <w:r>
        <w:rPr>
          <w:rFonts w:ascii="Calibri" w:cs="Calibri" w:eastAsia="Calibri" w:hAnsi="Calibri"/>
          <w:sz w:val="22"/>
          <w:szCs w:val="22"/>
        </w:rPr>
        <w:t xml:space="preserve">Founder closer support: for your first 90 days, David from the founding team joins your live merchant calls — you keep the full commission</w:t>
      </w:r>
    </w:p>
    <w:p>
      <w:pPr>
        <w:pStyle w:val="ListParagraph"/>
        <w:numPr>
          <w:ilvl w:val="0"/>
          <w:numId w:val="2"/>
        </w:numPr>
        <w:spacing w:after="140"/>
      </w:pPr>
      <w:r>
        <w:rPr>
          <w:rFonts w:ascii="Calibri" w:cs="Calibri" w:eastAsia="Calibri" w:hAnsi="Calibri"/>
          <w:sz w:val="22"/>
          <w:szCs w:val="22"/>
        </w:rPr>
        <w:t xml:space="preserve">Weekly live training with David and Patrick — products, sales skills, prospecting, and a live deal lab</w:t>
      </w:r>
    </w:p>
    <w:p>
      <w:pPr>
        <w:pStyle w:val="ListParagraph"/>
        <w:numPr>
          <w:ilvl w:val="0"/>
          <w:numId w:val="2"/>
        </w:numPr>
        <w:spacing w:after="140"/>
      </w:pPr>
      <w:r>
        <w:rPr>
          <w:rFonts w:ascii="Calibri" w:cs="Calibri" w:eastAsia="Calibri" w:hAnsi="Calibri"/>
          <w:sz w:val="22"/>
          <w:szCs w:val="22"/>
        </w:rPr>
        <w:t xml:space="preserve">Lead flow: inbound merchants from Delt’s referral program and website, distributed to producing agents</w:t>
      </w:r>
    </w:p>
    <w:p>
      <w:pPr>
        <w:pStyle w:val="ListParagraph"/>
        <w:numPr>
          <w:ilvl w:val="0"/>
          <w:numId w:val="2"/>
        </w:numPr>
        <w:spacing w:after="140"/>
      </w:pPr>
      <w:r>
        <w:rPr>
          <w:rFonts w:ascii="Calibri" w:cs="Calibri" w:eastAsia="Calibri" w:hAnsi="Calibri"/>
          <w:sz w:val="22"/>
          <w:szCs w:val="22"/>
        </w:rPr>
        <w:t xml:space="preserve">Delt free for your own business while active — website included</w:t>
      </w:r>
    </w:p>
    <w:p>
      <w:pPr>
        <w:pStyle w:val="ListParagraph"/>
        <w:numPr>
          <w:ilvl w:val="0"/>
          <w:numId w:val="2"/>
        </w:numPr>
        <w:spacing w:after="140"/>
      </w:pPr>
      <w:r>
        <w:rPr>
          <w:rFonts w:ascii="Calibri" w:cs="Calibri" w:eastAsia="Calibri" w:hAnsi="Calibri"/>
          <w:sz w:val="22"/>
          <w:szCs w:val="22"/>
        </w:rPr>
        <w:t xml:space="preserve">Wellness package: gym reimbursement (up to $15/mo), telehealth membership, healthcare enrollment support</w:t>
      </w:r>
    </w:p>
    <w:p>
      <w:pPr>
        <w:pStyle w:val="ListParagraph"/>
        <w:numPr>
          <w:ilvl w:val="0"/>
          <w:numId w:val="2"/>
        </w:numPr>
        <w:spacing w:after="140"/>
      </w:pPr>
      <w:r>
        <w:rPr>
          <w:rFonts w:ascii="Calibri" w:cs="Calibri" w:eastAsia="Calibri" w:hAnsi="Calibri"/>
          <w:sz w:val="22"/>
          <w:szCs w:val="22"/>
        </w:rPr>
        <w:t xml:space="preserve">Account Manager title, @delt email, business cards, and a Delt gear kit</w:t>
      </w:r>
    </w:p>
    <w:p>
      <w:pPr>
        <w:pStyle w:val="ListParagraph"/>
        <w:numPr>
          <w:ilvl w:val="0"/>
          <w:numId w:val="2"/>
        </w:numPr>
        <w:spacing w:after="140"/>
      </w:pPr>
      <w:r>
        <w:rPr>
          <w:rFonts w:ascii="Calibri" w:cs="Calibri" w:eastAsia="Calibri" w:hAnsi="Calibri"/>
          <w:sz w:val="22"/>
          <w:szCs w:val="22"/>
        </w:rPr>
        <w:t xml:space="preserve">President’s Club: top producers join the founding team in Miami each quarter</w:t>
      </w:r>
    </w:p>
    <w:p>
      <w:pPr>
        <w:spacing w:after="120" w:before="300"/>
      </w:pPr>
      <w:r>
        <w:rPr>
          <w:rFonts w:ascii="Calibri" w:cs="Calibri" w:eastAsia="Calibri" w:hAnsi="Calibri"/>
          <w:b/>
          <w:bCs/>
          <w:color w:val="4F46E5"/>
          <w:sz w:val="26"/>
          <w:szCs w:val="26"/>
        </w:rPr>
        <w:t xml:space="preserve">9. Payment terms &amp; fine print</w:t>
      </w:r>
    </w:p>
    <w:p>
      <w:pPr>
        <w:pStyle w:val="ListParagraph"/>
        <w:numPr>
          <w:ilvl w:val="0"/>
          <w:numId w:val="2"/>
        </w:numPr>
        <w:spacing w:after="140"/>
      </w:pPr>
      <w:r>
        <w:rPr>
          <w:rFonts w:ascii="Calibri" w:cs="Calibri" w:eastAsia="Calibri" w:hAnsi="Calibri"/>
          <w:sz w:val="22"/>
          <w:szCs w:val="22"/>
        </w:rPr>
        <w:t xml:space="preserve">Commissions, residuals, overrides, and referral shares are paid on the 15th of every month, with a per-merchant statement in your agent portal</w:t>
      </w:r>
    </w:p>
    <w:p>
      <w:pPr>
        <w:pStyle w:val="ListParagraph"/>
        <w:numPr>
          <w:ilvl w:val="0"/>
          <w:numId w:val="2"/>
        </w:numPr>
        <w:spacing w:after="140"/>
      </w:pPr>
      <w:r>
        <w:rPr>
          <w:rFonts w:ascii="Calibri" w:cs="Calibri" w:eastAsia="Calibri" w:hAnsi="Calibri"/>
          <w:sz w:val="22"/>
          <w:szCs w:val="22"/>
        </w:rPr>
        <w:t xml:space="preserve">"Lifetime residuals" and "life of the account" mean for as long as the merchant continues processing with Delt, under the agent (or referral partner) agreement</w:t>
      </w:r>
    </w:p>
    <w:p>
      <w:pPr>
        <w:pStyle w:val="ListParagraph"/>
        <w:numPr>
          <w:ilvl w:val="0"/>
          <w:numId w:val="2"/>
        </w:numPr>
        <w:spacing w:after="140"/>
      </w:pPr>
      <w:r>
        <w:rPr>
          <w:rFonts w:ascii="Calibri" w:cs="Calibri" w:eastAsia="Calibri" w:hAnsi="Calibri"/>
          <w:sz w:val="22"/>
          <w:szCs w:val="22"/>
        </w:rPr>
        <w:t xml:space="preserve">This is a 1099 independent contractor engagement: no base salary, no employee benefits; you are responsible for self-employment taxes. Perks are production-based contractor rewards, reviewed annually</w:t>
      </w:r>
    </w:p>
    <w:p>
      <w:pPr>
        <w:pStyle w:val="ListParagraph"/>
        <w:numPr>
          <w:ilvl w:val="0"/>
          <w:numId w:val="2"/>
        </w:numPr>
        <w:spacing w:after="140"/>
      </w:pPr>
      <w:r>
        <w:rPr>
          <w:rFonts w:ascii="Calibri" w:cs="Calibri" w:eastAsia="Calibri" w:hAnsi="Calibri"/>
          <w:sz w:val="22"/>
          <w:szCs w:val="22"/>
        </w:rPr>
        <w:t xml:space="preserve">The Delt agent agreement is the controlling document; this plan is a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2026-08-21T20:19:54.208Z</dcterms:created>
  <dcterms:modified xsi:type="dcterms:W3CDTF">2026-08-21T20:19:54.208Z</dcterms:modified>
</cp:coreProperties>
</file>

<file path=docProps/custom.xml><?xml version="1.0" encoding="utf-8"?>
<Properties xmlns="http://schemas.openxmlformats.org/officeDocument/2006/custom-properties" xmlns:vt="http://schemas.openxmlformats.org/officeDocument/2006/docPropsVTypes"/>
</file>