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  <w:br w:type="textWrapping"/>
      </w: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E.P. de Ingeniería de Software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1968500" cy="246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PEP-HU02: Historia de Usuario 02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IBM Plex Serif" w:cs="IBM Plex Serif" w:eastAsia="IBM Plex Serif" w:hAnsi="IBM Plex Serif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Calle Huamantinco, Luis Eduardo</w:t>
        <w:tab/>
        <w:tab/>
        <w:tab/>
        <w:tab/>
        <w:tab/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Calongos Jara, Leonid</w:t>
        <w:tab/>
        <w:tab/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Matthew Alexandre, Pariona Molina</w:t>
        <w:tab/>
        <w:tab/>
        <w:tab/>
        <w:tab/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jc w:val="left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Calderón Matias, Diego Alonso</w:t>
        <w:tab/>
        <w:tab/>
        <w:tab/>
        <w:tab/>
        <w:tab/>
        <w:t xml:space="preserve">22200074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2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 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198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Curso: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Docente:</w:t>
      </w: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 Wong Portillo, Lenis Rossi.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260" w:firstLine="70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PEP-HU06: Historia de Usuario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06: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 y Protección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8775"/>
        <w:tblGridChange w:id="0">
          <w:tblGrid>
            <w:gridCol w:w="877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141.73228346456688" w:right="129.3307086614186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estudiante, quiero que mis datos y mi identidad estén protegidos mientras utilizo la plataforma, para que pueda calificar y comentar sobre mis profesores de manera anónima y segura, sin preocuparme por la exposición de mi información personal.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4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El sistema debe garantizar que los comentarios y calificaciones se publiquen de manera anónima, sin revelar la identidad del estudiante.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 plataforma debe implementar políticas de seguridad como la sanitización de entradas para evitar ataques de inyección de SQL o XSS.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Cualquier intento de acceso no autorizado debe ser registrado y notificado al administrador para tomar medidas de protección.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0" w:beforeAutospacing="0" w:lineRule="auto"/>
              <w:ind w:left="100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La sesión de usuario debe tener un tiempo de expiración seguro para prevenir accesos no deseados.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Rule="auto"/>
        <w:jc w:val="both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