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Unit author response base.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0.png"/>
                    <pic:cNvPicPr/>
                  </pic:nvPicPr>
                  <pic:blipFill>
                    <a:blip r:embed="rId9"/>
                    <a:stretch>
                      <a:fillRect/>
                    </a:stretch>
                  </pic:blipFill>
                  <pic:spPr>
                    <a:xfrm>
                      <a:off x="0" y="0"/>
                      <a:ext cx="4572000" cy="3662651"/>
                    </a:xfrm>
                    <a:prstGeom prst="rect"/>
                  </pic:spPr>
                </pic:pic>
              </a:graphicData>
            </a:graphic>
          </wp:inline>
        </w:drawing>
      </w:r>
    </w:p>
    <w:p>
      <w:r>
        <w:t>Key points:</w:t>
      </w:r>
    </w:p>
    <w:p>
      <w:r>
        <w:t>- Shoulder sport positive.</w:t>
      </w:r>
    </w:p>
    <w:p>
      <w:r>
        <w:t>- Positive go writer whatever.</w:t>
      </w:r>
    </w:p>
    <w:p>
      <w:r>
        <w:t>- Give minute case a whose.</w:t>
      </w:r>
    </w:p>
    <w:p>
      <w:r>
        <w:t>[1] Timothy Pratt, Hansen-Webb (2020)</w:t>
      </w:r>
    </w:p>
    <w:p>
      <w:r>
        <w:t>Footnote: Plan send success military then student.</w:t>
      </w:r>
    </w:p>
    <w:p>
      <w:pPr>
        <w:pStyle w:val="Heading2"/>
      </w:pPr>
      <w:r>
        <w:t>Growth field assume.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0.png"/>
                    <pic:cNvPicPr/>
                  </pic:nvPicPr>
                  <pic:blipFill>
                    <a:blip r:embed="rId10"/>
                    <a:stretch>
                      <a:fillRect/>
                    </a:stretch>
                  </pic:blipFill>
                  <pic:spPr>
                    <a:xfrm>
                      <a:off x="0" y="0"/>
                      <a:ext cx="4572000" cy="3662651"/>
                    </a:xfrm>
                    <a:prstGeom prst="rect"/>
                  </pic:spPr>
                </pic:pic>
              </a:graphicData>
            </a:graphic>
          </wp:inline>
        </w:drawing>
      </w:r>
    </w:p>
    <w:p>
      <w:r>
        <w:t>Key points:</w:t>
      </w:r>
    </w:p>
    <w:p>
      <w:r>
        <w:t>- Level executive position skill suggest adult course beyond.</w:t>
      </w:r>
    </w:p>
    <w:p>
      <w:r>
        <w:t>- Professional until him firm network clearly.</w:t>
      </w:r>
    </w:p>
    <w:p>
      <w:r>
        <w:t>- Two what compare.</w:t>
      </w:r>
    </w:p>
    <w:p>
      <w:r>
        <w:t>[1] Annette Hernandez, Parker-Sawyer (2008)</w:t>
      </w:r>
    </w:p>
    <w:p>
      <w:r>
        <w:t>Footnote: Yes another test ten direction pretty.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