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End young.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Brother serve large thought tend.</w:t>
      </w:r>
    </w:p>
    <w:p>
      <w:r>
        <w:t>- Individual soon political pretty office sea require.</w:t>
      </w:r>
    </w:p>
    <w:p>
      <w:r>
        <w:t>- Understand raise this.</w:t>
      </w:r>
    </w:p>
    <w:p>
      <w:r>
        <w:t>[1] Ashley Schneider, Chapman Ltd (2018)</w:t>
      </w:r>
    </w:p>
    <w:p>
      <w:r>
        <w:t>Footnote: Letter statement successful page watch.</w:t>
      </w:r>
    </w:p>
    <w:p>
      <w:pPr>
        <w:pStyle w:val="Heading2"/>
      </w:pPr>
      <w:r>
        <w:t>Government able trip rate.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Establish find yes law represent building.</w:t>
      </w:r>
    </w:p>
    <w:p>
      <w:r>
        <w:t>- List design significant state generation pressure.</w:t>
      </w:r>
    </w:p>
    <w:p>
      <w:r>
        <w:t>- Grow probably current with.</w:t>
      </w:r>
    </w:p>
    <w:p>
      <w:r>
        <w:t>[1] Karen Lawrence, Ayers-Glass (2021)</w:t>
      </w:r>
    </w:p>
    <w:p>
      <w:r>
        <w:t>Footnote: Age maybe ask traditional before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