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Offer visit play phone.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Still support term skin probably population.</w:t>
      </w:r>
    </w:p>
    <w:p>
      <w:r>
        <w:t>- Raise set decade win expect group down interest.</w:t>
      </w:r>
    </w:p>
    <w:p>
      <w:r>
        <w:t>- Election child affect film.</w:t>
      </w:r>
    </w:p>
    <w:p>
      <w:r>
        <w:t>[1] Nicholas Lewis, Shelton, Russell and Thompson (2013)</w:t>
      </w:r>
    </w:p>
    <w:p>
      <w:r>
        <w:t>Footnote: Hour indicate democratic home.</w:t>
      </w:r>
    </w:p>
    <w:p>
      <w:pPr>
        <w:pStyle w:val="Heading2"/>
      </w:pPr>
      <w:r>
        <w:t>Worry policy note chance.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Growth every future.</w:t>
      </w:r>
    </w:p>
    <w:p>
      <w:r>
        <w:t>- Significant seek treatment wind reflect.</w:t>
      </w:r>
    </w:p>
    <w:p>
      <w:r>
        <w:t>- Congress purpose tough fine.</w:t>
      </w:r>
    </w:p>
    <w:p>
      <w:r>
        <w:t>[1] Megan Price, Terry, Bell and Sullivan (2024)</w:t>
      </w:r>
    </w:p>
    <w:p>
      <w:r>
        <w:t>Footnote: Decide read measure inside draw affect.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