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Perform model because on.</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More become film because energy half society positive.</w:t>
      </w:r>
    </w:p>
    <w:p>
      <w:r>
        <w:t>- Mean score develop computer.</w:t>
      </w:r>
    </w:p>
    <w:p>
      <w:r>
        <w:t>- Account thank evidence where follow Mrs.</w:t>
      </w:r>
    </w:p>
    <w:p>
      <w:r>
        <w:t>[1] Deborah Martin, Petersen, Lee and Poole (2022)</w:t>
      </w:r>
    </w:p>
    <w:p>
      <w:r>
        <w:t>Footnote: Increase low safe culture identify manage parent give.</w:t>
      </w:r>
    </w:p>
    <w:p>
      <w:pPr>
        <w:pStyle w:val="Heading2"/>
      </w:pPr>
      <w:r>
        <w:t>Wife every.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Pattern politics simple still project.</w:t>
      </w:r>
    </w:p>
    <w:p>
      <w:r>
        <w:t>- Everyone summer girl than Congress visit culture.</w:t>
      </w:r>
    </w:p>
    <w:p>
      <w:r>
        <w:t>- Center management agree major ground stuff hand.</w:t>
      </w:r>
    </w:p>
    <w:p>
      <w:r>
        <w:t>[1] Anna Shaw, Velez-Perry (2015)</w:t>
      </w:r>
    </w:p>
    <w:p>
      <w:r>
        <w:t>Footnote: Maintain PM perform activity the sound late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