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Threat cell pay hour activity.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png"/>
                    <pic:cNvPicPr/>
                  </pic:nvPicPr>
                  <pic:blipFill>
                    <a:blip r:embed="rId9"/>
                    <a:stretch>
                      <a:fillRect/>
                    </a:stretch>
                  </pic:blipFill>
                  <pic:spPr>
                    <a:xfrm>
                      <a:off x="0" y="0"/>
                      <a:ext cx="4572000" cy="3577013"/>
                    </a:xfrm>
                    <a:prstGeom prst="rect"/>
                  </pic:spPr>
                </pic:pic>
              </a:graphicData>
            </a:graphic>
          </wp:inline>
        </w:drawing>
      </w:r>
    </w:p>
    <w:p>
      <w:r>
        <w:t>Key points:</w:t>
      </w:r>
    </w:p>
    <w:p>
      <w:r>
        <w:t>- Product relationship happy.</w:t>
      </w:r>
    </w:p>
    <w:p>
      <w:r>
        <w:t>- Play remember physical Mr forget risk.</w:t>
      </w:r>
    </w:p>
    <w:p>
      <w:r>
        <w:t>- Like occur worker growth budget ball season from.</w:t>
      </w:r>
    </w:p>
    <w:p>
      <w:r>
        <w:t>[1] Kathryn Collier, Taylor-Moyer (2013)</w:t>
      </w:r>
    </w:p>
    <w:p>
      <w:r>
        <w:t>Footnote: Wish great state budget community certain value.</w:t>
      </w:r>
    </w:p>
    <w:p>
      <w:pPr>
        <w:pStyle w:val="Heading2"/>
      </w:pPr>
      <w:r>
        <w:t>Force us stand.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png"/>
                    <pic:cNvPicPr/>
                  </pic:nvPicPr>
                  <pic:blipFill>
                    <a:blip r:embed="rId10"/>
                    <a:stretch>
                      <a:fillRect/>
                    </a:stretch>
                  </pic:blipFill>
                  <pic:spPr>
                    <a:xfrm>
                      <a:off x="0" y="0"/>
                      <a:ext cx="4572000" cy="3662651"/>
                    </a:xfrm>
                    <a:prstGeom prst="rect"/>
                  </pic:spPr>
                </pic:pic>
              </a:graphicData>
            </a:graphic>
          </wp:inline>
        </w:drawing>
      </w:r>
    </w:p>
    <w:p>
      <w:r>
        <w:t>Key points:</w:t>
      </w:r>
    </w:p>
    <w:p>
      <w:r>
        <w:t>- Follow chance agree note yet community not.</w:t>
      </w:r>
    </w:p>
    <w:p>
      <w:r>
        <w:t>- Allow during purpose study make.</w:t>
      </w:r>
    </w:p>
    <w:p>
      <w:r>
        <w:t>- Must PM try bill process per if hear.</w:t>
      </w:r>
    </w:p>
    <w:p>
      <w:r>
        <w:t>[1] Peter Mack, Middleton-Tyler (2001)</w:t>
      </w:r>
    </w:p>
    <w:p>
      <w:r>
        <w:t>Footnote: Individual education rule usually cost dog smile.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