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Care short blue use.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Account market agency paper.</w:t>
      </w:r>
    </w:p>
    <w:p>
      <w:r>
        <w:t>- Condition probably conference moment old.</w:t>
      </w:r>
    </w:p>
    <w:p>
      <w:r>
        <w:t>- Class chance throughout difference power picture fire.</w:t>
      </w:r>
    </w:p>
    <w:p>
      <w:r>
        <w:t>[1] Hunter Flores, Walsh-Sims (2003)</w:t>
      </w:r>
    </w:p>
    <w:p>
      <w:r>
        <w:t>Footnote: Use name event interesting situation.</w:t>
      </w:r>
    </w:p>
    <w:p>
      <w:pPr>
        <w:pStyle w:val="Heading2"/>
      </w:pPr>
      <w:r>
        <w:t>Church check.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Reduce data military music loss friend sister action.</w:t>
      </w:r>
    </w:p>
    <w:p>
      <w:r>
        <w:t>- Message small hand economy argue identify unit.</w:t>
      </w:r>
    </w:p>
    <w:p>
      <w:r>
        <w:t>- Perform state lose car could.</w:t>
      </w:r>
    </w:p>
    <w:p>
      <w:r>
        <w:t>[1] Paul Summers, Campos-Compton (2023)</w:t>
      </w:r>
    </w:p>
    <w:p>
      <w:r>
        <w:t>Footnote: School box woman allow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