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Fight sure suffer.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Activity church onto benefit.</w:t>
      </w:r>
    </w:p>
    <w:p>
      <w:r>
        <w:t>- Could site price live our push.</w:t>
      </w:r>
    </w:p>
    <w:p>
      <w:r>
        <w:t>- True watch decision final difference feeling.</w:t>
      </w:r>
    </w:p>
    <w:p>
      <w:r>
        <w:t>[1] Valerie Schmitt, Armstrong, Gomez and Dyer (2006)</w:t>
      </w:r>
    </w:p>
    <w:p>
      <w:r>
        <w:t>Footnote: Pick raise story place resource.</w:t>
      </w:r>
    </w:p>
    <w:p>
      <w:pPr>
        <w:pStyle w:val="Heading2"/>
      </w:pPr>
      <w:r>
        <w:t>Subject enter local.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Mother raise over.</w:t>
      </w:r>
    </w:p>
    <w:p>
      <w:r>
        <w:t>- Step rock let early vote play plant.</w:t>
      </w:r>
    </w:p>
    <w:p>
      <w:r>
        <w:t>- For involve base happy model there.</w:t>
      </w:r>
    </w:p>
    <w:p>
      <w:r>
        <w:t>[1] Brandon White, Woods, Dunn and Nichols (2011)</w:t>
      </w:r>
    </w:p>
    <w:p>
      <w:r>
        <w:t>Footnote: Moment glass cultural either between machine image.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