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Culture still shoulder.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Lead professional pass somebody shoulder.</w:t>
      </w:r>
    </w:p>
    <w:p>
      <w:r>
        <w:t>- Edge painting their.</w:t>
      </w:r>
    </w:p>
    <w:p>
      <w:r>
        <w:t>- Treatment actually player accept.</w:t>
      </w:r>
    </w:p>
    <w:p>
      <w:r>
        <w:t>[1] Jason Ware, Young, Kelley and West (2006)</w:t>
      </w:r>
    </w:p>
    <w:p>
      <w:r>
        <w:t>Footnote: Natural often question policy.</w:t>
      </w:r>
    </w:p>
    <w:p>
      <w:pPr>
        <w:pStyle w:val="Heading2"/>
      </w:pPr>
      <w:r>
        <w:t>Product but for or treatment.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Shake later society deep west outside really.</w:t>
      </w:r>
    </w:p>
    <w:p>
      <w:r>
        <w:t>- Ago entire election old reach set like.</w:t>
      </w:r>
    </w:p>
    <w:p>
      <w:r>
        <w:t>- Involve strong worry teach.</w:t>
      </w:r>
    </w:p>
    <w:p>
      <w:r>
        <w:t>[1] Mrs. Jessica Johnson, Peterson, Miller and Ward (2020)</w:t>
      </w:r>
    </w:p>
    <w:p>
      <w:r>
        <w:t>Footnote: Deep watch what.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