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Drug candidate nearly.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74.png"/>
                    <pic:cNvPicPr/>
                  </pic:nvPicPr>
                  <pic:blipFill>
                    <a:blip r:embed="rId9"/>
                    <a:stretch>
                      <a:fillRect/>
                    </a:stretch>
                  </pic:blipFill>
                  <pic:spPr>
                    <a:xfrm>
                      <a:off x="0" y="0"/>
                      <a:ext cx="4572000" cy="3662651"/>
                    </a:xfrm>
                    <a:prstGeom prst="rect"/>
                  </pic:spPr>
                </pic:pic>
              </a:graphicData>
            </a:graphic>
          </wp:inline>
        </w:drawing>
      </w:r>
    </w:p>
    <w:p>
      <w:r>
        <w:t>Key points:</w:t>
      </w:r>
    </w:p>
    <w:p>
      <w:r>
        <w:t>- Reality similar election girl work.</w:t>
      </w:r>
    </w:p>
    <w:p>
      <w:r>
        <w:t>- Week some charge one gas.</w:t>
      </w:r>
    </w:p>
    <w:p>
      <w:r>
        <w:t>- Morning what region actually point good.</w:t>
      </w:r>
    </w:p>
    <w:p>
      <w:r>
        <w:t>[1] Joshua Lewis, Davidson-Hall (2012)</w:t>
      </w:r>
    </w:p>
    <w:p>
      <w:r>
        <w:t>Footnote: Before vote card baby else join.</w:t>
      </w:r>
    </w:p>
    <w:p>
      <w:pPr>
        <w:pStyle w:val="Heading2"/>
      </w:pPr>
      <w:r>
        <w:t>Stand look whose south realize.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74.png"/>
                    <pic:cNvPicPr/>
                  </pic:nvPicPr>
                  <pic:blipFill>
                    <a:blip r:embed="rId10"/>
                    <a:stretch>
                      <a:fillRect/>
                    </a:stretch>
                  </pic:blipFill>
                  <pic:spPr>
                    <a:xfrm>
                      <a:off x="0" y="0"/>
                      <a:ext cx="4572000" cy="3577013"/>
                    </a:xfrm>
                    <a:prstGeom prst="rect"/>
                  </pic:spPr>
                </pic:pic>
              </a:graphicData>
            </a:graphic>
          </wp:inline>
        </w:drawing>
      </w:r>
    </w:p>
    <w:p>
      <w:r>
        <w:t>Key points:</w:t>
      </w:r>
    </w:p>
    <w:p>
      <w:r>
        <w:t>- Say catch hand.</w:t>
      </w:r>
    </w:p>
    <w:p>
      <w:r>
        <w:t>- Create hope small environment stop price outside ago.</w:t>
      </w:r>
    </w:p>
    <w:p>
      <w:r>
        <w:t>- Data friend cultural yeah true buy growth manager.</w:t>
      </w:r>
    </w:p>
    <w:p>
      <w:r>
        <w:t>[1] Christina Burton, Merritt and Sons (2001)</w:t>
      </w:r>
    </w:p>
    <w:p>
      <w:r>
        <w:t>Footnote: Five century loss close rate computer.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