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Radio third century.</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back 236</w:t>
            </w:r>
          </w:p>
        </w:tc>
        <w:tc>
          <w:tcPr>
            <w:tcW w:type="dxa" w:w="2160"/>
          </w:tcPr>
          <w:p>
            <w:r>
              <w:t>wish 359</w:t>
            </w:r>
          </w:p>
        </w:tc>
        <w:tc>
          <w:tcPr>
            <w:tcW w:type="dxa" w:w="2160"/>
          </w:tcPr>
          <w:p>
            <w:r>
              <w:t>west 508</w:t>
            </w:r>
          </w:p>
        </w:tc>
        <w:tc>
          <w:tcPr>
            <w:tcW w:type="dxa" w:w="2160"/>
          </w:tcPr>
          <w:p>
            <w:r>
              <w:t>maybe 474</w:t>
            </w:r>
          </w:p>
        </w:tc>
      </w:tr>
      <w:tr>
        <w:tc>
          <w:tcPr>
            <w:tcW w:type="dxa" w:w="2160"/>
          </w:tcPr>
          <w:p>
            <w:r>
              <w:t>represent 472</w:t>
            </w:r>
          </w:p>
        </w:tc>
        <w:tc>
          <w:tcPr>
            <w:tcW w:type="dxa" w:w="2160"/>
          </w:tcPr>
          <w:p>
            <w:r>
              <w:t>institution 782</w:t>
            </w:r>
          </w:p>
        </w:tc>
        <w:tc>
          <w:tcPr>
            <w:tcW w:type="dxa" w:w="2160"/>
          </w:tcPr>
          <w:p>
            <w:r>
              <w:t>easy 516</w:t>
            </w:r>
          </w:p>
        </w:tc>
        <w:tc>
          <w:tcPr>
            <w:tcW w:type="dxa" w:w="2160"/>
          </w:tcPr>
          <w:p>
            <w:r>
              <w:t>opportunity 15</w:t>
            </w:r>
          </w:p>
        </w:tc>
      </w:tr>
      <w:tr>
        <w:tc>
          <w:tcPr>
            <w:tcW w:type="dxa" w:w="2160"/>
          </w:tcPr>
          <w:p>
            <w:r>
              <w:t>example 325</w:t>
            </w:r>
          </w:p>
        </w:tc>
        <w:tc>
          <w:tcPr>
            <w:tcW w:type="dxa" w:w="2160"/>
          </w:tcPr>
          <w:p>
            <w:r>
              <w:t>while 15</w:t>
            </w:r>
          </w:p>
        </w:tc>
        <w:tc>
          <w:tcPr>
            <w:tcW w:type="dxa" w:w="2160"/>
          </w:tcPr>
          <w:p>
            <w:r>
              <w:t>dream 508</w:t>
            </w:r>
          </w:p>
        </w:tc>
        <w:tc>
          <w:tcPr>
            <w:tcW w:type="dxa" w:w="2160"/>
          </w:tcPr>
          <w:p>
            <w:r>
              <w:t>remain 689</w:t>
            </w:r>
          </w:p>
        </w:tc>
      </w:tr>
      <w:tr>
        <w:tc>
          <w:tcPr>
            <w:tcW w:type="dxa" w:w="2160"/>
          </w:tcPr>
          <w:p>
            <w:r>
              <w:t>put 87</w:t>
            </w:r>
          </w:p>
        </w:tc>
        <w:tc>
          <w:tcPr>
            <w:tcW w:type="dxa" w:w="2160"/>
          </w:tcPr>
          <w:p>
            <w:r>
              <w:t>rich 725</w:t>
            </w:r>
          </w:p>
        </w:tc>
        <w:tc>
          <w:tcPr>
            <w:tcW w:type="dxa" w:w="2160"/>
          </w:tcPr>
          <w:p>
            <w:r>
              <w:t>could 425</w:t>
            </w:r>
          </w:p>
        </w:tc>
        <w:tc>
          <w:tcPr>
            <w:tcW w:type="dxa" w:w="2160"/>
          </w:tcPr>
          <w:p>
            <w:r>
              <w:t>stage 609</w:t>
            </w:r>
          </w:p>
        </w:tc>
      </w:tr>
      <w:tr>
        <w:tc>
          <w:tcPr>
            <w:tcW w:type="dxa" w:w="2160"/>
          </w:tcPr>
          <w:p>
            <w:r>
              <w:t>company 624</w:t>
            </w:r>
          </w:p>
        </w:tc>
        <w:tc>
          <w:tcPr>
            <w:tcW w:type="dxa" w:w="2160"/>
          </w:tcPr>
          <w:p>
            <w:r>
              <w:t>star 293</w:t>
            </w:r>
          </w:p>
        </w:tc>
        <w:tc>
          <w:tcPr>
            <w:tcW w:type="dxa" w:w="2160"/>
          </w:tcPr>
          <w:p>
            <w:r>
              <w:t>kind 397</w:t>
            </w:r>
          </w:p>
        </w:tc>
        <w:tc>
          <w:tcPr>
            <w:tcW w:type="dxa" w:w="2160"/>
          </w:tcPr>
          <w:p>
            <w:r>
              <w:t>measure 721</w:t>
            </w:r>
          </w:p>
        </w:tc>
      </w:tr>
      <w:tr>
        <w:tc>
          <w:tcPr>
            <w:tcW w:type="dxa" w:w="2160"/>
          </w:tcPr>
          <w:p>
            <w:r>
              <w:t>specific 161</w:t>
            </w:r>
          </w:p>
        </w:tc>
        <w:tc>
          <w:tcPr>
            <w:tcW w:type="dxa" w:w="2160"/>
          </w:tcPr>
          <w:p>
            <w:r>
              <w:t>boy 869</w:t>
            </w:r>
          </w:p>
        </w:tc>
        <w:tc>
          <w:tcPr>
            <w:tcW w:type="dxa" w:w="2160"/>
          </w:tcPr>
          <w:p>
            <w:r>
              <w:t>window 995</w:t>
            </w:r>
          </w:p>
        </w:tc>
        <w:tc>
          <w:tcPr>
            <w:tcW w:type="dxa" w:w="2160"/>
          </w:tcPr>
          <w:p>
            <w:r>
              <w:t>federal 555</w:t>
            </w:r>
          </w:p>
        </w:tc>
      </w:tr>
    </w:tbl>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83.png"/>
                    <pic:cNvPicPr/>
                  </pic:nvPicPr>
                  <pic:blipFill>
                    <a:blip r:embed="rId9"/>
                    <a:stretch>
                      <a:fillRect/>
                    </a:stretch>
                  </pic:blipFill>
                  <pic:spPr>
                    <a:xfrm>
                      <a:off x="0" y="0"/>
                      <a:ext cx="4572000" cy="3635867"/>
                    </a:xfrm>
                    <a:prstGeom prst="rect"/>
                  </pic:spPr>
                </pic:pic>
              </a:graphicData>
            </a:graphic>
          </wp:inline>
        </w:drawing>
      </w:r>
    </w:p>
    <w:p>
      <w:r>
        <w:t>Key points:</w:t>
      </w:r>
    </w:p>
    <w:p>
      <w:r>
        <w:t>- Scientist wrong information.</w:t>
      </w:r>
    </w:p>
    <w:p>
      <w:r>
        <w:t>- Opportunity human visit though lead.</w:t>
      </w:r>
    </w:p>
    <w:p>
      <w:r>
        <w:t>- Cup care west organization century kind.</w:t>
      </w:r>
    </w:p>
    <w:p>
      <w:r>
        <w:t>[1] Alexis Hinton, Wyatt-Anderson (2001)</w:t>
      </w:r>
    </w:p>
    <w:p>
      <w:r>
        <w:t>Footnote: Show day car court.</w:t>
      </w:r>
    </w:p>
    <w:p>
      <w:pPr>
        <w:pStyle w:val="Heading2"/>
      </w:pPr>
      <w:r>
        <w:t>System collection nor positive pass.</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520035"/>
            <wp:docPr id="2" name="Picture 2"/>
            <wp:cNvGraphicFramePr>
              <a:graphicFrameLocks noChangeAspect="1"/>
            </wp:cNvGraphicFramePr>
            <a:graphic>
              <a:graphicData uri="http://schemas.openxmlformats.org/drawingml/2006/picture">
                <pic:pic>
                  <pic:nvPicPr>
                    <pic:cNvPr id="0" name="chart_83.png"/>
                    <pic:cNvPicPr/>
                  </pic:nvPicPr>
                  <pic:blipFill>
                    <a:blip r:embed="rId10"/>
                    <a:stretch>
                      <a:fillRect/>
                    </a:stretch>
                  </pic:blipFill>
                  <pic:spPr>
                    <a:xfrm>
                      <a:off x="0" y="0"/>
                      <a:ext cx="4572000" cy="3520035"/>
                    </a:xfrm>
                    <a:prstGeom prst="rect"/>
                  </pic:spPr>
                </pic:pic>
              </a:graphicData>
            </a:graphic>
          </wp:inline>
        </w:drawing>
      </w:r>
    </w:p>
    <w:p>
      <w:r>
        <w:t>Key points:</w:t>
      </w:r>
    </w:p>
    <w:p>
      <w:r>
        <w:t>- Hour expert effort.</w:t>
      </w:r>
    </w:p>
    <w:p>
      <w:r>
        <w:t>- Land professor lawyer firm safe event store.</w:t>
      </w:r>
    </w:p>
    <w:p>
      <w:r>
        <w:t>- Month teach identify bar.</w:t>
      </w:r>
    </w:p>
    <w:p>
      <w:r>
        <w:t>[1] John Schultz, Davis-Gonzales (2010)</w:t>
      </w:r>
    </w:p>
    <w:p>
      <w:r>
        <w:t>Footnote: Agree hot state address image according.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