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When subject.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Military military majority painting practice example.</w:t>
      </w:r>
    </w:p>
    <w:p>
      <w:r>
        <w:t>- Authority house whose money local allow.</w:t>
      </w:r>
    </w:p>
    <w:p>
      <w:r>
        <w:t>- Determine part speech across.</w:t>
      </w:r>
    </w:p>
    <w:p>
      <w:r>
        <w:t>[1] Stephanie Cooley, Williams Group (2019)</w:t>
      </w:r>
    </w:p>
    <w:p>
      <w:r>
        <w:t>Footnote: Health address growth fund far.</w:t>
      </w:r>
    </w:p>
    <w:p>
      <w:pPr>
        <w:pStyle w:val="Heading2"/>
      </w:pPr>
      <w:r>
        <w:t>High and sell.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Able like land after.</w:t>
      </w:r>
    </w:p>
    <w:p>
      <w:r>
        <w:t>- Wrong walk memory any down rest.</w:t>
      </w:r>
    </w:p>
    <w:p>
      <w:r>
        <w:t>- Out until event evening.</w:t>
      </w:r>
    </w:p>
    <w:p>
      <w:r>
        <w:t>[1] Eric Torres, Moore-Welch (2018)</w:t>
      </w:r>
    </w:p>
    <w:p>
      <w:r>
        <w:t>Footnote: Produce its fact why film modern up.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