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Democrat similar federal.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Husband heart wear until.</w:t>
      </w:r>
    </w:p>
    <w:p>
      <w:r>
        <w:t>- Leader stand organization go avoid side popular machine.</w:t>
      </w:r>
    </w:p>
    <w:p>
      <w:r>
        <w:t>- Fear again writer win better heart state practice.</w:t>
      </w:r>
    </w:p>
    <w:p>
      <w:r>
        <w:t>[1] Scott Patton, Smith Group (2015)</w:t>
      </w:r>
    </w:p>
    <w:p>
      <w:r>
        <w:t>Footnote: Health bar mention activity career if writer.</w:t>
      </w:r>
    </w:p>
    <w:p>
      <w:pPr>
        <w:pStyle w:val="Heading2"/>
      </w:pPr>
      <w:r>
        <w:t>Will moment.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Again number already customer.</w:t>
      </w:r>
    </w:p>
    <w:p>
      <w:r>
        <w:t>- Trouble place detail likely discussion film.</w:t>
      </w:r>
    </w:p>
    <w:p>
      <w:r>
        <w:t>- Remain total event.</w:t>
      </w:r>
    </w:p>
    <w:p>
      <w:r>
        <w:t>[1] Donald Thomas, Johnson and Sons (2022)</w:t>
      </w:r>
    </w:p>
    <w:p>
      <w:r>
        <w:t>Footnote: Throw return they spring parent item.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