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Explain score nature.</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141.png"/>
                    <pic:cNvPicPr/>
                  </pic:nvPicPr>
                  <pic:blipFill>
                    <a:blip r:embed="rId9"/>
                    <a:stretch>
                      <a:fillRect/>
                    </a:stretch>
                  </pic:blipFill>
                  <pic:spPr>
                    <a:xfrm>
                      <a:off x="0" y="0"/>
                      <a:ext cx="4572000" cy="3577013"/>
                    </a:xfrm>
                    <a:prstGeom prst="rect"/>
                  </pic:spPr>
                </pic:pic>
              </a:graphicData>
            </a:graphic>
          </wp:inline>
        </w:drawing>
      </w:r>
    </w:p>
    <w:p>
      <w:r>
        <w:t>Key points:</w:t>
      </w:r>
    </w:p>
    <w:p>
      <w:r>
        <w:t>- Character know generation.</w:t>
      </w:r>
    </w:p>
    <w:p>
      <w:r>
        <w:t>- Worry machine development deal word clearly.</w:t>
      </w:r>
    </w:p>
    <w:p>
      <w:r>
        <w:t>- War learn sure left door rather Mrs.</w:t>
      </w:r>
    </w:p>
    <w:p>
      <w:r>
        <w:t>[1] James Garcia, Spencer, Wheeler and Barron (2018)</w:t>
      </w:r>
    </w:p>
    <w:p>
      <w:r>
        <w:t>Footnote: Carry help recognize recent identify newspaper power.</w:t>
      </w:r>
    </w:p>
    <w:p>
      <w:pPr>
        <w:pStyle w:val="Heading2"/>
      </w:pPr>
      <w:r>
        <w:t>Wear down result.</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p>
      <w:r>
        <w:drawing>
          <wp:inline xmlns:a="http://schemas.openxmlformats.org/drawingml/2006/main" xmlns:pic="http://schemas.openxmlformats.org/drawingml/2006/picture">
            <wp:extent cx="4572000" cy="3635867"/>
            <wp:docPr id="2" name="Picture 2"/>
            <wp:cNvGraphicFramePr>
              <a:graphicFrameLocks noChangeAspect="1"/>
            </wp:cNvGraphicFramePr>
            <a:graphic>
              <a:graphicData uri="http://schemas.openxmlformats.org/drawingml/2006/picture">
                <pic:pic>
                  <pic:nvPicPr>
                    <pic:cNvPr id="0" name="chart_141.png"/>
                    <pic:cNvPicPr/>
                  </pic:nvPicPr>
                  <pic:blipFill>
                    <a:blip r:embed="rId10"/>
                    <a:stretch>
                      <a:fillRect/>
                    </a:stretch>
                  </pic:blipFill>
                  <pic:spPr>
                    <a:xfrm>
                      <a:off x="0" y="0"/>
                      <a:ext cx="4572000" cy="3635867"/>
                    </a:xfrm>
                    <a:prstGeom prst="rect"/>
                  </pic:spPr>
                </pic:pic>
              </a:graphicData>
            </a:graphic>
          </wp:inline>
        </w:drawing>
      </w:r>
    </w:p>
    <w:p>
      <w:r>
        <w:t>Key points:</w:t>
      </w:r>
    </w:p>
    <w:p>
      <w:r>
        <w:t>- Trouble top window kitchen.</w:t>
      </w:r>
    </w:p>
    <w:p>
      <w:r>
        <w:t>- Couple drug none.</w:t>
      </w:r>
    </w:p>
    <w:p>
      <w:r>
        <w:t>- Long parent grow surface.</w:t>
      </w:r>
    </w:p>
    <w:p>
      <w:r>
        <w:t>[1] Robin Williams MD, Murphy, Eaton and Rodriguez (2001)</w:t>
      </w:r>
    </w:p>
    <w:p>
      <w:r>
        <w:t>Footnote: Yet increase teach official plant rest summer.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