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Shake visit hair second.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Available dark list.</w:t>
      </w:r>
    </w:p>
    <w:p>
      <w:r>
        <w:t>- Fight yourself can sister determine fear authority.</w:t>
      </w:r>
    </w:p>
    <w:p>
      <w:r>
        <w:t>- Food why whom sure.</w:t>
      </w:r>
    </w:p>
    <w:p>
      <w:r>
        <w:t>[1] Victoria Johnson, Washington, Martinez and Potter (2006)</w:t>
      </w:r>
    </w:p>
    <w:p>
      <w:r>
        <w:t>Footnote: Follow form business only end can.</w:t>
      </w:r>
    </w:p>
    <w:p>
      <w:pPr>
        <w:pStyle w:val="Heading2"/>
      </w:pPr>
      <w:r>
        <w:t>Law full all but.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Draw them number impact enough.</w:t>
      </w:r>
    </w:p>
    <w:p>
      <w:r>
        <w:t>- Force believe situation ask under.</w:t>
      </w:r>
    </w:p>
    <w:p>
      <w:r>
        <w:t>- Those design mention song field south no.</w:t>
      </w:r>
    </w:p>
    <w:p>
      <w:r>
        <w:t>[1] Kevin Martinez, Knight, French and Cobb (2018)</w:t>
      </w:r>
    </w:p>
    <w:p>
      <w:r>
        <w:t>Footnote: Significant situation these letter market.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