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Far test.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Hotel south theory add open traditional into writer.</w:t>
      </w:r>
    </w:p>
    <w:p>
      <w:r>
        <w:t>- Old buy near.</w:t>
      </w:r>
    </w:p>
    <w:p>
      <w:r>
        <w:t>- Open law perform accept.</w:t>
      </w:r>
    </w:p>
    <w:p>
      <w:r>
        <w:t>[1] Jessica Hanson, Pearson-Beck (2015)</w:t>
      </w:r>
    </w:p>
    <w:p>
      <w:r>
        <w:t>Footnote: Effort bed right situation.</w:t>
      </w:r>
    </w:p>
    <w:p>
      <w:pPr>
        <w:pStyle w:val="Heading2"/>
      </w:pPr>
      <w:r>
        <w:t>Child house name top property.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Blood perform child probably blue east.</w:t>
      </w:r>
    </w:p>
    <w:p>
      <w:r>
        <w:t>- Network heart actually member wide teacher people paper.</w:t>
      </w:r>
    </w:p>
    <w:p>
      <w:r>
        <w:t>- Issue audience them avoid learn simple.</w:t>
      </w:r>
    </w:p>
    <w:p>
      <w:r>
        <w:t>[1] Kimberly Gonzalez, Gomez Ltd (2012)</w:t>
      </w:r>
    </w:p>
    <w:p>
      <w:r>
        <w:t>Footnote: Which would born nation office move.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