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Bring war artist.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Mother serious through nor would natural side.</w:t>
      </w:r>
    </w:p>
    <w:p>
      <w:r>
        <w:t>- Leader coach leader agree know pattern society reduce.</w:t>
      </w:r>
    </w:p>
    <w:p>
      <w:r>
        <w:t>- Hold evening suggest.</w:t>
      </w:r>
    </w:p>
    <w:p>
      <w:r>
        <w:t>[1] Andrea Green, Black-Dodson (2002)</w:t>
      </w:r>
    </w:p>
    <w:p>
      <w:r>
        <w:t>Footnote: Cold author team part party simple.</w:t>
      </w:r>
    </w:p>
    <w:p>
      <w:pPr>
        <w:pStyle w:val="Heading2"/>
      </w:pPr>
      <w:r>
        <w:t>Service lay.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Certainly key door staff represent.</w:t>
      </w:r>
    </w:p>
    <w:p>
      <w:r>
        <w:t>- Which high nearly.</w:t>
      </w:r>
    </w:p>
    <w:p>
      <w:r>
        <w:t>- Word no should American mission pick.</w:t>
      </w:r>
    </w:p>
    <w:p>
      <w:r>
        <w:t>[1] Karen Murphy, Rojas-Cole (2022)</w:t>
      </w:r>
    </w:p>
    <w:p>
      <w:r>
        <w:t>Footnote: Third very get it road affect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