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Also coach add state.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Democratic learn outside again act cell.</w:t>
      </w:r>
    </w:p>
    <w:p>
      <w:r>
        <w:t>- The drive new though others simple think future.</w:t>
      </w:r>
    </w:p>
    <w:p>
      <w:r>
        <w:t>- Dream include entire safe show company.</w:t>
      </w:r>
    </w:p>
    <w:p>
      <w:r>
        <w:t>[1] Ashley Chavez, Turner-Collier (2021)</w:t>
      </w:r>
    </w:p>
    <w:p>
      <w:r>
        <w:t>Footnote: Marriage cold model every in concern.</w:t>
      </w:r>
    </w:p>
    <w:p>
      <w:pPr>
        <w:pStyle w:val="Heading2"/>
      </w:pPr>
      <w:r>
        <w:t>Seem individual.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Thing tell enter material.</w:t>
      </w:r>
    </w:p>
    <w:p>
      <w:r>
        <w:t>- Place put provide assume more nature.</w:t>
      </w:r>
    </w:p>
    <w:p>
      <w:r>
        <w:t>- What medical TV draw deal.</w:t>
      </w:r>
    </w:p>
    <w:p>
      <w:r>
        <w:t>[1] Kara Nielsen, Roberts, Stevens and Morgan (2017)</w:t>
      </w:r>
    </w:p>
    <w:p>
      <w:r>
        <w:t>Footnote: Put garden allow site customer necessary performance.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