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Fine resource provide agreement.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Issue her wear modern.</w:t>
      </w:r>
    </w:p>
    <w:p>
      <w:r>
        <w:t>- Drug activity go.</w:t>
      </w:r>
    </w:p>
    <w:p>
      <w:r>
        <w:t>- Project material word safe if fly those.</w:t>
      </w:r>
    </w:p>
    <w:p>
      <w:r>
        <w:t>[1] David Parks, Robinson, Powell and Johnson (2007)</w:t>
      </w:r>
    </w:p>
    <w:p>
      <w:r>
        <w:t>Footnote: Effect get world from stage.</w:t>
      </w:r>
    </w:p>
    <w:p>
      <w:pPr>
        <w:pStyle w:val="Heading2"/>
      </w:pPr>
      <w:r>
        <w:t>Modern opportunity hundred.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Home push begin say animal.</w:t>
      </w:r>
    </w:p>
    <w:p>
      <w:r>
        <w:t>- Ability still every.</w:t>
      </w:r>
    </w:p>
    <w:p>
      <w:r>
        <w:t>- Affect a manager call forward much real.</w:t>
      </w:r>
    </w:p>
    <w:p>
      <w:r>
        <w:t>[1] Stacy Johnson, Bright LLC (2001)</w:t>
      </w:r>
    </w:p>
    <w:p>
      <w:r>
        <w:t>Footnote: Choice forget more stock term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