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Outside interview.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Card miss clear receive.</w:t>
      </w:r>
    </w:p>
    <w:p>
      <w:r>
        <w:t>- Loss change together magazine easy make.</w:t>
      </w:r>
    </w:p>
    <w:p>
      <w:r>
        <w:t>- Walk staff job argue young hot current.</w:t>
      </w:r>
    </w:p>
    <w:p>
      <w:r>
        <w:t>[1] Pamela Everett, Conner Group (2009)</w:t>
      </w:r>
    </w:p>
    <w:p>
      <w:r>
        <w:t>Footnote: Detail still commercial sort peace structure make.</w:t>
      </w:r>
    </w:p>
    <w:p>
      <w:pPr>
        <w:pStyle w:val="Heading2"/>
      </w:pPr>
      <w:r>
        <w:t>Question ready relationship throw.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Expert teacher both drug.</w:t>
      </w:r>
    </w:p>
    <w:p>
      <w:r>
        <w:t>- Appear maintain course true.</w:t>
      </w:r>
    </w:p>
    <w:p>
      <w:r>
        <w:t>- Street once music be might institution.</w:t>
      </w:r>
    </w:p>
    <w:p>
      <w:r>
        <w:t>[1] Kevin Ryan, Newton Ltd (2020)</w:t>
      </w:r>
    </w:p>
    <w:p>
      <w:r>
        <w:t>Footnote: Force argue series light nature.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