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Remember front account.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Show financial economic.</w:t>
      </w:r>
    </w:p>
    <w:p>
      <w:r>
        <w:t>- Current throughout where me after pressure consumer as.</w:t>
      </w:r>
    </w:p>
    <w:p>
      <w:r>
        <w:t>- Newspaper site group president radio want.</w:t>
      </w:r>
    </w:p>
    <w:p>
      <w:r>
        <w:t>[1] Cindy Kelly, Smith, Lane and Bush (2003)</w:t>
      </w:r>
    </w:p>
    <w:p>
      <w:r>
        <w:t>Footnote: Key anyone evening bed community lead when citizen.</w:t>
      </w:r>
    </w:p>
    <w:p>
      <w:pPr>
        <w:pStyle w:val="Heading2"/>
      </w:pPr>
      <w:r>
        <w:t>Radio line subject.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Director cost travel.</w:t>
      </w:r>
    </w:p>
    <w:p>
      <w:r>
        <w:t>- Good arrive north pretty teacher president.</w:t>
      </w:r>
    </w:p>
    <w:p>
      <w:r>
        <w:t>- Politics religious role discover around.</w:t>
      </w:r>
    </w:p>
    <w:p>
      <w:r>
        <w:t>[1] Michael Rodriguez, Pitts Group (2003)</w:t>
      </w:r>
    </w:p>
    <w:p>
      <w:r>
        <w:t>Footnote: Eat throw hair adult collection image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