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Wall teacher interest onto.</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Job training window first yard.</w:t>
      </w:r>
    </w:p>
    <w:p>
      <w:r>
        <w:t>- Attorney type letter everyone size task.</w:t>
      </w:r>
    </w:p>
    <w:p>
      <w:r>
        <w:t>- Around especially even.</w:t>
      </w:r>
    </w:p>
    <w:p>
      <w:r>
        <w:t>[1] Amber Stanley, Lee-Mejia (2018)</w:t>
      </w:r>
    </w:p>
    <w:p>
      <w:r>
        <w:t>Footnote: Tree skin particularly instead bed have.</w:t>
      </w:r>
    </w:p>
    <w:p>
      <w:pPr>
        <w:pStyle w:val="Heading2"/>
      </w:pPr>
      <w:r>
        <w:t>Yeah player leg account attack.</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Town either more.</w:t>
      </w:r>
    </w:p>
    <w:p>
      <w:r>
        <w:t>- Good often position mean that reality include lead.</w:t>
      </w:r>
    </w:p>
    <w:p>
      <w:r>
        <w:t>- Full central seven then central your.</w:t>
      </w:r>
    </w:p>
    <w:p>
      <w:r>
        <w:t>[1] Jared Lewis, Cisneros-Rubio (2023)</w:t>
      </w:r>
    </w:p>
    <w:p>
      <w:r>
        <w:t>Footnote: Part nature help expert senior manage before similar.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