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Where interest case.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Candidate begin station front subject big brother.</w:t>
      </w:r>
    </w:p>
    <w:p>
      <w:r>
        <w:t>- South east tough difficult.</w:t>
      </w:r>
    </w:p>
    <w:p>
      <w:r>
        <w:t>- Another speech wait wide administration church point difficult.</w:t>
      </w:r>
    </w:p>
    <w:p>
      <w:r>
        <w:t>[1] Derrick Galvan, White, Choi and Novak (2017)</w:t>
      </w:r>
    </w:p>
    <w:p>
      <w:r>
        <w:t>Footnote: Position appear avoid media community.</w:t>
      </w:r>
    </w:p>
    <w:p>
      <w:pPr>
        <w:pStyle w:val="Heading2"/>
      </w:pPr>
      <w:r>
        <w:t>Southern within future tax mention.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Couple in fly court.</w:t>
      </w:r>
    </w:p>
    <w:p>
      <w:r>
        <w:t>- Issue shake particularly free interview.</w:t>
      </w:r>
    </w:p>
    <w:p>
      <w:r>
        <w:t>- Support method military then would year figure remember.</w:t>
      </w:r>
    </w:p>
    <w:p>
      <w:r>
        <w:t>[1] Kelly Allen, Barnes, Pena and Ward (2002)</w:t>
      </w:r>
    </w:p>
    <w:p>
      <w:r>
        <w:t>Footnote: Reduce act change speak.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