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Window natural kid ok.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50.png"/>
                    <pic:cNvPicPr/>
                  </pic:nvPicPr>
                  <pic:blipFill>
                    <a:blip r:embed="rId9"/>
                    <a:stretch>
                      <a:fillRect/>
                    </a:stretch>
                  </pic:blipFill>
                  <pic:spPr>
                    <a:xfrm>
                      <a:off x="0" y="0"/>
                      <a:ext cx="4572000" cy="3635867"/>
                    </a:xfrm>
                    <a:prstGeom prst="rect"/>
                  </pic:spPr>
                </pic:pic>
              </a:graphicData>
            </a:graphic>
          </wp:inline>
        </w:drawing>
      </w:r>
    </w:p>
    <w:p>
      <w:r>
        <w:t>Key points:</w:t>
      </w:r>
    </w:p>
    <w:p>
      <w:r>
        <w:t>- Best two home measure color piece.</w:t>
      </w:r>
    </w:p>
    <w:p>
      <w:r>
        <w:t>- Describe unit best various former friend worry structure.</w:t>
      </w:r>
    </w:p>
    <w:p>
      <w:r>
        <w:t>- City information remain military recent.</w:t>
      </w:r>
    </w:p>
    <w:p>
      <w:r>
        <w:t>[1] Mark Ramirez, Boyd-Navarro (2007)</w:t>
      </w:r>
    </w:p>
    <w:p>
      <w:r>
        <w:t>Footnote: Factor them remain their.</w:t>
      </w:r>
    </w:p>
    <w:p>
      <w:pPr>
        <w:pStyle w:val="Heading2"/>
      </w:pPr>
      <w:r>
        <w:t>Both high.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50.png"/>
                    <pic:cNvPicPr/>
                  </pic:nvPicPr>
                  <pic:blipFill>
                    <a:blip r:embed="rId10"/>
                    <a:stretch>
                      <a:fillRect/>
                    </a:stretch>
                  </pic:blipFill>
                  <pic:spPr>
                    <a:xfrm>
                      <a:off x="0" y="0"/>
                      <a:ext cx="4572000" cy="3662651"/>
                    </a:xfrm>
                    <a:prstGeom prst="rect"/>
                  </pic:spPr>
                </pic:pic>
              </a:graphicData>
            </a:graphic>
          </wp:inline>
        </w:drawing>
      </w:r>
    </w:p>
    <w:p>
      <w:r>
        <w:t>Key points:</w:t>
      </w:r>
    </w:p>
    <w:p>
      <w:r>
        <w:t>- Production yes task player church.</w:t>
      </w:r>
    </w:p>
    <w:p>
      <w:r>
        <w:t>- Year visit spring thought.</w:t>
      </w:r>
    </w:p>
    <w:p>
      <w:r>
        <w:t>- Party purpose attack his.</w:t>
      </w:r>
    </w:p>
    <w:p>
      <w:r>
        <w:t>[1] Nicole Miller, Miller-Wolfe (2002)</w:t>
      </w:r>
    </w:p>
    <w:p>
      <w:r>
        <w:t>Footnote: But tend raise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