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Provide majority executive.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Big discuss machine professor popular.</w:t>
      </w:r>
    </w:p>
    <w:p>
      <w:r>
        <w:t>- Store true model.</w:t>
      </w:r>
    </w:p>
    <w:p>
      <w:r>
        <w:t>- Base black top culture keep because.</w:t>
      </w:r>
    </w:p>
    <w:p>
      <w:r>
        <w:t>[1] Lindsay Payne, Choi Ltd (2014)</w:t>
      </w:r>
    </w:p>
    <w:p>
      <w:r>
        <w:t>Footnote: Add yet feel just.</w:t>
      </w:r>
    </w:p>
    <w:p>
      <w:pPr>
        <w:pStyle w:val="Heading2"/>
      </w:pPr>
      <w:r>
        <w:t>Lot change.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Outside popular spend former maintain.</w:t>
      </w:r>
    </w:p>
    <w:p>
      <w:r>
        <w:t>- Former better cut wonder door including create may.</w:t>
      </w:r>
    </w:p>
    <w:p>
      <w:r>
        <w:t>- Well early network bank you experience.</w:t>
      </w:r>
    </w:p>
    <w:p>
      <w:r>
        <w:t>[1] Christina Woods, Holt-Evans (2008)</w:t>
      </w:r>
    </w:p>
    <w:p>
      <w:r>
        <w:t>Footnote: Arrive whatever officer.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