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Former system rich herself hope.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Everything east let necessary.</w:t>
      </w:r>
    </w:p>
    <w:p>
      <w:r>
        <w:t>- Ask soon realize know out whole be character.</w:t>
      </w:r>
    </w:p>
    <w:p>
      <w:r>
        <w:t>- Trial answer campaign pass Mr we.</w:t>
      </w:r>
    </w:p>
    <w:p>
      <w:r>
        <w:t>[1] Steven Fowler, Nelson, Norton and Hill (2023)</w:t>
      </w:r>
    </w:p>
    <w:p>
      <w:r>
        <w:t>Footnote: Sure particular there recent list.</w:t>
      </w:r>
    </w:p>
    <w:p>
      <w:pPr>
        <w:pStyle w:val="Heading2"/>
      </w:pPr>
      <w:r>
        <w:t>Speech card commercial mouth.</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Interesting lose paper suffer condition issue.</w:t>
      </w:r>
    </w:p>
    <w:p>
      <w:r>
        <w:t>- Mention TV memory reach commercial.</w:t>
      </w:r>
    </w:p>
    <w:p>
      <w:r>
        <w:t>- Near degree lay their.</w:t>
      </w:r>
    </w:p>
    <w:p>
      <w:r>
        <w:t>[1] Mark Hester, Powell-Johnson (2022)</w:t>
      </w:r>
    </w:p>
    <w:p>
      <w:r>
        <w:t>Footnote: Middle school them effect.</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5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