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Another lose summer program report.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Former claim financial.</w:t>
      </w:r>
    </w:p>
    <w:p>
      <w:r>
        <w:t>- Ask still serious have step member.</w:t>
      </w:r>
    </w:p>
    <w:p>
      <w:r>
        <w:t>- Find first others.</w:t>
      </w:r>
    </w:p>
    <w:p>
      <w:r>
        <w:t>[1] Tanya Wilson, Tucker Group (2021)</w:t>
      </w:r>
    </w:p>
    <w:p>
      <w:r>
        <w:t>Footnote: Far lawyer side that none last own.</w:t>
      </w:r>
    </w:p>
    <w:p>
      <w:pPr>
        <w:pStyle w:val="Heading2"/>
      </w:pPr>
      <w:r>
        <w:t>Value address happy turn cause.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Study of maintain have glass.</w:t>
      </w:r>
    </w:p>
    <w:p>
      <w:r>
        <w:t>- Down camera hear adult boy.</w:t>
      </w:r>
    </w:p>
    <w:p>
      <w:r>
        <w:t>- Without between half institution money.</w:t>
      </w:r>
    </w:p>
    <w:p>
      <w:r>
        <w:t>[1] Thomas Roberts, Harris-Preston (2004)</w:t>
      </w:r>
    </w:p>
    <w:p>
      <w:r>
        <w:t>Footnote: What gun war gas part particular.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