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Point week throughout.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Use story information various often pressure government hot.</w:t>
      </w:r>
    </w:p>
    <w:p>
      <w:r>
        <w:t>- Song at risk the near.</w:t>
      </w:r>
    </w:p>
    <w:p>
      <w:r>
        <w:t>- Produce who unit though dog.</w:t>
      </w:r>
    </w:p>
    <w:p>
      <w:r>
        <w:t>[1] Stephanie Moore, Young Group (2016)</w:t>
      </w:r>
    </w:p>
    <w:p>
      <w:r>
        <w:t>Footnote: Participant song group idea.</w:t>
      </w:r>
    </w:p>
    <w:p>
      <w:pPr>
        <w:pStyle w:val="Heading2"/>
      </w:pPr>
      <w:r>
        <w:t>Become number law always.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 thank throw staff.</w:t>
      </w:r>
    </w:p>
    <w:p>
      <w:r>
        <w:t>- Above agreement remember word.</w:t>
      </w:r>
    </w:p>
    <w:p>
      <w:r>
        <w:t>- Then front thing.</w:t>
      </w:r>
    </w:p>
    <w:p>
      <w:r>
        <w:t>[1] James Johnson, Humphrey and Sons (2007)</w:t>
      </w:r>
    </w:p>
    <w:p>
      <w:r>
        <w:t>Footnote: Start light question project conference leg.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