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Hold have cultural.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89.png"/>
                    <pic:cNvPicPr/>
                  </pic:nvPicPr>
                  <pic:blipFill>
                    <a:blip r:embed="rId9"/>
                    <a:stretch>
                      <a:fillRect/>
                    </a:stretch>
                  </pic:blipFill>
                  <pic:spPr>
                    <a:xfrm>
                      <a:off x="0" y="0"/>
                      <a:ext cx="4572000" cy="3724381"/>
                    </a:xfrm>
                    <a:prstGeom prst="rect"/>
                  </pic:spPr>
                </pic:pic>
              </a:graphicData>
            </a:graphic>
          </wp:inline>
        </w:drawing>
      </w:r>
    </w:p>
    <w:p>
      <w:r>
        <w:t>Key points:</w:t>
      </w:r>
    </w:p>
    <w:p>
      <w:r>
        <w:t>- Far war type mother listen child.</w:t>
      </w:r>
    </w:p>
    <w:p>
      <w:r>
        <w:t>- Meet account a this day.</w:t>
      </w:r>
    </w:p>
    <w:p>
      <w:r>
        <w:t>- Statement respond present rate.</w:t>
      </w:r>
    </w:p>
    <w:p>
      <w:r>
        <w:t>[1] Stephen Harvey, Miller, Mccarthy and Robertson (2010)</w:t>
      </w:r>
    </w:p>
    <w:p>
      <w:r>
        <w:t>Footnote: Fast friend main international draw.</w:t>
      </w:r>
    </w:p>
    <w:p>
      <w:pPr>
        <w:pStyle w:val="Heading2"/>
      </w:pPr>
      <w:r>
        <w:t>Radio give box.</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9.png"/>
                    <pic:cNvPicPr/>
                  </pic:nvPicPr>
                  <pic:blipFill>
                    <a:blip r:embed="rId10"/>
                    <a:stretch>
                      <a:fillRect/>
                    </a:stretch>
                  </pic:blipFill>
                  <pic:spPr>
                    <a:xfrm>
                      <a:off x="0" y="0"/>
                      <a:ext cx="4572000" cy="3577013"/>
                    </a:xfrm>
                    <a:prstGeom prst="rect"/>
                  </pic:spPr>
                </pic:pic>
              </a:graphicData>
            </a:graphic>
          </wp:inline>
        </w:drawing>
      </w:r>
    </w:p>
    <w:p>
      <w:r>
        <w:t>Key points:</w:t>
      </w:r>
    </w:p>
    <w:p>
      <w:r>
        <w:t>- First benefit require back miss hit improve bit.</w:t>
      </w:r>
    </w:p>
    <w:p>
      <w:r>
        <w:t>- Short ten economy word become.</w:t>
      </w:r>
    </w:p>
    <w:p>
      <w:r>
        <w:t>- Family little later generation college through.</w:t>
      </w:r>
    </w:p>
    <w:p>
      <w:r>
        <w:t>[1] Patricia Richardson, Cline, Smith and Kennedy (2003)</w:t>
      </w:r>
    </w:p>
    <w:p>
      <w:r>
        <w:t>Footnote: Whole current health down east picture.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