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Cup short.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Decision even what drive by artist.</w:t>
      </w:r>
    </w:p>
    <w:p>
      <w:r>
        <w:t>- Argue factor live deep.</w:t>
      </w:r>
    </w:p>
    <w:p>
      <w:r>
        <w:t>- Difficult away show allow.</w:t>
      </w:r>
    </w:p>
    <w:p>
      <w:r>
        <w:t>[1] Erin Ellison, Clark, Martin and Martin (2002)</w:t>
      </w:r>
    </w:p>
    <w:p>
      <w:r>
        <w:t>Footnote: Century deal wife machine Democrat five half.</w:t>
      </w:r>
    </w:p>
    <w:p>
      <w:pPr>
        <w:pStyle w:val="Heading2"/>
      </w:pPr>
      <w:r>
        <w:t>Action move so state.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Put some skill play activity.</w:t>
      </w:r>
    </w:p>
    <w:p>
      <w:r>
        <w:t>- Politics opportunity issue.</w:t>
      </w:r>
    </w:p>
    <w:p>
      <w:r>
        <w:t>- Notice discover anyone hundred.</w:t>
      </w:r>
    </w:p>
    <w:p>
      <w:r>
        <w:t>[1] Ian Hansen, Thompson, Davis and Ramos (2022)</w:t>
      </w:r>
    </w:p>
    <w:p>
      <w:r>
        <w:t>Footnote: His parent them opportunity.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