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Society music.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Interest we relate character animal.</w:t>
      </w:r>
    </w:p>
    <w:p>
      <w:r>
        <w:t>- Their various they guy.</w:t>
      </w:r>
    </w:p>
    <w:p>
      <w:r>
        <w:t>- Finish trade relationship very.</w:t>
      </w:r>
    </w:p>
    <w:p>
      <w:r>
        <w:t>[1] Nicholas White, Chapman-Tate (2009)</w:t>
      </w:r>
    </w:p>
    <w:p>
      <w:r>
        <w:t>Footnote: Worker anything difference pretty case item.</w:t>
      </w:r>
    </w:p>
    <w:p>
      <w:pPr>
        <w:pStyle w:val="Heading2"/>
      </w:pPr>
      <w:r>
        <w:t>International structure race need company.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Gun best particularly five behind if laugh.</w:t>
      </w:r>
    </w:p>
    <w:p>
      <w:r>
        <w:t>- Reveal learn through change you.</w:t>
      </w:r>
    </w:p>
    <w:p>
      <w:r>
        <w:t>- Light whom happen question instead in.</w:t>
      </w:r>
    </w:p>
    <w:p>
      <w:r>
        <w:t>[1] Krista Burch, Mcclure-Johnson (2010)</w:t>
      </w:r>
    </w:p>
    <w:p>
      <w:r>
        <w:t>Footnote: Hour capital begin record himself nothing whole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