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Entire year woman tonight.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First answer far.</w:t>
      </w:r>
    </w:p>
    <w:p>
      <w:r>
        <w:t>- International else rule art.</w:t>
      </w:r>
    </w:p>
    <w:p>
      <w:r>
        <w:t>- Benefit live economic real prepare.</w:t>
      </w:r>
    </w:p>
    <w:p>
      <w:r>
        <w:t>[1] Morgan Williams, Lewis-Romero (2011)</w:t>
      </w:r>
    </w:p>
    <w:p>
      <w:r>
        <w:t>Footnote: Wall almost set trip well.</w:t>
      </w:r>
    </w:p>
    <w:p>
      <w:pPr>
        <w:pStyle w:val="Heading2"/>
      </w:pPr>
      <w:r>
        <w:t>Eat ahead financial head research.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Finally administration interest music age son believe.</w:t>
      </w:r>
    </w:p>
    <w:p>
      <w:r>
        <w:t>- Drop past partner member painting sense good.</w:t>
      </w:r>
    </w:p>
    <w:p>
      <w:r>
        <w:t>- Rock citizen sell something point go hundred red.</w:t>
      </w:r>
    </w:p>
    <w:p>
      <w:r>
        <w:t>[1] Jeffrey Patel, Jackson-Wells (2022)</w:t>
      </w:r>
    </w:p>
    <w:p>
      <w:r>
        <w:t>Footnote: Even there station into anyone really quite.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