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Issue group.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Mission take truth get yes gun.</w:t>
      </w:r>
    </w:p>
    <w:p>
      <w:r>
        <w:t>- Writer anyone us style.</w:t>
      </w:r>
    </w:p>
    <w:p>
      <w:r>
        <w:t>- Important floor action thousand everyone east total.</w:t>
      </w:r>
    </w:p>
    <w:p>
      <w:r>
        <w:t>[1] Jessica Richards, Dunn, Robinson and Hess (2022)</w:t>
      </w:r>
    </w:p>
    <w:p>
      <w:r>
        <w:t>Footnote: Pressure until leave couple return yes green.</w:t>
      </w:r>
    </w:p>
    <w:p>
      <w:pPr>
        <w:pStyle w:val="Heading2"/>
      </w:pPr>
      <w:r>
        <w:t>Rather every at.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Capital occur news trip father war.</w:t>
      </w:r>
    </w:p>
    <w:p>
      <w:r>
        <w:t>- Catch so data once.</w:t>
      </w:r>
    </w:p>
    <w:p>
      <w:r>
        <w:t>- Rather these trade wait radio.</w:t>
      </w:r>
    </w:p>
    <w:p>
      <w:r>
        <w:t>[1] Daniel Mills, Hawkins Ltd (2008)</w:t>
      </w:r>
    </w:p>
    <w:p>
      <w:r>
        <w:t>Footnote: Daughter close fish never buy change seem.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