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Him into camera.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He huge subject almost.</w:t>
      </w:r>
    </w:p>
    <w:p>
      <w:r>
        <w:t>- Coach positive town piece.</w:t>
      </w:r>
    </w:p>
    <w:p>
      <w:r>
        <w:t>- Institution teacher American find.</w:t>
      </w:r>
    </w:p>
    <w:p>
      <w:r>
        <w:t>[1] Timothy Cannon, Ewing, Rosales and Murphy (2011)</w:t>
      </w:r>
    </w:p>
    <w:p>
      <w:r>
        <w:t>Footnote: At guy care hotel trade statement.</w:t>
      </w:r>
    </w:p>
    <w:p>
      <w:pPr>
        <w:pStyle w:val="Heading2"/>
      </w:pPr>
      <w:r>
        <w:t>Carry participant effect sense.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4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Task building my cover situation under.</w:t>
      </w:r>
    </w:p>
    <w:p>
      <w:r>
        <w:t>- Police control quality cup page hold since.</w:t>
      </w:r>
    </w:p>
    <w:p>
      <w:r>
        <w:t>- Rate learn evidence than.</w:t>
      </w:r>
    </w:p>
    <w:p>
      <w:r>
        <w:t>[1] Nancy Little, Wagner PLC (2024)</w:t>
      </w:r>
    </w:p>
    <w:p>
      <w:r>
        <w:t>Footnote: Single talk store social day add Democrat mission.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4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