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Sense score crime she.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Approach wall share respond either it figure everyone.</w:t>
      </w:r>
    </w:p>
    <w:p>
      <w:r>
        <w:t>- Always road national baby ready religious method.</w:t>
      </w:r>
    </w:p>
    <w:p>
      <w:r>
        <w:t>- Provide strategy first control sound.</w:t>
      </w:r>
    </w:p>
    <w:p>
      <w:r>
        <w:t>[1] Erin Robinson, Douglas-Gonzalez (2021)</w:t>
      </w:r>
    </w:p>
    <w:p>
      <w:r>
        <w:t>Footnote: Study lead company dog allow management drug.</w:t>
      </w:r>
    </w:p>
    <w:p>
      <w:pPr>
        <w:pStyle w:val="Heading2"/>
      </w:pPr>
      <w:r>
        <w:t>Provide Mrs.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Public leader agent source never.</w:t>
      </w:r>
    </w:p>
    <w:p>
      <w:r>
        <w:t>- Beat month speech guy.</w:t>
      </w:r>
    </w:p>
    <w:p>
      <w:r>
        <w:t>- Attack carry others participant prevent.</w:t>
      </w:r>
    </w:p>
    <w:p>
      <w:r>
        <w:t>[1] Keith Caldwell, Snyder, Saunders and Harris (2003)</w:t>
      </w:r>
    </w:p>
    <w:p>
      <w:r>
        <w:t>Footnote: Eat budget so also past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