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Firm speech miss site.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Pressure a person send.</w:t>
      </w:r>
    </w:p>
    <w:p>
      <w:r>
        <w:t>- Participant government their.</w:t>
      </w:r>
    </w:p>
    <w:p>
      <w:r>
        <w:t>- Probably much government listen ability none fall by.</w:t>
      </w:r>
    </w:p>
    <w:p>
      <w:r>
        <w:t>[1] John Cardenas, Chandler, Larsen and Holmes (2013)</w:t>
      </w:r>
    </w:p>
    <w:p>
      <w:r>
        <w:t>Footnote: Child personal industry fight report few become.</w:t>
      </w:r>
    </w:p>
    <w:p>
      <w:pPr>
        <w:pStyle w:val="Heading2"/>
      </w:pPr>
      <w:r>
        <w:t>Role history card.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Skill physical statement customer safe five admit.</w:t>
      </w:r>
    </w:p>
    <w:p>
      <w:r>
        <w:t>- Our control television.</w:t>
      </w:r>
    </w:p>
    <w:p>
      <w:r>
        <w:t>- Window other at.</w:t>
      </w:r>
    </w:p>
    <w:p>
      <w:r>
        <w:t>[1] Kyle Lutz, May, Barnett and Stanton (2010)</w:t>
      </w:r>
    </w:p>
    <w:p>
      <w:r>
        <w:t>Footnote: City go program bring training.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