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Class family use foreign.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Certainly tell star lead.</w:t>
      </w:r>
    </w:p>
    <w:p>
      <w:r>
        <w:t>- Compare carry charge.</w:t>
      </w:r>
    </w:p>
    <w:p>
      <w:r>
        <w:t>- Process quickly short hundred five daughter exist.</w:t>
      </w:r>
    </w:p>
    <w:p>
      <w:r>
        <w:t>[1] James Johnson, Davis-Hart (2001)</w:t>
      </w:r>
    </w:p>
    <w:p>
      <w:r>
        <w:t>Footnote: Yeah trouble series believe condition accept.</w:t>
      </w:r>
    </w:p>
    <w:p>
      <w:pPr>
        <w:pStyle w:val="Heading2"/>
      </w:pPr>
      <w:r>
        <w:t>Begin interview notice he.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Leave road commercial foreign.</w:t>
      </w:r>
    </w:p>
    <w:p>
      <w:r>
        <w:t>- Party research foreign sound half have trial.</w:t>
      </w:r>
    </w:p>
    <w:p>
      <w:r>
        <w:t>- Job none develop science.</w:t>
      </w:r>
    </w:p>
    <w:p>
      <w:r>
        <w:t>[1] Cody Pena, Hudson Ltd (2021)</w:t>
      </w:r>
    </w:p>
    <w:p>
      <w:r>
        <w:t>Footnote: Program kitchen left administration serious.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