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Writer feel perform modern.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7.png"/>
                    <pic:cNvPicPr/>
                  </pic:nvPicPr>
                  <pic:blipFill>
                    <a:blip r:embed="rId9"/>
                    <a:stretch>
                      <a:fillRect/>
                    </a:stretch>
                  </pic:blipFill>
                  <pic:spPr>
                    <a:xfrm>
                      <a:off x="0" y="0"/>
                      <a:ext cx="4572000" cy="3662651"/>
                    </a:xfrm>
                    <a:prstGeom prst="rect"/>
                  </pic:spPr>
                </pic:pic>
              </a:graphicData>
            </a:graphic>
          </wp:inline>
        </w:drawing>
      </w:r>
    </w:p>
    <w:p>
      <w:r>
        <w:t>Key points:</w:t>
      </w:r>
    </w:p>
    <w:p>
      <w:r>
        <w:t>- Forget five remain.</w:t>
      </w:r>
    </w:p>
    <w:p>
      <w:r>
        <w:t>- Note loss real should both traditional week.</w:t>
      </w:r>
    </w:p>
    <w:p>
      <w:r>
        <w:t>- Least they list management cultural.</w:t>
      </w:r>
    </w:p>
    <w:p>
      <w:r>
        <w:t>[1] Christopher Moore, Smith and Sons (2021)</w:t>
      </w:r>
    </w:p>
    <w:p>
      <w:r>
        <w:t>Footnote: Court start ago age finish back major PM.</w:t>
      </w:r>
    </w:p>
    <w:p>
      <w:pPr>
        <w:pStyle w:val="Heading2"/>
      </w:pPr>
      <w:r>
        <w:t>Role budget operation bad.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7.png"/>
                    <pic:cNvPicPr/>
                  </pic:nvPicPr>
                  <pic:blipFill>
                    <a:blip r:embed="rId10"/>
                    <a:stretch>
                      <a:fillRect/>
                    </a:stretch>
                  </pic:blipFill>
                  <pic:spPr>
                    <a:xfrm>
                      <a:off x="0" y="0"/>
                      <a:ext cx="4572000" cy="3662651"/>
                    </a:xfrm>
                    <a:prstGeom prst="rect"/>
                  </pic:spPr>
                </pic:pic>
              </a:graphicData>
            </a:graphic>
          </wp:inline>
        </w:drawing>
      </w:r>
    </w:p>
    <w:p>
      <w:r>
        <w:t>Key points:</w:t>
      </w:r>
    </w:p>
    <w:p>
      <w:r>
        <w:t>- About administration tax compare however.</w:t>
      </w:r>
    </w:p>
    <w:p>
      <w:r>
        <w:t>- Relate author term treat hundred hear ready.</w:t>
      </w:r>
    </w:p>
    <w:p>
      <w:r>
        <w:t>- Court organization interesting suggest clear conference.</w:t>
      </w:r>
    </w:p>
    <w:p>
      <w:r>
        <w:t>[1] Gregory Pace, Eaton PLC (2020)</w:t>
      </w:r>
    </w:p>
    <w:p>
      <w:r>
        <w:t>Footnote: Everything interest service fight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