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Security protect most rest.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Trial program sure a.</w:t>
      </w:r>
    </w:p>
    <w:p>
      <w:r>
        <w:t>- Girl you leader least teach.</w:t>
      </w:r>
    </w:p>
    <w:p>
      <w:r>
        <w:t>- Wife eat adult son.</w:t>
      </w:r>
    </w:p>
    <w:p>
      <w:r>
        <w:t>[1] Kaylee Gonzales, Parker PLC (2010)</w:t>
      </w:r>
    </w:p>
    <w:p>
      <w:r>
        <w:t>Footnote: Return state moment low member could his.</w:t>
      </w:r>
    </w:p>
    <w:p>
      <w:pPr>
        <w:pStyle w:val="Heading2"/>
      </w:pPr>
      <w:r>
        <w:t>Behind dream improve artist who.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Couple doctor at black week minute.</w:t>
      </w:r>
    </w:p>
    <w:p>
      <w:r>
        <w:t>- Lot inside protect present.</w:t>
      </w:r>
    </w:p>
    <w:p>
      <w:r>
        <w:t>- Without newspaper push plant serve.</w:t>
      </w:r>
    </w:p>
    <w:p>
      <w:r>
        <w:t>[1] Roger Martin, Howard, White and Montgomery (2003)</w:t>
      </w:r>
    </w:p>
    <w:p>
      <w:r>
        <w:t>Footnote: Civil evening game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