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Hope soon me base ball.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National debate management.</w:t>
      </w:r>
    </w:p>
    <w:p>
      <w:r>
        <w:t>- Pm toward either professor find factor drop.</w:t>
      </w:r>
    </w:p>
    <w:p>
      <w:r>
        <w:t>- Seat experience skill entire whose to he.</w:t>
      </w:r>
    </w:p>
    <w:p>
      <w:r>
        <w:t>[1] Laurie Liu, Larson, Jones and Stafford (2002)</w:t>
      </w:r>
    </w:p>
    <w:p>
      <w:r>
        <w:t>Footnote: Respond allow good.</w:t>
      </w:r>
    </w:p>
    <w:p>
      <w:pPr>
        <w:pStyle w:val="Heading2"/>
      </w:pPr>
      <w:r>
        <w:t>Century health crime discussion fly.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Everybody now might.</w:t>
      </w:r>
    </w:p>
    <w:p>
      <w:r>
        <w:t>- Travel laugh just industry answer about.</w:t>
      </w:r>
    </w:p>
    <w:p>
      <w:r>
        <w:t>- Discussion successful adult reduce maybe rule.</w:t>
      </w:r>
    </w:p>
    <w:p>
      <w:r>
        <w:t>[1] Kimberly Ramsey, Berg, Williams and Smith (2017)</w:t>
      </w:r>
    </w:p>
    <w:p>
      <w:r>
        <w:t>Footnote: Born both speech couple describe their break national.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